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spacing w:after="86" w:before="0"/>
        <w:contextualSpacing w:val="false"/>
        <w:rPr/>
      </w:pPr>
      <w:r>
        <w:rPr/>
        <w:t>Captcha took several tries to get right when registering</w:t>
      </w:r>
    </w:p>
    <w:p>
      <w:pPr>
        <w:pStyle w:val="style0"/>
        <w:numPr>
          <w:ilvl w:val="0"/>
          <w:numId w:val="1"/>
        </w:numPr>
        <w:spacing w:after="86" w:before="0"/>
        <w:contextualSpacing w:val="false"/>
        <w:rPr/>
      </w:pPr>
      <w:r>
        <w:rPr/>
        <w:t>had to be assisted to find the help page</w:t>
      </w:r>
    </w:p>
    <w:p>
      <w:pPr>
        <w:pStyle w:val="style0"/>
        <w:numPr>
          <w:ilvl w:val="0"/>
          <w:numId w:val="1"/>
        </w:numPr>
        <w:spacing w:after="86" w:before="0"/>
        <w:contextualSpacing w:val="false"/>
        <w:rPr/>
      </w:pPr>
      <w:r>
        <w:rPr/>
        <w:t>it was difficult to distinguish the link on the webpage to download the app from the surrounding license text when viewing it on a mobile browser</w:t>
      </w:r>
    </w:p>
    <w:p>
      <w:pPr>
        <w:pStyle w:val="style0"/>
        <w:numPr>
          <w:ilvl w:val="0"/>
          <w:numId w:val="1"/>
        </w:numPr>
        <w:spacing w:after="86" w:before="0"/>
        <w:contextualSpacing w:val="false"/>
        <w:rPr/>
      </w:pPr>
      <w:r>
        <w:rPr/>
        <w:t>instructions should be provided on how to sideload an app on Android (change settings to allow non-market apps)</w:t>
      </w:r>
    </w:p>
    <w:p>
      <w:pPr>
        <w:pStyle w:val="style0"/>
        <w:numPr>
          <w:ilvl w:val="0"/>
          <w:numId w:val="1"/>
        </w:numPr>
        <w:spacing w:after="86" w:before="0"/>
        <w:contextualSpacing w:val="false"/>
        <w:rPr/>
      </w:pPr>
      <w:r>
        <w:rPr/>
        <w:t>on the app, it is not clear how to sync phone data</w:t>
      </w:r>
    </w:p>
    <w:p>
      <w:pPr>
        <w:pStyle w:val="style0"/>
        <w:numPr>
          <w:ilvl w:val="0"/>
          <w:numId w:val="1"/>
        </w:numPr>
        <w:spacing w:after="86" w:before="0"/>
        <w:contextualSpacing w:val="false"/>
        <w:rPr/>
      </w:pPr>
      <w:r>
        <w:rPr/>
        <w:t>when asked to create categories and contexts, the participant had to refer back to the help page to distinguish the two</w:t>
      </w:r>
    </w:p>
    <w:p>
      <w:pPr>
        <w:pStyle w:val="style0"/>
        <w:numPr>
          <w:ilvl w:val="0"/>
          <w:numId w:val="1"/>
        </w:numPr>
        <w:spacing w:after="86" w:before="0"/>
        <w:contextualSpacing w:val="false"/>
        <w:rPr/>
      </w:pPr>
      <w:r>
        <w:rPr/>
        <w:t>it was not clear how time blocks were added</w:t>
      </w:r>
    </w:p>
    <w:p>
      <w:pPr>
        <w:pStyle w:val="style0"/>
        <w:numPr>
          <w:ilvl w:val="0"/>
          <w:numId w:val="1"/>
        </w:numPr>
        <w:spacing w:after="86" w:before="0"/>
        <w:contextualSpacing w:val="false"/>
        <w:rPr/>
      </w:pPr>
      <w:r>
        <w:rPr/>
        <w:t>recurrence options which are initially not visible were hard to find</w:t>
      </w:r>
    </w:p>
    <w:p>
      <w:pPr>
        <w:pStyle w:val="style0"/>
        <w:numPr>
          <w:ilvl w:val="0"/>
          <w:numId w:val="1"/>
        </w:numPr>
        <w:spacing w:after="86" w:before="0"/>
        <w:contextualSpacing w:val="false"/>
        <w:rPr/>
      </w:pPr>
      <w:r>
        <w:rPr/>
        <w:t xml:space="preserve">assistance was required to determine that tasks were edited by hovering on the right side and clicking 'edit' on the menu that comes up, this feature should be more prominent. It wasn't clear that to add a task to a context, one had to open up the edit page for a task </w:t>
      </w:r>
    </w:p>
    <w:p>
      <w:pPr>
        <w:pStyle w:val="style0"/>
        <w:numPr>
          <w:ilvl w:val="0"/>
          <w:numId w:val="1"/>
        </w:numPr>
        <w:spacing w:after="86" w:before="0"/>
        <w:contextualSpacing w:val="false"/>
        <w:rPr/>
      </w:pPr>
      <w:r>
        <w:rPr/>
        <w:t>it was not clear how estimation time and dates were formatted when adding them for a task – e.g. the participant didn't notice the calendar icon next to the “due” field and proceeded to manually enter the word “sunday” into the field</w:t>
      </w:r>
    </w:p>
    <w:p>
      <w:pPr>
        <w:pStyle w:val="style0"/>
        <w:numPr>
          <w:ilvl w:val="0"/>
          <w:numId w:val="1"/>
        </w:numPr>
        <w:spacing w:after="86" w:before="0"/>
        <w:contextualSpacing w:val="false"/>
        <w:rPr/>
      </w:pPr>
      <w:r>
        <w:rPr/>
        <w:t>the todolist was not easy to find visually since it was below the calendar which took up most of the space</w:t>
      </w:r>
    </w:p>
    <w:p>
      <w:pPr>
        <w:pStyle w:val="style0"/>
        <w:numPr>
          <w:ilvl w:val="0"/>
          <w:numId w:val="1"/>
        </w:numPr>
        <w:spacing w:after="86" w:before="0"/>
        <w:contextualSpacing w:val="false"/>
        <w:rPr/>
      </w:pPr>
      <w:r>
        <w:rPr/>
        <w:t>syncing phone data from the app did not work as no contacts, texts, or calls were visible on the website</w:t>
      </w:r>
    </w:p>
    <w:p>
      <w:pPr>
        <w:pStyle w:val="style0"/>
        <w:numPr>
          <w:ilvl w:val="0"/>
          <w:numId w:val="1"/>
        </w:numPr>
        <w:spacing w:after="86" w:before="0"/>
        <w:contextualSpacing w:val="false"/>
        <w:rPr/>
      </w:pPr>
      <w:r>
        <w:rPr/>
        <w:t>the participant was able to easily check off a task</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Nyala" w:eastAsia="SimSun" w:hAnsi="Times New Roman"/>
      <w:color w:val="auto"/>
      <w:sz w:val="24"/>
      <w:szCs w:val="24"/>
      <w:lang w:bidi="am-ET" w:eastAsia="zh-CN" w:val="en-US"/>
    </w:rPr>
  </w:style>
  <w:style w:styleId="style15" w:type="character">
    <w:name w:val="ነጥቦች"/>
    <w:next w:val="style15"/>
    <w:rPr>
      <w:rFonts w:ascii="OpenSymbol" w:cs="OpenSymbol" w:eastAsia="OpenSymbol" w:hAnsi="OpenSymbol"/>
    </w:rPr>
  </w:style>
  <w:style w:styleId="style16" w:type="paragraph">
    <w:name w:val="ራስጌ"/>
    <w:basedOn w:val="style0"/>
    <w:next w:val="style17"/>
    <w:pPr>
      <w:keepNext/>
      <w:spacing w:after="120" w:before="240"/>
      <w:contextualSpacing w:val="false"/>
    </w:pPr>
    <w:rPr>
      <w:rFonts w:ascii="Arial" w:cs="Nyala" w:eastAsia="Microsoft YaHei" w:hAnsi="Arial"/>
      <w:sz w:val="28"/>
      <w:szCs w:val="28"/>
    </w:rPr>
  </w:style>
  <w:style w:styleId="style17" w:type="paragraph">
    <w:name w:val="የጽሁፍ ሰውነት"/>
    <w:basedOn w:val="style0"/>
    <w:next w:val="style17"/>
    <w:pPr>
      <w:spacing w:after="120" w:before="0"/>
      <w:contextualSpacing w:val="false"/>
    </w:pPr>
    <w:rPr/>
  </w:style>
  <w:style w:styleId="style18" w:type="paragraph">
    <w:name w:val="ዝርዝር"/>
    <w:basedOn w:val="style17"/>
    <w:next w:val="style18"/>
    <w:pPr/>
    <w:rPr>
      <w:rFonts w:cs="Nyala"/>
    </w:rPr>
  </w:style>
  <w:style w:styleId="style19" w:type="paragraph">
    <w:name w:val="መግለጫ ጽሁፍ"/>
    <w:basedOn w:val="style0"/>
    <w:next w:val="style19"/>
    <w:pPr>
      <w:suppressLineNumbers/>
      <w:spacing w:after="120" w:before="120"/>
      <w:contextualSpacing w:val="false"/>
    </w:pPr>
    <w:rPr>
      <w:rFonts w:cs="Nyala"/>
      <w:i/>
      <w:iCs/>
      <w:sz w:val="24"/>
      <w:szCs w:val="24"/>
    </w:rPr>
  </w:style>
  <w:style w:styleId="style20" w:type="paragraph">
    <w:name w:val="ማውጫ"/>
    <w:basedOn w:val="style0"/>
    <w:next w:val="style20"/>
    <w:pPr>
      <w:suppressLineNumbers/>
    </w:pPr>
    <w:rPr>
      <w:rFonts w:cs="Nyal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2013-12-11T21:07:43Z</dcterms:created>
  <cp:revision>0</cp:revision>
</cp:coreProperties>
</file>