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2" w:name="------1"/>
      <w:bookmarkEnd w:id="22"/>
      <w:r>
        <w:t xml:space="preserve">Классы в Зило: экспериментальные данные андийского языка</w:t>
      </w:r>
      <w:r>
        <w:rPr>
          <w:rStyle w:val="FootnoteReference"/>
        </w:rPr>
        <w:footnoteReference w:id="21"/>
      </w:r>
    </w:p>
    <w:p>
      <w:pPr>
        <w:pStyle w:val="TextBody"/>
      </w:pPr>
      <w:r>
        <w:t xml:space="preserve">Г. А. Мороз, С. Ферхеес</w:t>
      </w:r>
    </w:p>
    <w:p>
      <w:pPr>
        <w:pStyle w:val="TextBody"/>
      </w:pPr>
      <w:r>
        <w:t xml:space="preserve">Международная лаборатория языковой конвергенции НИУ ВШЭ</w:t>
      </w:r>
    </w:p>
    <w:p>
      <w:pPr>
        <w:pStyle w:val="TextBody"/>
      </w:pPr>
      <w:hyperlink r:id="rId23">
        <w:r>
          <w:rPr>
            <w:rStyle w:val="Hyperlink"/>
          </w:rPr>
          <w:t xml:space="preserve">agricolamz@gmail.com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jh.verhees@gmail.com</w:t>
        </w:r>
      </w:hyperlink>
    </w:p>
    <w:p>
      <w:pPr>
        <w:pStyle w:val="Heading3"/>
      </w:pPr>
      <w:bookmarkStart w:id="25" w:name="введение"/>
      <w:bookmarkEnd w:id="25"/>
      <w:r>
        <w:t xml:space="preserve">1. Введение</w:t>
      </w:r>
    </w:p>
    <w:p>
      <w:pPr>
        <w:pStyle w:val="FirstParagraph"/>
      </w:pPr>
      <w:r>
        <w:t xml:space="preserve">Андийский язык вместе с ахавахским, каратинским, ботлихским, годоберинским, чамалинским, багвалинским и тиндинским составляют андийскую ветвь нахско–дагестанских языков. В данной работе мы рассматриваем материал селения Зило, где говорят на диалекте андийского языка (cм. Рис. 1). Как видно из карты, Зило окружают почти со всех сторон андийские селения, и лишь с востока лежат аварские села. Также недалеко находятся ботлихские, каратинские и чеченские селения. Аварский на данной территории играет роль лингва–франка: его учат в школе, почти все носители знают этот язык и используют в общении с соседями. Этот языковой престиж аварского сохранился несмотря на то, что уже давно, андийцы входят в ботлихский район с районным центром в Ботлихе.</w:t>
      </w:r>
    </w:p>
    <w:p>
      <w:pPr>
        <w:pStyle w:val="SourceCode"/>
      </w:pPr>
      <w:r>
        <w:rPr>
          <w:rStyle w:val="VerbatimChar"/>
        </w:rPr>
        <w:t xml:space="preserve">Рис.  1: Карта андийских сел и их соседей</w:t>
      </w:r>
    </w:p>
    <w:p>
      <w:pPr>
        <w:pStyle w:val="FirstParagraph"/>
      </w:pPr>
      <w:r>
        <w:drawing>
          <wp:inline>
            <wp:extent cx="5486400" cy="411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Социолингвисические обстоятельства привели к тому, что жители Дагестана всегда были многоязычны. Набор языков, которыми владеют современные жители горных селений в Дагестане, включает минимум два языка: местный язык или диалект, некоторый литературный вариант одного из крупных дагестанских языков, доменирующий на данной територии (он обычно изучается в школе, а также поддерживается контактами с соседними селениями, см.</w:t>
      </w:r>
      <w:r>
        <w:t xml:space="preserve"> </w:t>
      </w:r>
      <w:r>
        <w:t xml:space="preserve">(Добрушина 2011)</w:t>
      </w:r>
      <w:r>
        <w:t xml:space="preserve">), а также русский язык, укреплявший свои позиции в течение всего XX века. Такой уровень многоязычия а также давлеющее положение русского языка, влечет за собой большое количество заимствований. Например, все технические новинки XX и XXI века в андийском языке практически без фонетической адаптации взяты из русского</w:t>
      </w:r>
      <w:r>
        <w:rPr>
          <w:rStyle w:val="FootnoteReference"/>
        </w:rPr>
        <w:footnoteReference w:id="27"/>
      </w:r>
      <w:r>
        <w:t xml:space="preserve">, в свою очередь заимствовавшего эту лексику, в основном, из английского.</w:t>
      </w:r>
    </w:p>
    <w:p>
      <w:pPr>
        <w:pStyle w:val="TextBody"/>
      </w:pPr>
      <w:r>
        <w:t xml:space="preserve">Заимствованные слова часто имеют фонологические, орфографические, морфологические или синтаксические признаки в языке–доноре, никак не подходящие системе языка–реципиента. В данной работе нас будет интересовать одна из таких черт — классовая атрибуция поздних заимствований из русского языка (см. схожее исследование на материале мальтийского языка</w:t>
      </w:r>
      <w:r>
        <w:t xml:space="preserve"> </w:t>
      </w:r>
      <w:r>
        <w:t xml:space="preserve">(Stolz 2009)</w:t>
      </w:r>
      <w:r>
        <w:t xml:space="preserve">).</w:t>
      </w:r>
    </w:p>
    <w:p>
      <w:pPr>
        <w:pStyle w:val="Heading3"/>
      </w:pPr>
      <w:bookmarkStart w:id="28" w:name="-----"/>
      <w:bookmarkEnd w:id="28"/>
      <w:r>
        <w:t xml:space="preserve">2. Класс как грамматическая категория аваро–андийских языков</w:t>
      </w:r>
    </w:p>
    <w:p>
      <w:pPr>
        <w:pStyle w:val="FirstParagraph"/>
      </w:pPr>
      <w:r>
        <w:t xml:space="preserve">Класс является одной из центральных категорий почти всех нахско–дагестанских языков. Чаще всего каждое существительное имеет одно значение этой категории, однако в андийском и других нахско–дагестанских языках встречается небольшой класс корней, который можно интерпретировать, как изменяющихся по классам ср. (1–3):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w-otsi</w:t>
      </w:r>
      <w:r>
        <w:t xml:space="preserve"> </w:t>
      </w:r>
      <w:r>
        <w:t xml:space="preserve">m-sibling</w:t>
      </w:r>
      <w:r>
        <w:t xml:space="preserve"> </w:t>
      </w:r>
      <w:r>
        <w:t xml:space="preserve">‘</w:t>
      </w:r>
      <w:r>
        <w:t xml:space="preserve">брат</w:t>
      </w:r>
      <w:r>
        <w:t xml:space="preserve">’</w:t>
      </w:r>
      <w:r>
        <w:rPr>
          <w:rStyle w:val="FootnoteReference"/>
        </w:rPr>
        <w:footnoteReference w:id="29"/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j-otsi</w:t>
      </w:r>
      <w:r>
        <w:t xml:space="preserve"> </w:t>
      </w:r>
      <w:r>
        <w:t xml:space="preserve">f-sibling</w:t>
      </w:r>
      <w:r>
        <w:t xml:space="preserve"> </w:t>
      </w:r>
      <w:r>
        <w:t xml:space="preserve">‘</w:t>
      </w:r>
      <w:r>
        <w:t xml:space="preserve">сестра</w:t>
      </w:r>
      <w:r>
        <w:t xml:space="preserve">’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b-otsi</w:t>
      </w:r>
      <w:r>
        <w:t xml:space="preserve"> </w:t>
      </w:r>
      <w:r>
        <w:t xml:space="preserve">an-sibling</w:t>
      </w:r>
      <w:r>
        <w:t xml:space="preserve"> </w:t>
      </w:r>
      <w:r>
        <w:t xml:space="preserve">‘</w:t>
      </w:r>
      <w:r>
        <w:t xml:space="preserve">брат/сестра животного</w:t>
      </w:r>
      <w:r>
        <w:t xml:space="preserve">’</w:t>
      </w:r>
    </w:p>
    <w:p>
      <w:pPr>
        <w:pStyle w:val="FirstParagraph"/>
      </w:pPr>
      <w:r>
        <w:t xml:space="preserve">Класс является согласовательной категорией, так что другие части речи (глаголы, указательные местоимения, и др.) согласуются по классу с субъектом в абсолютиве.</w:t>
      </w:r>
    </w:p>
    <w:p>
      <w:pPr>
        <w:pStyle w:val="TextBody"/>
      </w:pPr>
      <w:r>
        <w:t xml:space="preserve">Системы андийского языка различается от диалекта к диалекту. В Таб. 1 представлены классные системы андийских диалектов.</w:t>
      </w:r>
    </w:p>
    <w:p>
      <w:pPr>
        <w:pStyle w:val="SourceCode"/>
      </w:pPr>
      <w:r>
        <w:rPr>
          <w:rStyle w:val="VerbatimChar"/>
        </w:rPr>
        <w:t xml:space="preserve">Таб.  1: Инвентарь классов андийских диалектов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¬an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¬an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¬an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1999: 221)</w:t>
            </w:r>
          </w:p>
        </w:tc>
        <w:tc>
          <w:p>
            <w:pPr>
              <w:pStyle w:val="Compact"/>
              <w:jc w:val="left"/>
            </w:pPr>
            <w:r>
              <w:t xml:space="preserve">с. андийский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1999: 221)</w:t>
            </w:r>
          </w:p>
        </w:tc>
        <w:tc>
          <w:p>
            <w:pPr>
              <w:pStyle w:val="Compact"/>
              <w:jc w:val="left"/>
            </w:pPr>
            <w:r>
              <w:t xml:space="preserve">с. андийский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(Салимов 2010 [1968]: 47–62)</w:t>
            </w:r>
          </w:p>
        </w:tc>
        <w:tc>
          <w:p>
            <w:pPr>
              <w:pStyle w:val="Compact"/>
              <w:jc w:val="left"/>
            </w:pPr>
            <w:r>
              <w:t xml:space="preserve">гагатлинский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(Салимов 2010 [1968]: 47–62)</w:t>
            </w:r>
          </w:p>
        </w:tc>
        <w:tc>
          <w:p>
            <w:pPr>
              <w:pStyle w:val="Compact"/>
              <w:jc w:val="left"/>
            </w:pPr>
            <w:r>
              <w:t xml:space="preserve">гагатлинский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(Сулейманов 1957: 131–162)</w:t>
            </w:r>
          </w:p>
        </w:tc>
        <w:tc>
          <w:p>
            <w:pPr>
              <w:pStyle w:val="Compact"/>
              <w:jc w:val="left"/>
            </w:pPr>
            <w:r>
              <w:t xml:space="preserve">рикванинский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(Сулейманов 1957: 131–162)</w:t>
            </w:r>
          </w:p>
        </w:tc>
        <w:tc>
          <w:p>
            <w:pPr>
              <w:pStyle w:val="Compact"/>
              <w:jc w:val="left"/>
            </w:pPr>
            <w:r>
              <w:t xml:space="preserve">рикванинский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зиловский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зиловский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мунинский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полевые данные</w:t>
            </w:r>
          </w:p>
        </w:tc>
        <w:tc>
          <w:p>
            <w:pPr>
              <w:pStyle w:val="Compact"/>
              <w:jc w:val="left"/>
            </w:pPr>
            <w:r>
              <w:t xml:space="preserve">мунинский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TextBody"/>
      </w:pPr>
      <w:r>
        <w:t xml:space="preserve">Как видно из Таб. 1, андийская классная система имеет различную структуру: в мунинском диалекте, согласно полевым данным, классов меньше чем в андийском, гагатлинском, зиловском и рикванинском, а в остальных системах показатели класса в единственном и множественным числе часто совпадают. В рикванинском неодушевленных классов насчитывается три, а в андийском, гагатлинском и зиловском — два. Все это разительно отличается от классных систем окружающих языков, представленных в Таб. 2:</w:t>
      </w:r>
    </w:p>
    <w:p>
      <w:pPr>
        <w:pStyle w:val="SourceCode"/>
      </w:pPr>
      <w:r>
        <w:rPr>
          <w:rStyle w:val="VerbatimChar"/>
        </w:rPr>
        <w:t xml:space="preserve">Таб.  2: Инвентарь классов соседних с андийцами языков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¬h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and Атаев 1997: 41)</w:t>
            </w:r>
          </w:p>
        </w:tc>
        <w:tc>
          <w:p>
            <w:pPr>
              <w:pStyle w:val="Compact"/>
              <w:jc w:val="left"/>
            </w:pPr>
            <w:r>
              <w:t xml:space="preserve">аварский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(Алексеев and Атаев 1997: 41)</w:t>
            </w:r>
          </w:p>
        </w:tc>
        <w:tc>
          <w:p>
            <w:pPr>
              <w:pStyle w:val="Compact"/>
              <w:jc w:val="left"/>
            </w:pPr>
            <w:r>
              <w:t xml:space="preserve">аварский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r/l</w:t>
            </w:r>
          </w:p>
        </w:tc>
        <w:tc>
          <w:p>
            <w:pPr>
              <w:pStyle w:val="Compact"/>
              <w:jc w:val="left"/>
            </w:pPr>
            <w:r>
              <w:t xml:space="preserve">r/l</w:t>
            </w:r>
          </w:p>
        </w:tc>
        <w:tc>
          <w:p>
            <w:pPr>
              <w:pStyle w:val="Compact"/>
              <w:jc w:val="left"/>
            </w:pPr>
            <w:r>
              <w:t xml:space="preserve">r/l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(Магомедбекова 1971: 41)</w:t>
            </w:r>
          </w:p>
        </w:tc>
        <w:tc>
          <w:p>
            <w:pPr>
              <w:pStyle w:val="Compact"/>
              <w:jc w:val="left"/>
            </w:pPr>
            <w:r>
              <w:t xml:space="preserve">каратинский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(Магомедбекова 1971: 41)</w:t>
            </w:r>
          </w:p>
        </w:tc>
        <w:tc>
          <w:p>
            <w:pPr>
              <w:pStyle w:val="Compact"/>
              <w:jc w:val="left"/>
            </w:pPr>
            <w:r>
              <w:t xml:space="preserve">каратинский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(Гудава 1962: 253–254)</w:t>
            </w:r>
          </w:p>
        </w:tc>
        <w:tc>
          <w:p>
            <w:pPr>
              <w:pStyle w:val="Compact"/>
              <w:jc w:val="left"/>
            </w:pPr>
            <w:r>
              <w:t xml:space="preserve">ботлихский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b/m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(Гудава 1962: 253–254)</w:t>
            </w:r>
          </w:p>
        </w:tc>
        <w:tc>
          <w:p>
            <w:pPr>
              <w:pStyle w:val="Compact"/>
              <w:jc w:val="left"/>
            </w:pPr>
            <w:r>
              <w:t xml:space="preserve">ботлихский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r/n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(Nichols 1994: 21–22)</w:t>
            </w:r>
          </w:p>
        </w:tc>
        <w:tc>
          <w:p>
            <w:pPr>
              <w:pStyle w:val="Compact"/>
              <w:jc w:val="left"/>
            </w:pPr>
            <w:r>
              <w:t xml:space="preserve">чеченский</w:t>
            </w:r>
          </w:p>
        </w:tc>
        <w:tc>
          <w:p>
            <w:pPr>
              <w:pStyle w:val="Compact"/>
              <w:jc w:val="left"/>
            </w:pPr>
            <w:r>
              <w:t xml:space="preserve">sg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(Nichols 1994: 21–22)</w:t>
            </w:r>
          </w:p>
        </w:tc>
        <w:tc>
          <w:p>
            <w:pPr>
              <w:pStyle w:val="Compact"/>
              <w:jc w:val="left"/>
            </w:pPr>
            <w:r>
              <w:t xml:space="preserve">чеченский</w:t>
            </w:r>
          </w:p>
        </w:tc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p>
      <w:pPr>
        <w:pStyle w:val="TextBody"/>
      </w:pPr>
      <w:r>
        <w:t xml:space="preserve">Сравнивая Таб. 1 и Таб. 2, можно заметить, что классные системы большинства андийских диалектов напоминают лишь чеченскую систему, однако ни в одном из соседних языков не отмечается такое четкое разделение одушевленных и неодушевленных существительных. Кроме того внешнее сходство с чеченским лишь ограничивается количеством классов: различны и сами показатели и структура системы.</w:t>
      </w:r>
    </w:p>
    <w:p>
      <w:pPr>
        <w:pStyle w:val="TextBody"/>
      </w:pPr>
      <w:r>
        <w:t xml:space="preserve">Семантическая мотивация атрибуции слов классов m, f и an, в андийских диалектах достаточно прозрачна (кроме некоторых названий насекомых, которые попадают в рикванинском и гагатлинском в класс ¬аn 1). Однако принципы распределения слов классов ¬an в каждой работе формулируется при помощи списков с исключениями: например, жидкости имеют тенденцию попадать в класс ¬an 2, однако слово inχi</w:t>
      </w:r>
      <w:r>
        <w:t xml:space="preserve"> </w:t>
      </w:r>
      <w:r>
        <w:t xml:space="preserve">‘</w:t>
      </w:r>
      <w:r>
        <w:t xml:space="preserve">большая река</w:t>
      </w:r>
      <w:r>
        <w:t xml:space="preserve">’</w:t>
      </w:r>
      <w:r>
        <w:t xml:space="preserve"> </w:t>
      </w:r>
      <w:r>
        <w:t xml:space="preserve">относится в зиловском к классу ¬an 1.</w:t>
      </w:r>
    </w:p>
    <w:p>
      <w:pPr>
        <w:pStyle w:val="TextBody"/>
      </w:pPr>
      <w:r>
        <w:t xml:space="preserve">Интересно, что распределение по классам новейших заимствований из русского также носит достаточно интересный характер: телевизор некоторые носители относят к классу ¬an 1, а телефон относиться к классу ¬an 2. Заметив, что разные заимствования могут относится как к тому, так и к другому неодушевленному классу, мы решили проверить при помощи эксперимента, насколько носители едины в своих суждениях относительно класса.</w:t>
      </w:r>
    </w:p>
    <w:p>
      <w:pPr>
        <w:pStyle w:val="Heading3"/>
      </w:pPr>
      <w:bookmarkStart w:id="30" w:name="---"/>
      <w:bookmarkEnd w:id="30"/>
      <w:r>
        <w:t xml:space="preserve">3. Устройство эксперимента и данные</w:t>
      </w:r>
    </w:p>
    <w:p>
      <w:pPr>
        <w:pStyle w:val="FirstParagraph"/>
      </w:pPr>
      <w:r>
        <w:t xml:space="preserve">Для эксперимента мы выбрали по 25 старых и заимствованных слов обоих классов (т. е. в сумме 100 слов), а также добавили к списку некоторые слова, которые относились к классу ¬an 3 в рикванинском. Всего получилось 114 слов. Мы опросили по четыре носителя разных возрастных групп и пола, т. е. всего 16. В ходе опроса носителям предлагалось перевести на зиловский фразы типа «мой/моя/мое Х», где вместо переменной было каждое из 114 слов, которые шли в квазирандомном порядке (мы старались избегать стечений слов одного класса, а также устранили большие скопления заимствованных слов).</w:t>
      </w:r>
    </w:p>
    <w:p>
      <w:pPr>
        <w:pStyle w:val="Heading3"/>
      </w:pPr>
      <w:bookmarkStart w:id="31" w:name="-"/>
      <w:bookmarkEnd w:id="31"/>
      <w:r>
        <w:t xml:space="preserve">4. Анализ данных</w:t>
      </w:r>
    </w:p>
    <w:p>
      <w:pPr>
        <w:pStyle w:val="Heading3"/>
      </w:pPr>
      <w:bookmarkStart w:id="32" w:name="заключение"/>
      <w:bookmarkEnd w:id="32"/>
      <w:r>
        <w:t xml:space="preserve">5. Заключение</w:t>
      </w:r>
    </w:p>
    <w:p>
      <w:pPr>
        <w:pStyle w:val="Heading3"/>
      </w:pPr>
      <w:bookmarkStart w:id="33" w:name="----"/>
      <w:bookmarkEnd w:id="33"/>
      <w:r>
        <w:t xml:space="preserve">Список литературы и использованные пакеты</w:t>
      </w:r>
    </w:p>
    <w:p>
      <w:pPr>
        <w:pStyle w:val="FirstParagraph"/>
      </w:pPr>
      <w:r>
        <w:t xml:space="preserve">Все статистические тесты и визуализация выполнены на R с использованием следующих пакетов: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(Wickham 2009)</w:t>
      </w:r>
      <w:r>
        <w:t xml:space="preserve">,</w:t>
      </w:r>
      <w:r>
        <w:t xml:space="preserve"> </w:t>
      </w:r>
      <w:r>
        <w:rPr>
          <w:i/>
        </w:rPr>
        <w:t xml:space="preserve">irr</w:t>
      </w:r>
      <w:r>
        <w:t xml:space="preserve"> </w:t>
      </w:r>
      <w:r>
        <w:t xml:space="preserve">(Gamer, Lemon, and Singh 2012)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lingtypology</w:t>
      </w:r>
      <w:r>
        <w:t xml:space="preserve"> </w:t>
      </w:r>
      <w:r>
        <w:t xml:space="preserve">(Moroz 2017)</w:t>
      </w:r>
      <w:r>
        <w:t xml:space="preserve">.</w:t>
      </w:r>
    </w:p>
    <w:p>
      <w:pPr>
        <w:pStyle w:val="Bibliography"/>
      </w:pPr>
      <w:r>
        <w:t xml:space="preserve">Gamer, Matthias, Jim Lemon, and Ian Fellows Puspendra Singh. 2012.</w:t>
      </w:r>
      <w:r>
        <w:t xml:space="preserve"> </w:t>
      </w:r>
      <w:r>
        <w:rPr>
          <w:i/>
        </w:rPr>
        <w:t xml:space="preserve">Irr: Various Coefficients of Interrater Reliability and Agreement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https://CRAN.R-project.org/package=irr</w:t>
        </w:r>
      </w:hyperlink>
      <w:r>
        <w:t xml:space="preserve">.</w:t>
      </w:r>
    </w:p>
    <w:p>
      <w:pPr>
        <w:pStyle w:val="Bibliography"/>
      </w:pPr>
      <w:r>
        <w:t xml:space="preserve">Moroz, George. 2017.</w:t>
      </w:r>
      <w:r>
        <w:t xml:space="preserve"> </w:t>
      </w:r>
      <w:r>
        <w:rPr>
          <w:i/>
        </w:rPr>
        <w:t xml:space="preserve">Lingtypology: Easy Mapping for Linguistic Typology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https://CRAN.R-project.org/package=lingtypology</w:t>
        </w:r>
      </w:hyperlink>
      <w:r>
        <w:t xml:space="preserve">.</w:t>
      </w:r>
    </w:p>
    <w:p>
      <w:pPr>
        <w:pStyle w:val="Bibliography"/>
      </w:pPr>
      <w:r>
        <w:t xml:space="preserve">Nichols, J. 1994. “Chechen.” In</w:t>
      </w:r>
      <w:r>
        <w:t xml:space="preserve"> </w:t>
      </w:r>
      <w:r>
        <w:rPr>
          <w:i/>
        </w:rPr>
        <w:t xml:space="preserve">The Indigenous Languages of the Caucasus, Vol. 4: The North East Caucasian Languages, Part 2</w:t>
      </w:r>
      <w:r>
        <w:t xml:space="preserve">, edited by R. Smeets, 2–77. Delmar, NY: Caravan Books.</w:t>
      </w:r>
    </w:p>
    <w:p>
      <w:pPr>
        <w:pStyle w:val="Bibliography"/>
      </w:pPr>
      <w:r>
        <w:t xml:space="preserve">Stolz, Christel. 2009. “A different kind of gender problem: Maltese loanword gender from a typological perspective.” In</w:t>
      </w:r>
      <w:r>
        <w:t xml:space="preserve"> </w:t>
      </w:r>
      <w:r>
        <w:rPr>
          <w:i/>
        </w:rPr>
        <w:t xml:space="preserve">Introducing Maltese Linguistics.</w:t>
      </w:r>
      <w:r>
        <w:t xml:space="preserve">, edited by Bernard Comrie, Ray Fabri, Elizabeth Hume, Manwel Mifsud, Thomas Stolz, and Martine Vanhove, 321–54. John Benjamins.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6">
        <w:r>
          <w:rPr>
            <w:rStyle w:val="Hyperlink"/>
          </w:rPr>
          <w:t xml:space="preserve">http://ggplot2.org</w:t>
        </w:r>
      </w:hyperlink>
      <w:r>
        <w:t xml:space="preserve">.</w:t>
      </w:r>
    </w:p>
    <w:p>
      <w:pPr>
        <w:pStyle w:val="Bibliography"/>
      </w:pPr>
      <w:r>
        <w:t xml:space="preserve">Алексеев, М. Е. 1999. “Андийские языки.” In</w:t>
      </w:r>
      <w:r>
        <w:t xml:space="preserve"> </w:t>
      </w:r>
      <w:r>
        <w:rPr>
          <w:i/>
        </w:rPr>
        <w:t xml:space="preserve">Языки мира. кавказские языки</w:t>
      </w:r>
      <w:r>
        <w:t xml:space="preserve">, edited by Старостин Алексеев М. Е., 220–28. Academia.</w:t>
      </w:r>
    </w:p>
    <w:p>
      <w:pPr>
        <w:pStyle w:val="Bibliography"/>
      </w:pPr>
      <w:r>
        <w:t xml:space="preserve">Алексеев, М. Е., and Б. М. Атаев. 1997.</w:t>
      </w:r>
      <w:r>
        <w:t xml:space="preserve"> </w:t>
      </w:r>
      <w:r>
        <w:rPr>
          <w:i/>
        </w:rPr>
        <w:t xml:space="preserve">Аварский язык</w:t>
      </w:r>
      <w:r>
        <w:t xml:space="preserve">. Academia.</w:t>
      </w:r>
    </w:p>
    <w:p>
      <w:pPr>
        <w:pStyle w:val="Bibliography"/>
      </w:pPr>
      <w:r>
        <w:t xml:space="preserve">Гудава, Т. Е. 1962.</w:t>
      </w:r>
      <w:r>
        <w:t xml:space="preserve"> </w:t>
      </w:r>
      <w:r>
        <w:rPr>
          <w:i/>
        </w:rPr>
        <w:t xml:space="preserve">Ботлихский язык</w:t>
      </w:r>
      <w:r>
        <w:t xml:space="preserve">.</w:t>
      </w:r>
      <w:r>
        <w:t xml:space="preserve"> </w:t>
      </w:r>
      <w:r>
        <w:rPr>
          <w:i/>
        </w:rPr>
        <w:t xml:space="preserve">Тбилиси: Изд-во АН ГССР</w:t>
      </w:r>
      <w:r>
        <w:t xml:space="preserve">.</w:t>
      </w:r>
    </w:p>
    <w:p>
      <w:pPr>
        <w:pStyle w:val="Bibliography"/>
      </w:pPr>
      <w:r>
        <w:t xml:space="preserve">Добрушина, Н. Р. 2011. “Многоязычие в Дагестане конца XIX-начала XXI века: попытка количественной оценки.”</w:t>
      </w:r>
      <w:r>
        <w:t xml:space="preserve"> </w:t>
      </w:r>
      <w:r>
        <w:rPr>
          <w:i/>
        </w:rPr>
        <w:t xml:space="preserve">Вопросы языкознания</w:t>
      </w:r>
      <w:r>
        <w:t xml:space="preserve">, no. 4: 61–80.</w:t>
      </w:r>
    </w:p>
    <w:p>
      <w:pPr>
        <w:pStyle w:val="Bibliography"/>
      </w:pPr>
      <w:r>
        <w:t xml:space="preserve">Магомедбекова, З. М. 1971.</w:t>
      </w:r>
      <w:r>
        <w:t xml:space="preserve"> </w:t>
      </w:r>
      <w:r>
        <w:rPr>
          <w:i/>
        </w:rPr>
        <w:t xml:space="preserve">Каратинский язык: Граммат. анализ, тексты, словарь</w:t>
      </w:r>
      <w:r>
        <w:t xml:space="preserve">. Мецниереба,</w:t>
      </w:r>
    </w:p>
    <w:p>
      <w:pPr>
        <w:pStyle w:val="Bibliography"/>
      </w:pPr>
      <w:r>
        <w:t xml:space="preserve">Салимов, Х. С. 2010 [1968].</w:t>
      </w:r>
      <w:r>
        <w:t xml:space="preserve"> </w:t>
      </w:r>
      <w:r>
        <w:rPr>
          <w:i/>
        </w:rPr>
        <w:t xml:space="preserve">Гагатлинский говор андийского языка</w:t>
      </w:r>
      <w:r>
        <w:t xml:space="preserve">. Институт языка, литературы и искусства им. Г. Цадасы.</w:t>
      </w:r>
    </w:p>
    <w:p>
      <w:pPr>
        <w:pStyle w:val="Bibliography"/>
      </w:pPr>
      <w:r>
        <w:t xml:space="preserve">Сулейманов, Я. Г. 1957. “Грамматический очерк андийского языка (по данным говора с. риквани).” PhD thesis, Институт языкознания АН СССР.</w:t>
      </w:r>
    </w:p>
    <w:sectPr>
      <w:footnotePr>
        <w:numFmt w:val="decimal"/>
      </w:footnote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Работа над статьей выполнялась в рамках проекта РФФИ №18-012-00852 «Морфосинтаксис андийского языка: опыт внутригенетической типологии»</w:t>
      </w:r>
    </w:p>
  </w:footnote>
  <w:footnote w:id="2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Отсутствие фонетической адаптации, видимо, можно связать с увеличением роли русского языка в последнем столетии. Более ранние русские заимствования подвергались фонетическому изменению, ср. формы с. Гагтли</w:t>
      </w:r>
      <w:r>
        <w:t xml:space="preserve"> </w:t>
      </w:r>
      <w:r>
        <w:rPr>
          <w:i/>
        </w:rPr>
        <w:t xml:space="preserve">kempeti</w:t>
      </w:r>
      <w:r>
        <w:t xml:space="preserve"> </w:t>
      </w:r>
      <w:r>
        <w:t xml:space="preserve">‘</w:t>
      </w:r>
      <w:r>
        <w:t xml:space="preserve">конфеты</w:t>
      </w:r>
      <w: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tʃajnik’i</w:t>
      </w:r>
      <w:r>
        <w:t xml:space="preserve"> </w:t>
      </w:r>
      <w:r>
        <w:t xml:space="preserve">‘</w:t>
      </w:r>
      <w:r>
        <w:t xml:space="preserve">чайник</w:t>
      </w:r>
      <w:r>
        <w:t xml:space="preserve">’</w:t>
      </w:r>
      <w:r>
        <w:t xml:space="preserve">,</w:t>
      </w:r>
      <w:r>
        <w:t xml:space="preserve"> </w:t>
      </w:r>
      <w:r>
        <w:rPr>
          <w:i/>
        </w:rPr>
        <w:t xml:space="preserve">ʃːiɡolati</w:t>
      </w:r>
      <w:r>
        <w:t xml:space="preserve"> </w:t>
      </w:r>
      <w:r>
        <w:t xml:space="preserve">‘</w:t>
      </w:r>
      <w:r>
        <w:t xml:space="preserve">шоколад</w:t>
      </w:r>
      <w:r>
        <w:t xml:space="preserve">’</w:t>
      </w:r>
      <w:r>
        <w:t xml:space="preserve"> </w:t>
      </w:r>
      <w:r>
        <w:t xml:space="preserve">(Салимов 2010 [1968]: 43)</w:t>
      </w:r>
      <w:r>
        <w:t xml:space="preserve">.</w:t>
      </w:r>
    </w:p>
  </w:footnote>
  <w:footnote w:id="29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Мы будем использовать следующие обозначения: m — мужской класс, f — женский класс, an — класс одушевленных существ, ¬an — класс неодушевленных существ, ¬h — класс неразумных существ и предметов.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90">
    <w:nsid w:val="5faa8a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3a8d2c1d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Heading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0" w:after="0"/>
    </w:pPr>
    <w:rPr>
      <w:rFonts w:ascii="Times New Roman" w:hAnsi="Times New Roman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83" w:after="0"/>
      <w:ind w:left="283" w:right="0" w:hanging="283"/>
      <w:contextualSpacing/>
    </w:pPr>
    <w:rPr>
      <w:sz w:val="20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0"/>
    </w:pPr>
    <w:rPr>
      <w:rFonts w:ascii="Times New Roman" w:hAnsi="Times New Roman"/>
      <w:color w:val="00000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36" Target="http://ggplot2.org" TargetMode="External" /><Relationship Type="http://schemas.openxmlformats.org/officeDocument/2006/relationships/hyperlink" Id="rId34" Target="https://CRAN.R-project.org/package=irr" TargetMode="External" /><Relationship Type="http://schemas.openxmlformats.org/officeDocument/2006/relationships/hyperlink" Id="rId35" Target="https://CRAN.R-project.org/package=lingtypology" TargetMode="External" /><Relationship Type="http://schemas.openxmlformats.org/officeDocument/2006/relationships/hyperlink" Id="rId23" Target="mailto:agricolamz@gmail.com" TargetMode="External" /><Relationship Type="http://schemas.openxmlformats.org/officeDocument/2006/relationships/hyperlink" Id="rId24" Target="mailto:jh.verhee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ggplot2.org" TargetMode="External" /><Relationship Type="http://schemas.openxmlformats.org/officeDocument/2006/relationships/hyperlink" Id="rId34" Target="https://CRAN.R-project.org/package=irr" TargetMode="External" /><Relationship Type="http://schemas.openxmlformats.org/officeDocument/2006/relationships/hyperlink" Id="rId35" Target="https://CRAN.R-project.org/package=lingtypology" TargetMode="External" /><Relationship Type="http://schemas.openxmlformats.org/officeDocument/2006/relationships/hyperlink" Id="rId23" Target="mailto:agricolamz@gmail.com" TargetMode="External" /><Relationship Type="http://schemas.openxmlformats.org/officeDocument/2006/relationships/hyperlink" Id="rId24" Target="mailto:jh.verhe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LibreOffice/5.1.6.2$Linux_X86_64 LibreOffice_project/10m0$Build-2</Application>
  <Pages>3</Pages>
  <Words>754</Words>
  <Characters>4583</Characters>
  <CharactersWithSpaces>5202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2018-05-01T07:09:35Z</dcterms:created>
  <dcterms:modified xsi:type="dcterms:W3CDTF">2018-05-01T07:09:35Z</dcterms:modified>
</cp:coreProperties>
</file>