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------1"/>
      <w:bookmarkEnd w:id="0"/>
      <w:r>
        <w:rPr/>
        <w:t>Классы в Зило: экспериментальные данные андийского языка</w:t>
      </w:r>
      <w:r>
        <w:rPr>
          <w:rStyle w:val="FootnoteAnchor"/>
        </w:rPr>
        <w:footnoteReference w:id="2"/>
      </w:r>
    </w:p>
    <w:p>
      <w:pPr>
        <w:pStyle w:val="TextBody"/>
        <w:rPr/>
      </w:pPr>
      <w:r>
        <w:rPr/>
        <w:t>Г. А. Мороз, С. Ферхеес</w:t>
      </w:r>
    </w:p>
    <w:p>
      <w:pPr>
        <w:pStyle w:val="TextBody"/>
        <w:rPr/>
      </w:pPr>
      <w:r>
        <w:rPr/>
        <w:t>Международная лаборатория языковой конвергенции НИУ ВШЭ</w:t>
      </w:r>
    </w:p>
    <w:p>
      <w:pPr>
        <w:pStyle w:val="TextBody"/>
        <w:rPr/>
      </w:pPr>
      <w:hyperlink r:id="rId2">
        <w:r>
          <w:rPr>
            <w:rStyle w:val="InternetLink"/>
          </w:rPr>
          <w:t>agricolamz@gmail.com</w:t>
        </w:r>
      </w:hyperlink>
      <w:r>
        <w:rPr/>
        <w:t xml:space="preserve">, </w:t>
      </w:r>
      <w:hyperlink r:id="rId3">
        <w:r>
          <w:rPr>
            <w:rStyle w:val="InternetLink"/>
          </w:rPr>
          <w:t>jh.verhees@gmail.com</w:t>
        </w:r>
      </w:hyperlink>
    </w:p>
    <w:p>
      <w:pPr>
        <w:pStyle w:val="Heading3"/>
        <w:rPr/>
      </w:pPr>
      <w:bookmarkStart w:id="1" w:name="введение"/>
      <w:bookmarkEnd w:id="1"/>
      <w:r>
        <w:rPr/>
        <w:t>1. Введение</w:t>
      </w:r>
    </w:p>
    <w:p>
      <w:pPr>
        <w:pStyle w:val="FirstParagraph"/>
        <w:rPr/>
      </w:pPr>
      <w:r>
        <w:rPr/>
        <w:t>Андийский язык вместе с ахавахским, каратинским, ботлихским, годоберинским, чамалинским, багвалинским и тиндинским составляют андийскую ветвь нахско–дагестанских языков. В данной работе мы рассматриваем материал селения Зило, где говорят на диалекте андийского языка (cм. Рис. 1). Как видно из карты, Зило окружают почти со всех сторон андийские селения, и лишь с востока лежат аварские села. Также недалеко находятся ботлихские, каратинские и чеченские селения. Аварский на данной территории играет роль лингва–франка: его учат в школе, почти все носители знают этот язык и используют в общении с соседями. Этот языковой престиж аварского сохранился несмотря на то, что уже давно, андийцы входят в ботлихский район с районным центром в Ботлихе.</w:t>
      </w:r>
    </w:p>
    <w:p>
      <w:pPr>
        <w:pStyle w:val="SourceCode"/>
        <w:rPr/>
      </w:pPr>
      <w:r>
        <w:rPr>
          <w:rStyle w:val="VerbatimChar"/>
        </w:rPr>
        <w:t>Рис.  1: Карта андийских сел и их соседей</w:t>
      </w:r>
    </w:p>
    <w:p>
      <w:pPr>
        <w:pStyle w:val="FirstParagraph"/>
        <w:rPr/>
      </w:pPr>
      <w:r>
        <w:rPr/>
        <w:drawing>
          <wp:inline distT="0" distB="0" distL="0" distR="0">
            <wp:extent cx="5486400" cy="41148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Социолингвисические обстоятельства привели к тому, что жители Дагестана всегда были многоязычны. Набор языков, которыми владеют современные жители горных селений в Дагестане, включает минимум два языка: местный язык или диалект, некоторый литературный вариант одного из крупных дагестанских языков, доменирующий на данной територии (он обычно изучается в школе, а также поддерживается контактами с соседними селениями, см. (Добрушина 2011)), а также русский язык, укреплявший свои позиции в течение всего XX века. Такой уровень многоязычия а также давлеющее положение русского языка, влечет за собой большое количество заимствований. Например, все технические новинки XX и XXI века в андийском языке практически без фонетической адаптации взяты из русского</w:t>
      </w:r>
      <w:r>
        <w:rPr>
          <w:rStyle w:val="FootnoteAnchor"/>
        </w:rPr>
        <w:footnoteReference w:id="3"/>
      </w:r>
      <w:r>
        <w:rPr/>
        <w:t>, в свою очередь заимствовавшего эту лексику, в основном, из английского.</w:t>
      </w:r>
    </w:p>
    <w:p>
      <w:pPr>
        <w:pStyle w:val="TextBody"/>
        <w:rPr/>
      </w:pPr>
      <w:r>
        <w:rPr/>
        <w:t>Заимствованные слова часто имеют фонологические, орфографические, морфологические или синтаксические признаки в языке–доноре, никак не подходящие системе языка–реципиента. В данной работе нас будет интересовать одна из таких черт — классовая атрибуция поздних заимствований из русского языка (см. схожее исследование на материале мальтийского языка (Stolz 2009)).</w:t>
      </w:r>
    </w:p>
    <w:p>
      <w:pPr>
        <w:pStyle w:val="Heading3"/>
        <w:rPr/>
      </w:pPr>
      <w:bookmarkStart w:id="2" w:name="-----"/>
      <w:bookmarkEnd w:id="2"/>
      <w:r>
        <w:rPr/>
        <w:t>2. Класс как грамматическая категория аваро–андийских языков</w:t>
      </w:r>
    </w:p>
    <w:p>
      <w:pPr>
        <w:pStyle w:val="FirstParagraph"/>
        <w:rPr/>
      </w:pPr>
      <w:r>
        <w:rPr/>
        <w:t>Класс является одной из центральных категорий почти всех нахско–дагестанских языков. Чаще всего каждое существительное имеет одно значение этой категории, однако в андийском и других нахско–дагестанских языках встречается небольшой класс корней, который можно интерпретировать, как изменяющихся по классам ср. (1–3):</w:t>
      </w:r>
    </w:p>
    <w:p>
      <w:pPr>
        <w:pStyle w:val="Compact"/>
        <w:numPr>
          <w:ilvl w:val="0"/>
          <w:numId w:val="1"/>
        </w:numPr>
        <w:rPr/>
      </w:pPr>
      <w:r>
        <w:rPr>
          <w:i/>
        </w:rPr>
        <w:t>w-otsi</w:t>
      </w:r>
      <w:r>
        <w:rPr/>
        <w:t xml:space="preserve"> m-sibling ‘брат’</w:t>
      </w:r>
    </w:p>
    <w:p>
      <w:pPr>
        <w:pStyle w:val="Compact"/>
        <w:numPr>
          <w:ilvl w:val="0"/>
          <w:numId w:val="1"/>
        </w:numPr>
        <w:rPr/>
      </w:pPr>
      <w:r>
        <w:rPr>
          <w:i/>
        </w:rPr>
        <w:t>j-otsi</w:t>
      </w:r>
      <w:r>
        <w:rPr/>
        <w:t xml:space="preserve"> f-sibling ‘сестра’</w:t>
      </w:r>
    </w:p>
    <w:p>
      <w:pPr>
        <w:pStyle w:val="Compact"/>
        <w:numPr>
          <w:ilvl w:val="0"/>
          <w:numId w:val="1"/>
        </w:numPr>
        <w:rPr/>
      </w:pPr>
      <w:r>
        <w:rPr>
          <w:i/>
        </w:rPr>
        <w:t>b-otsi</w:t>
      </w:r>
      <w:r>
        <w:rPr/>
        <w:t xml:space="preserve"> an-sibling ‘брат/сестра животного’</w:t>
      </w:r>
    </w:p>
    <w:p>
      <w:pPr>
        <w:pStyle w:val="FirstParagraph"/>
        <w:rPr/>
      </w:pPr>
      <w:r>
        <w:rPr/>
        <w:t>Класс является согласовательной категорией, так что другие части речи (глаголы, указательные местоимения, и др.) согласуются по классу с субъектом в абсолютиве.</w:t>
      </w:r>
    </w:p>
    <w:p>
      <w:pPr>
        <w:pStyle w:val="TextBody"/>
        <w:rPr/>
      </w:pPr>
      <w:r>
        <w:rPr/>
        <w:t>Системы андийского языка различается от диалекта к диалекту. В Таб. 1</w:t>
      </w:r>
    </w:p>
    <w:p>
      <w:pPr>
        <w:pStyle w:val="SourceCode"/>
        <w:rPr/>
      </w:pPr>
      <w:r>
        <w:rPr>
          <w:rStyle w:val="VerbatimChar"/>
        </w:rPr>
        <w:t>Таб.  2</w:t>
      </w:r>
    </w:p>
    <w:tbl>
      <w:tblPr>
        <w:tblStyle w:val="TableNormal"/>
        <w:tblW w:w="7822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508"/>
        <w:gridCol w:w="1322"/>
        <w:gridCol w:w="450"/>
        <w:gridCol w:w="424"/>
        <w:gridCol w:w="317"/>
        <w:gridCol w:w="464"/>
        <w:gridCol w:w="779"/>
        <w:gridCol w:w="779"/>
        <w:gridCol w:w="779"/>
      </w:tblGrid>
      <w:tr>
        <w:trPr>
          <w:cnfStyle w:firstRow="1"/>
        </w:trPr>
        <w:tc>
          <w:tcPr>
            <w:tcW w:w="250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2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rPr/>
            </w:pPr>
            <w:r>
              <w:rPr/>
            </w:r>
          </w:p>
        </w:tc>
        <w:tc>
          <w:tcPr>
            <w:tcW w:w="42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m</w:t>
            </w:r>
          </w:p>
        </w:tc>
        <w:tc>
          <w:tcPr>
            <w:tcW w:w="31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f</w:t>
            </w:r>
          </w:p>
        </w:tc>
        <w:tc>
          <w:tcPr>
            <w:tcW w:w="46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an</w:t>
            </w:r>
          </w:p>
        </w:tc>
        <w:tc>
          <w:tcPr>
            <w:tcW w:w="77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¬an 1</w:t>
            </w:r>
          </w:p>
        </w:tc>
        <w:tc>
          <w:tcPr>
            <w:tcW w:w="77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¬an 2</w:t>
            </w:r>
          </w:p>
        </w:tc>
        <w:tc>
          <w:tcPr>
            <w:tcW w:w="77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¬an 3</w:t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(Алексеев 1999: 221)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с. андийский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sg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(Алексеев 1999: 221)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с. андийский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pl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(Салимов 2010 (1968): 47–62)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гагатлинский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sg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(Салимов 2010 (1968): 47–62)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гагатлинский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pl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(Сулейманов 1957: 131–162)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рикванинский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sg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(Сулейманов 1957: 131–162)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рикванинский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pl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полевые данные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зиловский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sg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полевые данные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зиловский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pl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b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r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полевые данные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мунинский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sg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?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?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?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  <w:tr>
        <w:trPr/>
        <w:tc>
          <w:tcPr>
            <w:tcW w:w="25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полевые данные</w:t>
            </w:r>
          </w:p>
        </w:tc>
        <w:tc>
          <w:tcPr>
            <w:tcW w:w="13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мунинский</w:t>
            </w:r>
          </w:p>
        </w:tc>
        <w:tc>
          <w:tcPr>
            <w:tcW w:w="4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pl</w:t>
            </w:r>
          </w:p>
        </w:tc>
        <w:tc>
          <w:tcPr>
            <w:tcW w:w="42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w</w:t>
            </w:r>
          </w:p>
        </w:tc>
        <w:tc>
          <w:tcPr>
            <w:tcW w:w="3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j</w:t>
            </w:r>
          </w:p>
        </w:tc>
        <w:tc>
          <w:tcPr>
            <w:tcW w:w="4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?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?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?</w:t>
            </w:r>
          </w:p>
        </w:tc>
        <w:tc>
          <w:tcPr>
            <w:tcW w:w="77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3" w:name="---"/>
      <w:bookmarkEnd w:id="3"/>
      <w:r>
        <w:rPr/>
        <w:t>3. Устройство эксперимента и данные</w:t>
      </w:r>
    </w:p>
    <w:p>
      <w:pPr>
        <w:pStyle w:val="Heading3"/>
        <w:rPr/>
      </w:pPr>
      <w:bookmarkStart w:id="4" w:name="-"/>
      <w:bookmarkEnd w:id="4"/>
      <w:r>
        <w:rPr/>
        <w:t>4. Анализ данных</w:t>
      </w:r>
    </w:p>
    <w:p>
      <w:pPr>
        <w:pStyle w:val="Heading3"/>
        <w:rPr/>
      </w:pPr>
      <w:bookmarkStart w:id="5" w:name="заключение"/>
      <w:bookmarkEnd w:id="5"/>
      <w:r>
        <w:rPr/>
        <w:t>5. Заключение</w:t>
      </w:r>
    </w:p>
    <w:p>
      <w:pPr>
        <w:pStyle w:val="Heading3"/>
        <w:rPr/>
      </w:pPr>
      <w:bookmarkStart w:id="6" w:name="----"/>
      <w:bookmarkEnd w:id="6"/>
      <w:r>
        <w:rPr/>
        <w:t>Список литературы и использованные пакеты</w:t>
      </w:r>
    </w:p>
    <w:p>
      <w:pPr>
        <w:pStyle w:val="FirstParagraph"/>
        <w:rPr/>
      </w:pPr>
      <w:r>
        <w:rPr/>
        <w:t xml:space="preserve">Все статистические тесты и визуализация выполнены на R с использованием следующих пакетов: </w:t>
      </w:r>
      <w:r>
        <w:rPr>
          <w:i/>
        </w:rPr>
        <w:t>ggplot2</w:t>
      </w:r>
      <w:r>
        <w:rPr/>
        <w:t xml:space="preserve"> (Wickham 2009), </w:t>
      </w:r>
      <w:r>
        <w:rPr>
          <w:i/>
        </w:rPr>
        <w:t>irr</w:t>
      </w:r>
      <w:r>
        <w:rPr/>
        <w:t xml:space="preserve"> (Gamer, Lemon, and Singh 2012) и </w:t>
      </w:r>
      <w:r>
        <w:rPr>
          <w:i/>
        </w:rPr>
        <w:t>lingtypology</w:t>
      </w:r>
      <w:r>
        <w:rPr/>
        <w:t xml:space="preserve"> (Moroz 2017).</w:t>
      </w:r>
    </w:p>
    <w:p>
      <w:pPr>
        <w:pStyle w:val="Bibliography"/>
        <w:rPr/>
      </w:pPr>
      <w:r>
        <w:rPr/>
        <w:t xml:space="preserve">Gamer, Matthias, Jim Lemon, and Ian Fellows Puspendra Singh. 2012. </w:t>
      </w:r>
      <w:r>
        <w:rPr>
          <w:i/>
        </w:rPr>
        <w:t>Irr: Various Coefficients of Interrater Reliability and Agreement</w:t>
      </w:r>
      <w:r>
        <w:rPr/>
        <w:t xml:space="preserve">. </w:t>
      </w:r>
      <w:hyperlink r:id="rId5">
        <w:r>
          <w:rPr>
            <w:rStyle w:val="InternetLink"/>
          </w:rPr>
          <w:t>https://CRAN.R-project.org/package=irr</w:t>
        </w:r>
      </w:hyperlink>
      <w:r>
        <w:rPr/>
        <w:t>.</w:t>
      </w:r>
    </w:p>
    <w:p>
      <w:pPr>
        <w:pStyle w:val="Bibliography"/>
        <w:rPr/>
      </w:pPr>
      <w:r>
        <w:rPr/>
        <w:t xml:space="preserve">Moroz, George. 2017. </w:t>
      </w:r>
      <w:r>
        <w:rPr>
          <w:i/>
        </w:rPr>
        <w:t>Lingtypology: Easy Mapping for Linguistic Typology</w:t>
      </w:r>
      <w:r>
        <w:rPr/>
        <w:t xml:space="preserve">. </w:t>
      </w:r>
      <w:hyperlink r:id="rId6">
        <w:r>
          <w:rPr>
            <w:rStyle w:val="InternetLink"/>
          </w:rPr>
          <w:t>https://CRAN.R-project.org/package=lingtypology</w:t>
        </w:r>
      </w:hyperlink>
      <w:r>
        <w:rPr/>
        <w:t>.</w:t>
      </w:r>
    </w:p>
    <w:p>
      <w:pPr>
        <w:pStyle w:val="Bibliography"/>
        <w:rPr/>
      </w:pPr>
      <w:r>
        <w:rPr/>
        <w:t xml:space="preserve">Stolz, Christel. 2009. “A different kind of gender problem: Maltese loanword gender from a typological perspective.” In </w:t>
      </w:r>
      <w:r>
        <w:rPr>
          <w:i/>
        </w:rPr>
        <w:t>Introducing Maltese Linguistics.</w:t>
      </w:r>
      <w:r>
        <w:rPr/>
        <w:t>, edited by Bernard Comrie, Ray Fabri, Elizabeth Hume, Manwel Mifsud, Thomas Stolz, and Martine Vanhove, 321–54. John Benjamins.</w:t>
      </w:r>
    </w:p>
    <w:p>
      <w:pPr>
        <w:pStyle w:val="Bibliography"/>
        <w:rPr/>
      </w:pPr>
      <w:r>
        <w:rPr/>
        <w:t xml:space="preserve">Wickham, Hadley. 2009. </w:t>
      </w:r>
      <w:r>
        <w:rPr>
          <w:i/>
        </w:rPr>
        <w:t>Ggplot2: Elegant Graphics for Data Analysis</w:t>
      </w:r>
      <w:r>
        <w:rPr/>
        <w:t xml:space="preserve">. Springer-Verlag New York. </w:t>
      </w:r>
      <w:hyperlink r:id="rId7">
        <w:r>
          <w:rPr>
            <w:rStyle w:val="InternetLink"/>
          </w:rPr>
          <w:t>http://ggplot2.org</w:t>
        </w:r>
      </w:hyperlink>
      <w:r>
        <w:rPr/>
        <w:t>.</w:t>
      </w:r>
    </w:p>
    <w:p>
      <w:pPr>
        <w:pStyle w:val="Bibliography"/>
        <w:rPr/>
      </w:pPr>
      <w:r>
        <w:rPr/>
        <w:t xml:space="preserve">Алексеев, М. Е. 1999. “Андийские языки.” In </w:t>
      </w:r>
      <w:r>
        <w:rPr>
          <w:i/>
        </w:rPr>
        <w:t>Языки мира. кавказские языки</w:t>
      </w:r>
      <w:r>
        <w:rPr/>
        <w:t>, edited by Старостин Алексеев М. Е., 220–28. Academia.</w:t>
      </w:r>
    </w:p>
    <w:p>
      <w:pPr>
        <w:pStyle w:val="Bibliography"/>
        <w:rPr/>
      </w:pPr>
      <w:r>
        <w:rPr/>
        <w:t xml:space="preserve">Добрушина, Н. Р. 2011. “Многоязычие в Дагестане конца XIX-начала XXI века: попытка количественной оценки.” </w:t>
      </w:r>
      <w:r>
        <w:rPr>
          <w:i/>
        </w:rPr>
        <w:t>Вопросы языкознания</w:t>
      </w:r>
      <w:r>
        <w:rPr/>
        <w:t>, no. 4: 61–80.</w:t>
      </w:r>
    </w:p>
    <w:p>
      <w:pPr>
        <w:pStyle w:val="Bibliography"/>
        <w:rPr/>
      </w:pPr>
      <w:r>
        <w:rPr/>
        <w:t xml:space="preserve">Салимов, Х. С. 2010 (1968). </w:t>
      </w:r>
      <w:r>
        <w:rPr>
          <w:i/>
        </w:rPr>
        <w:t>Гагатлинский говор андийского языка</w:t>
      </w:r>
      <w:r>
        <w:rPr/>
        <w:t>. Институт языка, литературы и искусства им. Г. Цадасы.</w:t>
      </w:r>
    </w:p>
    <w:p>
      <w:pPr>
        <w:pStyle w:val="Bibliography"/>
        <w:rPr/>
      </w:pPr>
      <w:r>
        <w:rPr/>
        <w:t>Сулейманов, Я. Г. 1957. “Грамматический очерк андийского языка (по данным говора с. риквани).” PhD thesis, Институт языкознания АН СССР.</w:t>
      </w:r>
    </w:p>
    <w:sectPr>
      <w:footnotePr>
        <w:numFmt w:val="decimal"/>
      </w:footnote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 xml:space="preserve"> </w:t>
      </w:r>
      <w:r>
        <w:rPr/>
        <w:t>Работа над статьей выполнялась в рамках проекта РФФИ №18-012-00852 «Морфосинтаксис андийского языка: опыт внутригенетической типологии»</w:t>
      </w:r>
    </w:p>
  </w:footnote>
  <w:footnote w:id="3">
    <w:p>
      <w:pPr>
        <w:pStyle w:val="Footnote"/>
        <w:rPr/>
      </w:pPr>
      <w:r>
        <w:rPr/>
        <w:footnoteRef/>
        <w:tab/>
        <w:t xml:space="preserve"> </w:t>
      </w:r>
      <w:r>
        <w:rPr/>
        <w:t xml:space="preserve">Отсутствие фонетической адаптации, видимо, можно связать с увеличением роли русского языка в последнем столетии. Более ранние русские заимствования подвергались фонетическому изменению, ср. формы с. Гагтли </w:t>
      </w:r>
      <w:r>
        <w:rPr>
          <w:i/>
        </w:rPr>
        <w:t>kempeti</w:t>
      </w:r>
      <w:r>
        <w:rPr/>
        <w:t xml:space="preserve"> ‘конфеты’, </w:t>
      </w:r>
      <w:r>
        <w:rPr>
          <w:i/>
        </w:rPr>
        <w:t>tʃajnik’i</w:t>
      </w:r>
      <w:r>
        <w:rPr/>
        <w:t xml:space="preserve"> ‘чайник’, </w:t>
      </w:r>
      <w:r>
        <w:rPr>
          <w:i/>
        </w:rPr>
        <w:t>ʃːiɡolati</w:t>
      </w:r>
      <w:r>
        <w:rPr/>
        <w:t xml:space="preserve"> ‘шоколад’ (Салимов 2010 (1968): 43).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Heading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0" w:after="0"/>
    </w:pPr>
    <w:rPr>
      <w:rFonts w:ascii="Times New Roman" w:hAnsi="Times New Roman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83" w:after="0"/>
      <w:ind w:left="283" w:right="0" w:hanging="283"/>
      <w:contextualSpacing/>
    </w:pPr>
    <w:rPr>
      <w:sz w:val="20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0"/>
    </w:pPr>
    <w:rPr>
      <w:rFonts w:ascii="Times New Roman" w:hAnsi="Times New Roman"/>
      <w:color w:val="00000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icolamz@gmail.com" TargetMode="External"/><Relationship Id="rId3" Type="http://schemas.openxmlformats.org/officeDocument/2006/relationships/hyperlink" Target="mailto:jh.verhees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RAN.R-project.org/package=irr" TargetMode="External"/><Relationship Id="rId6" Type="http://schemas.openxmlformats.org/officeDocument/2006/relationships/hyperlink" Target="https://CRAN.R-project.org/package=lingtypology" TargetMode="External"/><Relationship Id="rId7" Type="http://schemas.openxmlformats.org/officeDocument/2006/relationships/hyperlink" Target="http://ggplot2.org/" TargetMode="Externa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3</Pages>
  <Words>754</Words>
  <Characters>4583</Characters>
  <CharactersWithSpaces>5202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2018-05-01T01:01:08Z</dcterms:created>
  <dc:creator/>
  <dc:description/>
  <dc:language>en-US</dc:language>
  <cp:lastModifiedBy/>
  <dcterms:modified xsi:type="dcterms:W3CDTF">2018-05-01T04:16:33Z</dcterms:modified>
  <cp:revision>2</cp:revision>
  <dc:subject/>
  <dc:title/>
</cp:coreProperties>
</file>