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1"/>
      <w:bookmarkStart w:id="1" w:name="OLE_LINK2"/>
      <w:bookmarkStart w:id="2" w:name="OLE_LINK9"/>
      <w:bookmarkStart w:id="3" w:name="OLE_LINK1"/>
      <w:bookmarkStart w:id="4" w:name="OLE_LINK2"/>
      <w:bookmarkStart w:id="5" w:name="OLE_LINK9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21"/>
      <w:bookmarkStart w:id="7" w:name="OLE_LINK91"/>
      <w:bookmarkStart w:id="8" w:name="OLE_LINK11"/>
      <w:bookmarkStart w:id="9" w:name="OLE_LINK21"/>
      <w:bookmarkStart w:id="10" w:name="OLE_LINK91"/>
      <w:bookmarkStart w:id="11" w:name="OLE_LINK1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Автор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Г. А. Мороз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Число кредитов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Контактная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Самостоятельная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108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Курс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sz w:val="24"/>
          <w:szCs w:val="24"/>
        </w:rPr>
      </w:pPr>
      <w:r>
        <w:rPr>
          <w:rFonts w:cs="Times New Roman"/>
          <w:b w:val="false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1429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с использованием онлайн курса.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29" w:type="dxa"/>
        <w:jc w:val="left"/>
        <w:tblInd w:w="-104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699"/>
        <w:gridCol w:w="1656"/>
        <w:gridCol w:w="2948"/>
        <w:gridCol w:w="2525"/>
      </w:tblGrid>
      <w:tr>
        <w:trPr>
          <w:trHeight w:val="58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1. Введение в Data Science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лк </w:t>
            </w:r>
            <w:r>
              <w:rPr>
                <w:szCs w:val="24"/>
              </w:rPr>
              <w:t>2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Знать</w:t>
            </w:r>
            <w:r>
              <w:rPr>
                <w:szCs w:val="24"/>
              </w:rPr>
              <w:t xml:space="preserve"> чем наука о данных отличается от машинного обучения и статистики.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 </w:t>
            </w:r>
            <w:r>
              <w:rPr>
                <w:szCs w:val="24"/>
              </w:rPr>
              <w:t>4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>Тема 2. Введение в R: основные элементы, функции, циклы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Владеть основами R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1</w:t>
            </w:r>
            <w:r>
              <w:rPr>
                <w:szCs w:val="24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Продвинутая обработка данных: пакеты tidyr и dplyr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методами обработки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1</w:t>
            </w:r>
            <w:r>
              <w:rPr/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Работа со строками: строки в R, регулярные выражения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Владеть методам анализа строк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Визуализация данных: base R vs. ggplot2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Владеть методами визуализации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Лингвистические пакеты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Знать лингвистические пакеты на R 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Введение в статистику: основы фриквентисткой статистики, формулировка гипотез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Применять основные фриквентисткие тесты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Корреляция и линейная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/>
              <w:t>Применять корреляционный и регрессионный анализы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 xml:space="preserve">см </w:t>
            </w:r>
            <w:r>
              <w:rPr>
                <w:color w:val="000000"/>
              </w:rPr>
              <w:t>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/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Логистическая и мультиномиальная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  <w:shd w:fill="FFFFFF" w:val="clear"/>
              </w:rPr>
              <w:t>Применять метод логистической регресии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1</w:t>
            </w:r>
          </w:p>
        </w:tc>
        <w:tc>
          <w:tcPr>
            <w:tcW w:w="2948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restart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Тема 10. Критерии согласия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</w:rPr>
              <w:t>Применять методы логистической регресии</w:t>
            </w:r>
          </w:p>
        </w:tc>
        <w:tc>
          <w:tcPr>
            <w:tcW w:w="2525" w:type="dxa"/>
            <w:vMerge w:val="restart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</w:t>
            </w:r>
            <w:r>
              <w:rPr>
                <w:color w:val="000000"/>
              </w:rPr>
              <w:t>0</w:t>
            </w:r>
          </w:p>
        </w:tc>
        <w:tc>
          <w:tcPr>
            <w:tcW w:w="2948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5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108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13" w:name="_Hlk16851548"/>
      <w:bookmarkEnd w:id="13"/>
      <w:r>
        <w:rPr>
          <w:color w:val="000000"/>
          <w:szCs w:val="24"/>
          <w:lang w:eastAsia="ru-RU"/>
        </w:rPr>
        <w:t>Итоговая оценка за курс состоит из оценок за домашние работы и экзамен.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 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0.6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промежуточный тесты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+ </w:t>
      </w:r>
      <w:r>
        <w:rPr>
          <w:i w:val="false"/>
          <w:iCs w:val="false"/>
          <w:color w:val="000000"/>
          <w:position w:val="0"/>
          <w:sz w:val="24"/>
          <w:sz w:val="24"/>
          <w:szCs w:val="24"/>
          <w:vertAlign w:val="baseline"/>
          <w:lang w:eastAsia="ru-RU"/>
        </w:rPr>
        <w:t xml:space="preserve">0.4 * </w:t>
      </w:r>
      <w:r>
        <w:rPr>
          <w:i/>
          <w:iCs/>
          <w:color w:val="000000"/>
          <w:position w:val="0"/>
          <w:sz w:val="24"/>
          <w:sz w:val="24"/>
          <w:szCs w:val="24"/>
          <w:vertAlign w:val="baseline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финальный тест</w:t>
      </w:r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14" w:name="_Hlk168515481"/>
      <w:bookmarkStart w:id="15" w:name="_Hlk168515481"/>
      <w:bookmarkEnd w:id="15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left"/>
        <w:rPr/>
      </w:pPr>
      <w:r>
        <w:rPr>
          <w:color w:val="000000"/>
          <w:szCs w:val="24"/>
        </w:rPr>
        <w:t>Постройте следующий график на основании следующего датасета:</w:t>
      </w:r>
    </w:p>
    <w:p>
      <w:pPr>
        <w:pStyle w:val="Normal"/>
        <w:ind w:hanging="0"/>
        <w:jc w:val="left"/>
        <w:rPr>
          <w:color w:val="000000"/>
          <w:szCs w:val="24"/>
        </w:rPr>
      </w:pPr>
      <w:r>
        <w:rPr>
          <w:color w:val="00000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315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>
          <w:szCs w:val="24"/>
        </w:rPr>
        <w:t>Посчитайте значение корреляции двух переменных встроенного датасета ggplot2::diamonds: depth и price.</w:t>
      </w:r>
    </w:p>
    <w:p>
      <w:pPr>
        <w:pStyle w:val="Normal"/>
        <w:ind w:hanging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Bivand, R. S. Applied spatial data analysis with R / R. S. Bivand, E. J. Pebesma, V. Gomez-Rubio. – New York: Springer, 2008. – 374 с. – (Use R!) . – На англ. яз. - ISBN 978-0-387-78170-9.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sz w:val="22"/>
          <w:highlight w:val="white"/>
        </w:rPr>
        <w:t>Wickham, H. R for data science: import, tidy, transform, visualize, and model data / H. Wickham, G. Grolemund. – Sebastopol: O’Reilly, 2017. – 492 с. – На англ. яз. - ISBN 9781491910399: 2002.55.</w:t>
      </w:r>
    </w:p>
    <w:p>
      <w:pPr>
        <w:pStyle w:val="Normal"/>
        <w:ind w:hanging="0"/>
        <w:jc w:val="left"/>
        <w:rPr>
          <w:sz w:val="22"/>
          <w:highlight w:val="white"/>
        </w:rPr>
      </w:pPr>
      <w:r>
        <w:rPr>
          <w:sz w:val="22"/>
          <w:highlight w:val="white"/>
        </w:rPr>
      </w:r>
    </w:p>
    <w:p>
      <w:pPr>
        <w:pStyle w:val="Heading2"/>
        <w:numPr>
          <w:ilvl w:val="0"/>
          <w:numId w:val="0"/>
        </w:numPr>
        <w:ind w:left="0" w:hanging="0"/>
        <w:jc w:val="both"/>
        <w:rPr/>
      </w:pPr>
      <w:r>
        <w:rPr>
          <w:sz w:val="22"/>
          <w:szCs w:val="22"/>
        </w:rPr>
        <w:t>5.2 Рекомендуемая дополнительная литература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Xie, Y. Dynamic documents with R and knitr / Y. Xie. – Boca Raton; London; New York: CRC Press, 2014. – 190 с. – (The R series) . – На англ. яз. - ISBN 978-1-482-20353-0.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Spector, P. Data manipulation with R / P. Spector. – New York: Springer, 2008. – 152 с. – (Use R!). – На англ. яз. - ISBN 978-0-387-74730-9.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Wickham, H. ggplot2: elegant graphics for data analysis / H. Wickham. – Dordrecht: Springer, 2009. – 212 с. – (Use R!). – На англ. яз. - ISBN 978-0-387-98140-6.</w:t>
      </w:r>
    </w:p>
    <w:p>
      <w:pPr>
        <w:pStyle w:val="Normal"/>
        <w:widowControl/>
        <w:suppressAutoHyphens w:val="false"/>
        <w:bidi w:val="0"/>
        <w:ind w:left="0" w:right="0" w:hanging="0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Wickham, H. Advanced R / H. Wickham. – Boca Raton [etc.]: CRC Press, 2014. – 456 с. – (Chapman &amp; Hall/CRC. The R Series) . – На англ. яз. - ISBN 978-1-466-58696-3.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968"/>
        <w:gridCol w:w="4210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>
          <w:trHeight w:val="404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>Github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/>
            </w:pPr>
            <w:r>
              <w:rPr/>
              <w:t>2.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 xml:space="preserve"> </w:t>
            </w:r>
            <w:r>
              <w:rPr/>
              <w:t>Онлайн курс Программирование (язык R)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/>
              <w:t>https://openedu.ru/course/hse/RLING/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Normal"/>
        <w:ind w:hanging="0"/>
        <w:jc w:val="left"/>
        <w:rPr/>
      </w:pPr>
      <w:r>
        <w:rPr/>
        <w:t>Учебные аудитории для лекционных занятий по дисциплине обеспечивают использование и демонстрацию тематических иллюстраций, соответствующих программе дисциплины в составе: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ПЭВМ с доступом в Интернет (операционная система, офисные программы, антивирусные программы);</w:t>
      </w:r>
    </w:p>
    <w:p>
      <w:pPr>
        <w:pStyle w:val="Normal"/>
        <w:jc w:val="left"/>
        <w:rPr/>
      </w:pPr>
      <w:r>
        <w:rPr/>
        <w:t>•</w:t>
      </w:r>
      <w:r>
        <w:rPr>
          <w:rFonts w:eastAsia="Liberation Serif;Times New Roman" w:cs="Liberation Serif;Times New Roman"/>
        </w:rPr>
        <w:t xml:space="preserve"> </w:t>
      </w:r>
      <w:r>
        <w:rPr/>
        <w:t>мультимедийный проектор с дистанционным управлением.</w:t>
      </w:r>
    </w:p>
    <w:p>
      <w:pPr>
        <w:pStyle w:val="Normal"/>
        <w:widowControl w:val="false"/>
        <w:ind w:hanging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Учебные аудитории для лабораторных и самостоятельных занятий по дисциплине оснащены ПЭВМ,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character" w:styleId="ListLabel33">
    <w:name w:val="ListLabel 33"/>
    <w:qFormat/>
    <w:rPr>
      <w:iCs/>
    </w:rPr>
  </w:style>
  <w:style w:type="character" w:styleId="ListLabel34">
    <w:name w:val="ListLabel 34"/>
    <w:qFormat/>
    <w:rPr>
      <w:b/>
      <w:lang w:eastAsia="en-US"/>
    </w:rPr>
  </w:style>
  <w:style w:type="character" w:styleId="ListLabel35">
    <w:name w:val="ListLabel 35"/>
    <w:qFormat/>
    <w:rPr>
      <w:rFonts w:eastAsia="Times New Roman" w:cs="Times New Roman"/>
      <w:b/>
      <w:sz w:val="22"/>
    </w:rPr>
  </w:style>
  <w:style w:type="character" w:styleId="ListLabel36">
    <w:name w:val="ListLabel 36"/>
    <w:qFormat/>
    <w:rPr>
      <w:rFonts w:cs="Symbol"/>
      <w:b/>
    </w:rPr>
  </w:style>
  <w:style w:type="character" w:styleId="ListLabel37">
    <w:name w:val="ListLabel 37"/>
    <w:qFormat/>
    <w:rPr>
      <w:sz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8">
    <w:name w:val="ListLabel 38"/>
    <w:qFormat/>
    <w:rPr>
      <w:iCs/>
    </w:rPr>
  </w:style>
  <w:style w:type="character" w:styleId="ListLabel39">
    <w:name w:val="ListLabel 39"/>
    <w:qFormat/>
    <w:rPr>
      <w:b/>
      <w:lang w:eastAsia="en-US"/>
    </w:rPr>
  </w:style>
  <w:style w:type="character" w:styleId="ListLabel40">
    <w:name w:val="ListLabel 40"/>
    <w:qFormat/>
    <w:rPr>
      <w:rFonts w:eastAsia="Times New Roman" w:cs="Times New Roman"/>
      <w:b/>
      <w:sz w:val="22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tru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LibreOffice/6.0.7.3$Linux_X86_64 LibreOffice_project/00m0$Build-3</Application>
  <Pages>4</Pages>
  <Words>1009</Words>
  <Characters>6066</Characters>
  <CharactersWithSpaces>7097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2019-08-28T23:31:56Z</dcterms:modified>
  <cp:revision>24</cp:revision>
  <dc:subject/>
  <dc:title>[Оставьте этот титульный лист для дисциплины, закрепленной за одной кафедрой]</dc:title>
</cp:coreProperties>
</file>