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Cs w:val="24"/>
        </w:rPr>
        <w:t>П</w:t>
      </w:r>
      <w:r>
        <w:rPr>
          <w:b/>
          <w:szCs w:val="24"/>
        </w:rPr>
        <w:t>рограмма учебной дисциплины</w:t>
      </w:r>
      <w:r>
        <w:rPr>
          <w:szCs w:val="24"/>
        </w:rPr>
        <w:t xml:space="preserve"> </w:t>
      </w:r>
      <w:r>
        <w:rPr>
          <w:b/>
          <w:szCs w:val="24"/>
        </w:rPr>
        <w:t>«Введение в науку о данных»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  <w:bookmarkStart w:id="0" w:name="OLE_LINK9"/>
      <w:bookmarkStart w:id="1" w:name="OLE_LINK2"/>
      <w:bookmarkStart w:id="2" w:name="OLE_LINK1"/>
      <w:bookmarkStart w:id="3" w:name="OLE_LINK9"/>
      <w:bookmarkStart w:id="4" w:name="OLE_LINK2"/>
      <w:bookmarkStart w:id="5" w:name="OLE_LINK1"/>
      <w:bookmarkEnd w:id="3"/>
      <w:bookmarkEnd w:id="4"/>
      <w:bookmarkEnd w:id="5"/>
    </w:p>
    <w:p>
      <w:pPr>
        <w:pStyle w:val="Normal"/>
        <w:ind w:hanging="0"/>
        <w:jc w:val="center"/>
        <w:rPr>
          <w:szCs w:val="24"/>
        </w:rPr>
      </w:pPr>
      <w:r>
        <w:rPr>
          <w:rFonts w:eastAsia="Times New Roman"/>
          <w:szCs w:val="24"/>
        </w:rPr>
        <w:t xml:space="preserve">                                                          </w:t>
      </w:r>
      <w:r>
        <w:rPr>
          <w:szCs w:val="24"/>
        </w:rPr>
        <w:t xml:space="preserve">Утверждена  </w:t>
      </w:r>
    </w:p>
    <w:p>
      <w:pPr>
        <w:pStyle w:val="Normal"/>
        <w:ind w:hanging="0"/>
        <w:jc w:val="center"/>
        <w:rPr/>
      </w:pPr>
      <w:r>
        <w:rPr>
          <w:rFonts w:eastAsia="Times New Roman"/>
          <w:szCs w:val="24"/>
        </w:rPr>
        <w:t xml:space="preserve">                                                                                      </w:t>
      </w:r>
      <w:r>
        <w:rPr>
          <w:szCs w:val="24"/>
        </w:rPr>
        <w:t>Академическим советом ОП</w:t>
      </w:r>
    </w:p>
    <w:p>
      <w:pPr>
        <w:pStyle w:val="Normal"/>
        <w:ind w:hanging="0"/>
        <w:jc w:val="right"/>
        <w:rPr/>
      </w:pPr>
      <w:r>
        <w:rPr>
          <w:szCs w:val="24"/>
        </w:rPr>
        <w:t>Протокол № 15 от  «28» июня 2018 г.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  <w:bookmarkStart w:id="6" w:name="OLE_LINK11"/>
      <w:bookmarkStart w:id="7" w:name="OLE_LINK91"/>
      <w:bookmarkStart w:id="8" w:name="OLE_LINK21"/>
      <w:bookmarkStart w:id="9" w:name="OLE_LINK11"/>
      <w:bookmarkStart w:id="10" w:name="OLE_LINK91"/>
      <w:bookmarkStart w:id="11" w:name="OLE_LINK21"/>
      <w:bookmarkEnd w:id="9"/>
      <w:bookmarkEnd w:id="10"/>
      <w:bookmarkEnd w:id="11"/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</w:r>
    </w:p>
    <w:tbl>
      <w:tblPr>
        <w:tblW w:w="10147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651"/>
        <w:gridCol w:w="6495"/>
      </w:tblGrid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Автор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Г. А. Мороз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Число кредитов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Контактная работа (час.)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Самостоятельная работа (час.)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108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Курс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Формат изучения дисциплины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с использования онлайн-курса</w:t>
            </w:r>
          </w:p>
        </w:tc>
      </w:tr>
    </w:tbl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Style19"/>
        <w:numPr>
          <w:ilvl w:val="0"/>
          <w:numId w:val="3"/>
        </w:numPr>
        <w:shd w:val="clear" w:fill="FFFFFF"/>
        <w:jc w:val="center"/>
        <w:textAlignment w:val="baseline"/>
        <w:rPr>
          <w:b/>
          <w:b/>
          <w:lang w:eastAsia="en-US"/>
        </w:rPr>
      </w:pPr>
      <w:r>
        <w:rPr>
          <w:b/>
          <w:lang w:eastAsia="en-US"/>
        </w:rPr>
        <w:t>Цель, результаты и пререквизиты освоения дисциплины</w:t>
      </w:r>
    </w:p>
    <w:p>
      <w:pPr>
        <w:pStyle w:val="Normal"/>
        <w:jc w:val="both"/>
        <w:rPr>
          <w:b/>
          <w:b/>
          <w:szCs w:val="24"/>
          <w:lang w:eastAsia="en-US"/>
        </w:rPr>
      </w:pPr>
      <w:r>
        <w:rPr>
          <w:b/>
          <w:szCs w:val="24"/>
          <w:lang w:eastAsia="en-US"/>
        </w:rPr>
      </w:r>
    </w:p>
    <w:p>
      <w:pPr>
        <w:pStyle w:val="Normal"/>
        <w:ind w:hanging="0"/>
        <w:jc w:val="both"/>
        <w:rPr/>
      </w:pPr>
      <w:r>
        <w:rPr>
          <w:szCs w:val="24"/>
        </w:rPr>
        <w:t>Целями освоения дисциплины «</w:t>
      </w:r>
      <w:r>
        <w:rPr>
          <w:b w:val="false"/>
          <w:bCs w:val="false"/>
          <w:szCs w:val="24"/>
        </w:rPr>
        <w:t>Введение в науку о данных</w:t>
      </w:r>
      <w:r>
        <w:rPr>
          <w:szCs w:val="24"/>
        </w:rPr>
        <w:t>» является знакомство:</w:t>
      </w:r>
    </w:p>
    <w:p>
      <w:pPr>
        <w:pStyle w:val="Normal"/>
        <w:ind w:hanging="0"/>
        <w:jc w:val="both"/>
        <w:rPr/>
      </w:pPr>
      <w:r>
        <w:rPr>
          <w:szCs w:val="24"/>
        </w:rPr>
        <w:tab/>
        <w:t>с основами работы в R и RStudio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типами данных (таблицы, тексты, изображение с текстом);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методами сбора, обработки и трансформации данных;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методами визуализации и представления данных;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статистического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регрессионного анализа;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sz w:val="24"/>
          <w:szCs w:val="24"/>
        </w:rPr>
      </w:pPr>
      <w:r>
        <w:rPr>
          <w:rFonts w:cs="Times New Roman"/>
          <w:b w:val="false"/>
          <w:sz w:val="24"/>
          <w:szCs w:val="24"/>
        </w:rPr>
      </w:r>
    </w:p>
    <w:p>
      <w:pPr>
        <w:pStyle w:val="Normal"/>
        <w:ind w:hanging="0"/>
        <w:jc w:val="both"/>
        <w:rPr/>
      </w:pPr>
      <w:r>
        <w:rPr/>
        <w:t>В результате освоения дисциплины студент должен:</w:t>
      </w:r>
    </w:p>
    <w:p>
      <w:pPr>
        <w:pStyle w:val="Normal"/>
        <w:jc w:val="both"/>
        <w:rPr/>
      </w:pPr>
      <w:r>
        <w:rPr/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знать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особенности работы R, основные особенности анализа различных типов данных;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познакомиться с основами методами регрессионного анализа данных</w:t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уметь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преобразовывать и визуализировать данные;</w:t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1429"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владеть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 xml:space="preserve">базовыми навыками самостоятельного анализа данных, а также критической интерпретации анализа данных, представленной в научных работах; </w:t>
      </w:r>
    </w:p>
    <w:p>
      <w:pPr>
        <w:pStyle w:val="Normal"/>
        <w:ind w:firstLine="567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  <w:t>У курса нет пререквизитов.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jc w:val="both"/>
        <w:rPr/>
      </w:pPr>
      <w:r>
        <w:rPr>
          <w:szCs w:val="24"/>
        </w:rPr>
        <w:t xml:space="preserve">Формат изучения: </w:t>
      </w:r>
      <w:r>
        <w:rPr>
          <w:color w:val="222222"/>
          <w:szCs w:val="24"/>
          <w:shd w:fill="FFFFFF" w:val="clear"/>
        </w:rPr>
        <w:t>лекции, семинары, с использованием онлайн курса.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9"/>
        <w:numPr>
          <w:ilvl w:val="0"/>
          <w:numId w:val="3"/>
        </w:numPr>
        <w:shd w:val="clear" w:fill="FFFFFF"/>
        <w:jc w:val="center"/>
        <w:textAlignment w:val="baseline"/>
        <w:rPr>
          <w:b/>
          <w:b/>
          <w:bCs/>
          <w:color w:val="000000"/>
        </w:rPr>
      </w:pPr>
      <w:r>
        <w:rPr>
          <w:b/>
          <w:bCs/>
          <w:color w:val="000000"/>
        </w:rPr>
        <w:t>Содержание учебной дисциплины</w:t>
      </w:r>
    </w:p>
    <w:p>
      <w:pPr>
        <w:pStyle w:val="Normal"/>
        <w:spacing w:before="20" w:after="0"/>
        <w:ind w:hanging="0"/>
        <w:jc w:val="both"/>
        <w:rPr>
          <w:b/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</w:r>
    </w:p>
    <w:tbl>
      <w:tblPr>
        <w:tblW w:w="9829" w:type="dxa"/>
        <w:jc w:val="left"/>
        <w:tblInd w:w="-104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110" w:type="dxa"/>
          <w:bottom w:w="0" w:type="dxa"/>
          <w:right w:w="115" w:type="dxa"/>
        </w:tblCellMar>
      </w:tblPr>
      <w:tblGrid>
        <w:gridCol w:w="2699"/>
        <w:gridCol w:w="1656"/>
        <w:gridCol w:w="2948"/>
        <w:gridCol w:w="2525"/>
      </w:tblGrid>
      <w:tr>
        <w:trPr>
          <w:trHeight w:val="580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bookmarkStart w:id="12" w:name="_Hlk16848955"/>
            <w:bookmarkEnd w:id="12"/>
            <w:r>
              <w:rPr>
                <w:b/>
                <w:bCs/>
                <w:color w:val="000000"/>
              </w:rPr>
              <w:t>Тема (раздел дисциплины)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Объем в часах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Планируемые результаты обучения (ПРО), подлежащие контролю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Формы контроля</w:t>
            </w:r>
          </w:p>
        </w:tc>
      </w:tr>
      <w:tr>
        <w:trPr>
          <w:trHeight w:val="268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 w:val="24"/>
                <w:szCs w:val="24"/>
              </w:rPr>
              <w:t>Тема 1. Введение в Data Science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2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</w:rPr>
              <w:t>Знать чем наука о данных отличается от машинного обучения и статистики.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336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 4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24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ср 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 w:val="24"/>
                <w:szCs w:val="24"/>
              </w:rPr>
              <w:t>Тема 2. Введение в R: основные элементы, функции, циклы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</w:rPr>
              <w:t>Владеть основами R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228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ind w:hanging="0"/>
              <w:rPr>
                <w:szCs w:val="24"/>
              </w:rPr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168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ср  11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ind w:hanging="0"/>
              <w:rPr>
                <w:szCs w:val="24"/>
              </w:rPr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216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 w:val="24"/>
                <w:szCs w:val="24"/>
              </w:rPr>
              <w:t xml:space="preserve">Тема 3. </w:t>
            </w:r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Продвинутая обработка данных: пакеты tidyr и dplyr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tabs>
                <w:tab w:val="left" w:pos="0" w:leader="none"/>
                <w:tab w:val="left" w:pos="142" w:leader="none"/>
                <w:tab w:val="left" w:pos="284" w:leader="none"/>
              </w:tabs>
              <w:suppressAutoHyphens w:val="true"/>
              <w:ind w:hanging="0"/>
              <w:jc w:val="both"/>
              <w:rPr/>
            </w:pPr>
            <w:r>
              <w:rPr>
                <w:color w:val="000000"/>
                <w:szCs w:val="24"/>
              </w:rPr>
              <w:t>Владеть методами обработки данных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28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 xml:space="preserve">см </w:t>
            </w:r>
            <w:r>
              <w:rPr>
                <w:b w:val="false"/>
                <w:bCs w:val="false"/>
                <w:color w:val="000000"/>
                <w:szCs w:val="24"/>
              </w:rPr>
              <w:t>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168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/>
              <w:t>ср  11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Cs w:val="24"/>
              </w:rPr>
              <w:t xml:space="preserve">Тема 4.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Работа со строками: строки в R, регулярные выражения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color w:val="000000"/>
                <w:szCs w:val="24"/>
              </w:rPr>
              <w:t>Владеть методам анализа строк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iCs/>
                <w:color w:val="000000"/>
              </w:rPr>
            </w:pPr>
            <w:r>
              <w:rPr>
                <w:i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iCs/>
                <w:color w:val="000000"/>
              </w:rPr>
            </w:pPr>
            <w:r>
              <w:rPr>
                <w:i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  11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Cs w:val="24"/>
              </w:rPr>
              <w:t xml:space="preserve">Тема 5.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Визуализация данных: base R vs. ggplot2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  <w:lang w:eastAsia="ru-RU"/>
              </w:rPr>
              <w:t>Владеть методами визуализации данных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Cs w:val="24"/>
              </w:rPr>
              <w:t xml:space="preserve">Тема 6.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Лингвистические пакеты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 xml:space="preserve">Знать лингвистические пакеты на R 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Cs w:val="24"/>
              </w:rPr>
              <w:t xml:space="preserve">Тема 7.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Введение в статистику: основы фриквентисткой статистики, формулировка гипотез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zCs w:val="24"/>
              </w:rPr>
              <w:t>Применять основные фриквентисткие тесты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Cs w:val="24"/>
              </w:rPr>
              <w:t>Тема 8.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 xml:space="preserve"> Корреляция и линейная регрессия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/>
              <w:t>Применять корреляционный и регрессионный анализы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Cs w:val="24"/>
              </w:rPr>
              <w:t xml:space="preserve">Тема 9.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Логистическая и мультиномиальная регрессия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  <w:shd w:fill="FFFFFF" w:val="clear"/>
              </w:rPr>
              <w:t>Применять метод логистической регресии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Тема 10. Критерии согласия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</w:rPr>
              <w:t>Применять методы логистической регресии</w:t>
            </w:r>
          </w:p>
        </w:tc>
        <w:tc>
          <w:tcPr>
            <w:tcW w:w="2525" w:type="dxa"/>
            <w:vMerge w:val="restart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0</w:t>
            </w:r>
          </w:p>
        </w:tc>
        <w:tc>
          <w:tcPr>
            <w:tcW w:w="2948" w:type="dxa"/>
            <w:vMerge w:val="continue"/>
            <w:tcBorders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10</w:t>
            </w:r>
          </w:p>
        </w:tc>
        <w:tc>
          <w:tcPr>
            <w:tcW w:w="2948" w:type="dxa"/>
            <w:vMerge w:val="continue"/>
            <w:tcBorders>
              <w:left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Часов по видам учебных занятий: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3</w:t>
            </w:r>
          </w:p>
        </w:tc>
        <w:tc>
          <w:tcPr>
            <w:tcW w:w="5473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3</w:t>
            </w:r>
          </w:p>
        </w:tc>
        <w:tc>
          <w:tcPr>
            <w:tcW w:w="5473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108</w:t>
            </w:r>
          </w:p>
        </w:tc>
        <w:tc>
          <w:tcPr>
            <w:tcW w:w="5473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 часов: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304</w:t>
            </w:r>
          </w:p>
        </w:tc>
        <w:tc>
          <w:tcPr>
            <w:tcW w:w="5473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20" w:after="0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Heading1"/>
        <w:rPr>
          <w:lang w:val="ru-RU"/>
        </w:rPr>
      </w:pPr>
      <w:r>
        <w:rPr>
          <w:lang w:val="ru-RU"/>
        </w:rPr>
        <w:t xml:space="preserve">3. </w:t>
      </w:r>
      <w:r>
        <w:rPr>
          <w:highlight w:val="yellow"/>
          <w:lang w:val="ru-RU"/>
        </w:rPr>
        <w:t>Оценивание</w:t>
      </w:r>
    </w:p>
    <w:p>
      <w:pPr>
        <w:pStyle w:val="Normal"/>
        <w:ind w:hanging="0"/>
        <w:rPr/>
      </w:pPr>
      <w:bookmarkStart w:id="13" w:name="_Hlk16851548"/>
      <w:bookmarkEnd w:id="13"/>
      <w:r>
        <w:rPr>
          <w:color w:val="000000"/>
          <w:szCs w:val="24"/>
          <w:lang w:eastAsia="ru-RU"/>
        </w:rPr>
        <w:t>Итоговая оценка за курс состоит из оценок за домашние работы и экзамен.</w:t>
      </w:r>
    </w:p>
    <w:p>
      <w:pPr>
        <w:pStyle w:val="Normal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jc w:val="center"/>
        <w:rPr/>
      </w:pPr>
      <w:r>
        <w:rPr>
          <w:i/>
          <w:iCs/>
          <w:color w:val="000000"/>
          <w:szCs w:val="24"/>
          <w:lang w:eastAsia="ru-RU"/>
        </w:rPr>
        <w:t>О</w:t>
      </w:r>
      <w:r>
        <w:rPr>
          <w:i/>
          <w:iCs/>
          <w:color w:val="000000"/>
          <w:szCs w:val="24"/>
          <w:vertAlign w:val="subscript"/>
          <w:lang w:eastAsia="ru-RU"/>
        </w:rPr>
        <w:t>итоговый</w:t>
      </w:r>
      <w:r>
        <w:rPr>
          <w:i/>
          <w:iCs/>
          <w:color w:val="000000"/>
          <w:szCs w:val="24"/>
          <w:lang w:eastAsia="ru-RU"/>
        </w:rPr>
        <w:t xml:space="preserve"> </w:t>
      </w:r>
      <w:r>
        <w:rPr>
          <w:color w:val="000000"/>
          <w:szCs w:val="24"/>
          <w:lang w:eastAsia="ru-RU"/>
        </w:rPr>
        <w:t xml:space="preserve">= </w:t>
      </w:r>
      <w:r>
        <w:rPr>
          <w:i/>
          <w:iCs/>
          <w:color w:val="000000"/>
          <w:szCs w:val="24"/>
          <w:vertAlign w:val="subscript"/>
          <w:lang w:eastAsia="ru-RU"/>
        </w:rPr>
        <w:t xml:space="preserve">    </w:t>
      </w:r>
      <w:r>
        <w:rPr>
          <w:i w:val="false"/>
          <w:iCs w:val="false"/>
          <w:color w:val="000000"/>
          <w:position w:val="0"/>
          <w:sz w:val="24"/>
          <w:sz w:val="24"/>
          <w:szCs w:val="24"/>
          <w:vertAlign w:val="baseline"/>
          <w:lang w:eastAsia="ru-RU"/>
        </w:rPr>
        <w:t xml:space="preserve">0.6 * </w:t>
      </w:r>
      <w:r>
        <w:rPr>
          <w:i/>
          <w:iCs/>
          <w:color w:val="000000"/>
          <w:position w:val="0"/>
          <w:sz w:val="24"/>
          <w:sz w:val="24"/>
          <w:szCs w:val="24"/>
          <w:vertAlign w:val="baseline"/>
          <w:lang w:eastAsia="ru-RU"/>
        </w:rPr>
        <w:t>О</w:t>
      </w:r>
      <w:r>
        <w:rPr>
          <w:i/>
          <w:iCs/>
          <w:color w:val="000000"/>
          <w:szCs w:val="24"/>
          <w:vertAlign w:val="subscript"/>
          <w:lang w:eastAsia="ru-RU"/>
        </w:rPr>
        <w:t>промежуточный тесты</w:t>
      </w:r>
      <w:r>
        <w:rPr>
          <w:i/>
          <w:iCs/>
          <w:color w:val="000000"/>
          <w:position w:val="0"/>
          <w:sz w:val="24"/>
          <w:sz w:val="24"/>
          <w:szCs w:val="24"/>
          <w:vertAlign w:val="baseline"/>
          <w:lang w:eastAsia="ru-RU"/>
        </w:rPr>
        <w:t xml:space="preserve">+ </w:t>
      </w:r>
      <w:r>
        <w:rPr>
          <w:i w:val="false"/>
          <w:iCs w:val="false"/>
          <w:color w:val="000000"/>
          <w:position w:val="0"/>
          <w:sz w:val="24"/>
          <w:sz w:val="24"/>
          <w:szCs w:val="24"/>
          <w:vertAlign w:val="baseline"/>
          <w:lang w:eastAsia="ru-RU"/>
        </w:rPr>
        <w:t xml:space="preserve">0.4 * </w:t>
      </w:r>
      <w:r>
        <w:rPr>
          <w:i/>
          <w:iCs/>
          <w:color w:val="000000"/>
          <w:position w:val="0"/>
          <w:sz w:val="24"/>
          <w:sz w:val="24"/>
          <w:szCs w:val="24"/>
          <w:vertAlign w:val="baseline"/>
          <w:lang w:eastAsia="ru-RU"/>
        </w:rPr>
        <w:t>О</w:t>
      </w:r>
      <w:r>
        <w:rPr>
          <w:i/>
          <w:iCs/>
          <w:color w:val="000000"/>
          <w:szCs w:val="24"/>
          <w:vertAlign w:val="subscript"/>
          <w:lang w:eastAsia="ru-RU"/>
        </w:rPr>
        <w:t>финальный тест</w:t>
      </w:r>
    </w:p>
    <w:p>
      <w:pPr>
        <w:pStyle w:val="Normal"/>
        <w:jc w:val="both"/>
        <w:rPr>
          <w:color w:val="000000"/>
          <w:szCs w:val="24"/>
          <w:vertAlign w:val="subscript"/>
          <w:lang w:eastAsia="ru-RU"/>
        </w:rPr>
      </w:pPr>
      <w:r>
        <w:rPr>
          <w:color w:val="000000"/>
          <w:szCs w:val="24"/>
          <w:vertAlign w:val="subscript"/>
          <w:lang w:eastAsia="ru-RU"/>
        </w:rPr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Оценки выставляются по 10-балльной шкале. Способ округления оценок: арифметический.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Оценки выставляются по 10-балльной шкале. Способ округления оценок: арифметический.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Оценка 10 ставится за абсолютно верный ответ, содержащий элементы нетривиального подхода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к анализу материала.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Оценка 9 ставится за абсолютно верный ответ, не обладающий нетривиальными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особенностями.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Оценка 8 ставится за абсолютно верный ответ с незначительными погрешностями при условии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их самостоятельного исправления в процессе диалога с преподавателем.</w:t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Ни одна из оценок не является блокирующей.</w:t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 xml:space="preserve">Все элементы контроля подлежат пересдаче в виде 2-ух часовой </w:t>
      </w:r>
      <w:r>
        <w:rPr>
          <w:color w:val="000000"/>
          <w:szCs w:val="24"/>
          <w:lang w:eastAsia="ru-RU"/>
        </w:rPr>
        <w:t xml:space="preserve">контрольной </w:t>
      </w:r>
      <w:r>
        <w:rPr>
          <w:color w:val="000000"/>
          <w:szCs w:val="24"/>
          <w:lang w:eastAsia="ru-RU"/>
        </w:rPr>
        <w:t xml:space="preserve">работы </w:t>
      </w:r>
      <w:r>
        <w:rPr>
          <w:color w:val="000000"/>
          <w:szCs w:val="24"/>
          <w:lang w:eastAsia="ru-RU"/>
        </w:rPr>
        <w:t>по всем темам</w:t>
      </w:r>
      <w:r>
        <w:rPr>
          <w:color w:val="000000"/>
          <w:szCs w:val="24"/>
          <w:lang w:eastAsia="ru-RU"/>
        </w:rPr>
        <w:t>, во время которой можно пользоваться любыми материалами. Время проведения устанавливается факультетом гуманитарных наук. Тематический состав КИМ-ов для пересдач не отличается от тематического состава КИМ-ов текущего контроля и промежуточной аттестации.</w:t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  <w:bookmarkStart w:id="14" w:name="_Hlk168515481"/>
      <w:bookmarkStart w:id="15" w:name="_Hlk168515481"/>
      <w:bookmarkEnd w:id="15"/>
    </w:p>
    <w:p>
      <w:pPr>
        <w:pStyle w:val="Normal"/>
        <w:spacing w:before="20" w:after="0"/>
        <w:ind w:hanging="0"/>
        <w:rPr>
          <w:b/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</w:r>
    </w:p>
    <w:p>
      <w:pPr>
        <w:pStyle w:val="Normal"/>
        <w:tabs>
          <w:tab w:val="left" w:pos="2115" w:leader="none"/>
        </w:tabs>
        <w:ind w:hanging="0"/>
        <w:jc w:val="center"/>
        <w:rPr>
          <w:b/>
          <w:b/>
          <w:szCs w:val="24"/>
        </w:rPr>
      </w:pPr>
      <w:r>
        <w:rPr>
          <w:b/>
          <w:szCs w:val="24"/>
          <w:highlight w:val="yellow"/>
        </w:rPr>
        <w:t>4.Примеры оценочных средств</w:t>
      </w:r>
    </w:p>
    <w:p>
      <w:pPr>
        <w:pStyle w:val="Normal"/>
        <w:ind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left"/>
        <w:rPr/>
      </w:pPr>
      <w:r>
        <w:rPr>
          <w:color w:val="000000"/>
          <w:szCs w:val="24"/>
        </w:rPr>
        <w:t>Постройте следующий график на основании следующего датасета:</w:t>
      </w:r>
    </w:p>
    <w:p>
      <w:pPr>
        <w:pStyle w:val="Normal"/>
        <w:ind w:hanging="0"/>
        <w:jc w:val="left"/>
        <w:rPr>
          <w:color w:val="000000"/>
          <w:szCs w:val="24"/>
        </w:rPr>
      </w:pPr>
      <w:r>
        <w:rPr>
          <w:color w:val="000000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0415" cy="33153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>
          <w:szCs w:val="24"/>
        </w:rPr>
        <w:t>Посчитайте значение корреляции двух переменных встроенного датасета ggplot2::diamonds: depth и price.</w:t>
      </w:r>
    </w:p>
    <w:p>
      <w:pPr>
        <w:pStyle w:val="Normal"/>
        <w:ind w:hanging="0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keepNext w:val="true"/>
        <w:tabs>
          <w:tab w:val="left" w:pos="2115" w:leader="none"/>
        </w:tabs>
        <w:jc w:val="center"/>
        <w:rPr>
          <w:rFonts w:eastAsia="Times New Roman"/>
          <w:b/>
          <w:b/>
          <w:sz w:val="22"/>
        </w:rPr>
      </w:pPr>
      <w:r>
        <w:rPr>
          <w:rFonts w:eastAsia="Times New Roman"/>
          <w:b/>
          <w:sz w:val="22"/>
        </w:rPr>
        <w:t>5. Ресурсы</w:t>
      </w:r>
    </w:p>
    <w:p>
      <w:pPr>
        <w:pStyle w:val="Heading2"/>
        <w:numPr>
          <w:ilvl w:val="0"/>
          <w:numId w:val="0"/>
        </w:numPr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5.1 Рекомендуемая основная литература</w:t>
      </w:r>
    </w:p>
    <w:p>
      <w:pPr>
        <w:pStyle w:val="Normal"/>
        <w:widowControl/>
        <w:numPr>
          <w:ilvl w:val="0"/>
          <w:numId w:val="6"/>
        </w:numPr>
        <w:tabs>
          <w:tab w:val="left" w:pos="284" w:leader="none"/>
        </w:tabs>
        <w:suppressAutoHyphens w:val="false"/>
        <w:bidi w:val="0"/>
        <w:jc w:val="both"/>
        <w:rPr/>
      </w:pPr>
      <w:r>
        <w:rPr>
          <w:sz w:val="22"/>
          <w:highlight w:val="white"/>
        </w:rPr>
        <w:t xml:space="preserve">Wickham, Hadley, and Garrett Grolemund. </w:t>
      </w:r>
      <w:r>
        <w:rPr>
          <w:i/>
          <w:sz w:val="22"/>
          <w:highlight w:val="white"/>
        </w:rPr>
        <w:t>R for data science: import, tidy, transform, visualize, and model data</w:t>
      </w:r>
      <w:r>
        <w:rPr>
          <w:sz w:val="22"/>
          <w:highlight w:val="white"/>
        </w:rPr>
        <w:t xml:space="preserve">. " O'Reilly Media, Inc.", 2016. </w:t>
      </w:r>
      <w:r>
        <w:rPr>
          <w:sz w:val="22"/>
          <w:highlight w:val="white"/>
        </w:rPr>
        <w:t>доступна онлайн: https://r4ds.had.co.nz/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Bivand, R. S. Applied spatial data analysis with R / R. S. Bivand, E. J. Pebesma, V. Gomez-Rubio. – New York: Springer, 2008. – 374 с. – (Use R!) . – На англ. яз. - ISBN 978-0-387-78170-9.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sz w:val="22"/>
          <w:highlight w:val="white"/>
        </w:rPr>
        <w:t>Wickham, H. R for data science: import, tidy, transform, visualize, and model data / H. Wickham, G. Grolemund. – Sebastopol: O’Reilly, 2017. – 492 с. – На англ. яз. - ISBN 9781491910399: 2002.55.</w:t>
      </w:r>
    </w:p>
    <w:p>
      <w:pPr>
        <w:pStyle w:val="Normal"/>
        <w:ind w:hanging="0"/>
        <w:jc w:val="left"/>
        <w:rPr>
          <w:sz w:val="22"/>
          <w:highlight w:val="white"/>
        </w:rPr>
      </w:pPr>
      <w:r>
        <w:rPr>
          <w:sz w:val="22"/>
          <w:highlight w:val="white"/>
        </w:rPr>
      </w:r>
    </w:p>
    <w:p>
      <w:pPr>
        <w:pStyle w:val="Heading2"/>
        <w:numPr>
          <w:ilvl w:val="0"/>
          <w:numId w:val="0"/>
        </w:numPr>
        <w:ind w:left="0" w:hanging="0"/>
        <w:jc w:val="both"/>
        <w:rPr/>
      </w:pPr>
      <w:r>
        <w:rPr>
          <w:sz w:val="22"/>
          <w:szCs w:val="22"/>
        </w:rPr>
        <w:t>5.2 Рекомендуемая дополнительная литература</w:t>
      </w:r>
    </w:p>
    <w:p>
      <w:pPr>
        <w:pStyle w:val="Normal"/>
        <w:widowControl/>
        <w:suppressAutoHyphens w:val="false"/>
        <w:bidi w:val="0"/>
        <w:ind w:left="0" w:right="0" w:hanging="0"/>
        <w:jc w:val="left"/>
        <w:rPr/>
      </w:pPr>
      <w:r>
        <w:rPr/>
        <w:t>•</w:t>
      </w:r>
      <w:r>
        <w:rPr>
          <w:rFonts w:eastAsia="Liberation Serif;Times New Roman" w:cs="Liberation Serif;Times New Roman"/>
        </w:rPr>
        <w:t xml:space="preserve"> </w:t>
      </w:r>
      <w:r>
        <w:rPr/>
        <w:t>Xie, Y. Dynamic documents with R and knitr / Y. Xie. – Boca Raton; London; New York: CRC Press, 2014. – 190 с. – (The R series) . – На англ. яз. - ISBN 978-1-482-20353-0.</w:t>
      </w:r>
    </w:p>
    <w:p>
      <w:pPr>
        <w:pStyle w:val="Normal"/>
        <w:widowControl/>
        <w:suppressAutoHyphens w:val="false"/>
        <w:bidi w:val="0"/>
        <w:ind w:left="0" w:right="0" w:hanging="0"/>
        <w:jc w:val="left"/>
        <w:rPr/>
      </w:pPr>
      <w:r>
        <w:rPr/>
        <w:t>•</w:t>
      </w:r>
      <w:r>
        <w:rPr>
          <w:rFonts w:eastAsia="Liberation Serif;Times New Roman" w:cs="Liberation Serif;Times New Roman"/>
        </w:rPr>
        <w:t xml:space="preserve"> </w:t>
      </w:r>
      <w:r>
        <w:rPr/>
        <w:t>Spector, P. Data manipulation with R / P. Spector. – New York: Springer, 2008. – 152 с. – (Use R!). – На англ. яз. - ISBN 978-0-387-74730-9.</w:t>
      </w:r>
    </w:p>
    <w:p>
      <w:pPr>
        <w:pStyle w:val="Normal"/>
        <w:widowControl/>
        <w:suppressAutoHyphens w:val="false"/>
        <w:bidi w:val="0"/>
        <w:ind w:left="0" w:right="0" w:hanging="0"/>
        <w:jc w:val="left"/>
        <w:rPr/>
      </w:pPr>
      <w:r>
        <w:rPr/>
        <w:t>•</w:t>
      </w:r>
      <w:r>
        <w:rPr>
          <w:rFonts w:eastAsia="Liberation Serif;Times New Roman" w:cs="Liberation Serif;Times New Roman"/>
        </w:rPr>
        <w:t xml:space="preserve"> </w:t>
      </w:r>
      <w:r>
        <w:rPr/>
        <w:t>Wickham, H. ggplot2: elegant graphics for data analysis / H. Wickham. – Dordrecht: Springer, 2009. – 212 с. – (Use R!). – На англ. яз. - ISBN 978-0-387-98140-6.</w:t>
      </w:r>
    </w:p>
    <w:p>
      <w:pPr>
        <w:pStyle w:val="Normal"/>
        <w:widowControl/>
        <w:suppressAutoHyphens w:val="false"/>
        <w:bidi w:val="0"/>
        <w:ind w:left="0" w:right="0" w:hanging="0"/>
        <w:jc w:val="left"/>
        <w:rPr/>
      </w:pPr>
      <w:r>
        <w:rPr/>
        <w:t>•</w:t>
      </w:r>
      <w:r>
        <w:rPr>
          <w:rFonts w:eastAsia="Liberation Serif;Times New Roman" w:cs="Liberation Serif;Times New Roman"/>
        </w:rPr>
        <w:t xml:space="preserve"> </w:t>
      </w:r>
      <w:r>
        <w:rPr/>
        <w:t>Wickham, H. Advanced R / H. Wickham. – Boca Raton [etc.]: CRC Press, 2014. – 456 с. – (Chapman &amp; Hall/CRC. The R Series) . – На англ. яз. - ISBN 978-1-466-58696-3.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jc w:val="both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  <w:t xml:space="preserve">5.3 </w:t>
      </w:r>
      <w:r>
        <w:rPr>
          <w:b/>
          <w:sz w:val="22"/>
        </w:rPr>
        <w:t>Программное</w:t>
      </w:r>
      <w:r>
        <w:rPr>
          <w:b/>
          <w:sz w:val="22"/>
          <w:lang w:val="en-US"/>
        </w:rPr>
        <w:t xml:space="preserve"> </w:t>
      </w:r>
      <w:r>
        <w:rPr>
          <w:b/>
          <w:sz w:val="22"/>
        </w:rPr>
        <w:t>обеспечение</w:t>
      </w:r>
    </w:p>
    <w:p>
      <w:pPr>
        <w:pStyle w:val="Normal"/>
        <w:ind w:hanging="0"/>
        <w:jc w:val="both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</w:r>
    </w:p>
    <w:tbl>
      <w:tblPr>
        <w:tblW w:w="9797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458"/>
        <w:gridCol w:w="4419"/>
        <w:gridCol w:w="4920"/>
      </w:tblGrid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/>
            </w:pPr>
            <w:r>
              <w:rPr>
                <w:rFonts w:eastAsia="Times New Roman"/>
                <w:b/>
                <w:bCs/>
                <w:sz w:val="22"/>
              </w:rPr>
              <w:t>Условия доступа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1.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sz w:val="22"/>
                <w:lang w:val="en-US"/>
              </w:rPr>
              <w:t>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firstLine="73"/>
              <w:jc w:val="both"/>
              <w:rPr/>
            </w:pP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2.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RStudio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firstLine="73"/>
              <w:jc w:val="both"/>
              <w:rPr/>
            </w:pP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/>
              <w:t>3.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Git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/>
              <w:t xml:space="preserve"> </w:t>
            </w: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</w:tbl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jc w:val="both"/>
        <w:rPr>
          <w:rFonts w:eastAsia="Times New Roman"/>
          <w:bCs/>
          <w:sz w:val="22"/>
        </w:rPr>
      </w:pPr>
      <w:r>
        <w:rPr>
          <w:rFonts w:eastAsia="Times New Roman"/>
          <w:bCs/>
          <w:sz w:val="22"/>
        </w:rPr>
      </w:r>
    </w:p>
    <w:p>
      <w:pPr>
        <w:pStyle w:val="Normal"/>
        <w:numPr>
          <w:ilvl w:val="1"/>
          <w:numId w:val="4"/>
        </w:numPr>
        <w:tabs>
          <w:tab w:val="left" w:pos="142" w:leader="none"/>
          <w:tab w:val="left" w:pos="284" w:leader="none"/>
        </w:tabs>
        <w:spacing w:before="0" w:after="160"/>
        <w:jc w:val="both"/>
        <w:rPr>
          <w:rFonts w:eastAsia="Times New Roman"/>
          <w:bCs/>
          <w:sz w:val="22"/>
        </w:rPr>
      </w:pPr>
      <w:r>
        <w:rPr>
          <w:rFonts w:eastAsia="Times New Roman"/>
          <w:b/>
          <w:bCs/>
          <w:sz w:val="22"/>
        </w:rPr>
        <w:t xml:space="preserve"> </w:t>
      </w:r>
      <w:r>
        <w:rPr>
          <w:rFonts w:eastAsia="Times New Roman"/>
          <w:b/>
          <w:bCs/>
          <w:sz w:val="22"/>
        </w:rPr>
        <w:t>Профессиональные базы данных, информационные справочные системы, интернет-ресурсы (электронные образовательные ресурсы)</w:t>
      </w:r>
    </w:p>
    <w:tbl>
      <w:tblPr>
        <w:tblW w:w="9706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528"/>
        <w:gridCol w:w="4968"/>
        <w:gridCol w:w="4210"/>
      </w:tblGrid>
      <w:tr>
        <w:trPr/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Условия доступа</w:t>
            </w:r>
          </w:p>
        </w:tc>
      </w:tr>
      <w:tr>
        <w:trPr>
          <w:trHeight w:val="2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snapToGrid w:val="false"/>
              <w:jc w:val="center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</w:r>
          </w:p>
        </w:tc>
        <w:tc>
          <w:tcPr>
            <w:tcW w:w="9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i/>
                <w:szCs w:val="24"/>
              </w:rPr>
              <w:t>Интернет-ресурсы (электронные  образовательные ресурсы)</w:t>
            </w:r>
          </w:p>
        </w:tc>
      </w:tr>
      <w:tr>
        <w:trPr>
          <w:trHeight w:val="404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left="-426" w:firstLine="426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1.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sz w:val="22"/>
                <w:lang w:val="en-US"/>
              </w:rPr>
              <w:t xml:space="preserve"> </w:t>
            </w:r>
            <w:r>
              <w:rPr>
                <w:rFonts w:eastAsia="Times New Roman"/>
                <w:sz w:val="22"/>
                <w:lang w:val="en-US"/>
              </w:rPr>
              <w:t>Github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hanging="0"/>
              <w:rPr/>
            </w:pPr>
            <w:r>
              <w:rPr>
                <w:rFonts w:eastAsia="Times New Roman"/>
                <w:sz w:val="22"/>
              </w:rPr>
              <w:t xml:space="preserve"> </w:t>
            </w:r>
            <w:r>
              <w:rPr>
                <w:rStyle w:val="InternetLink"/>
                <w:rFonts w:eastAsia="Times New Roman"/>
                <w:sz w:val="22"/>
                <w:highlight w:val="white"/>
                <w:lang w:val="en-US"/>
              </w:rPr>
              <w:t>https://github.com/</w:t>
            </w:r>
          </w:p>
        </w:tc>
      </w:tr>
      <w:tr>
        <w:trPr/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left="-426" w:firstLine="426"/>
              <w:jc w:val="center"/>
              <w:rPr/>
            </w:pPr>
            <w:r>
              <w:rPr/>
              <w:t>2.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hanging="0"/>
              <w:jc w:val="left"/>
              <w:rPr/>
            </w:pPr>
            <w:r>
              <w:rPr/>
              <w:t xml:space="preserve"> </w:t>
            </w:r>
            <w:r>
              <w:rPr/>
              <w:t>Онлайн курс Программирование (язык R)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hanging="0"/>
              <w:jc w:val="left"/>
              <w:rPr/>
            </w:pPr>
            <w:r>
              <w:rPr/>
              <w:t>https://openedu.ru/course/hse/RLING/</w:t>
            </w:r>
          </w:p>
        </w:tc>
      </w:tr>
    </w:tbl>
    <w:p>
      <w:pPr>
        <w:pStyle w:val="Normal"/>
        <w:tabs>
          <w:tab w:val="left" w:pos="2115" w:leader="none"/>
        </w:tabs>
        <w:jc w:val="both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> </w:t>
      </w:r>
    </w:p>
    <w:p>
      <w:pPr>
        <w:pStyle w:val="Style25"/>
        <w:numPr>
          <w:ilvl w:val="1"/>
          <w:numId w:val="4"/>
        </w:numPr>
        <w:tabs>
          <w:tab w:val="left" w:pos="284" w:leader="none"/>
          <w:tab w:val="left" w:pos="426" w:leader="none"/>
          <w:tab w:val="left" w:pos="2115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</w:rPr>
        <w:t>Материально-техническое обеспечение дисциплины</w:t>
      </w:r>
    </w:p>
    <w:p>
      <w:pPr>
        <w:pStyle w:val="Normal"/>
        <w:ind w:hanging="0"/>
        <w:jc w:val="left"/>
        <w:rPr/>
      </w:pPr>
      <w:r>
        <w:rPr/>
        <w:t>Учебные аудитории для лекционных занятий по дисциплине обеспечивают использование и демонстрацию тематических иллюстраций, соответствующих программе дисциплины в составе:</w:t>
      </w:r>
    </w:p>
    <w:p>
      <w:pPr>
        <w:pStyle w:val="Normal"/>
        <w:jc w:val="left"/>
        <w:rPr/>
      </w:pPr>
      <w:r>
        <w:rPr/>
        <w:t>•</w:t>
      </w:r>
      <w:r>
        <w:rPr>
          <w:rFonts w:eastAsia="Liberation Serif;Times New Roman" w:cs="Liberation Serif;Times New Roman"/>
        </w:rPr>
        <w:t xml:space="preserve"> </w:t>
      </w:r>
      <w:r>
        <w:rPr/>
        <w:t>ПЭВМ с доступом в Интернет (операционная система, офисные программы, антивирусные программы);</w:t>
      </w:r>
    </w:p>
    <w:p>
      <w:pPr>
        <w:pStyle w:val="Normal"/>
        <w:jc w:val="left"/>
        <w:rPr/>
      </w:pPr>
      <w:r>
        <w:rPr/>
        <w:t>•</w:t>
      </w:r>
      <w:r>
        <w:rPr>
          <w:rFonts w:eastAsia="Liberation Serif;Times New Roman" w:cs="Liberation Serif;Times New Roman"/>
        </w:rPr>
        <w:t xml:space="preserve"> </w:t>
      </w:r>
      <w:r>
        <w:rPr/>
        <w:t>мультимедийный проектор с дистанционным управлением.</w:t>
      </w:r>
    </w:p>
    <w:p>
      <w:pPr>
        <w:pStyle w:val="Normal"/>
        <w:widowControl w:val="false"/>
        <w:ind w:hanging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Учебные аудитории для лабораторных и самостоятельных занятий по дисциплине оснащены ПЭВМ, с возможностью подключения к сети Интернет и доступом к электронной информационно-образовательной среде НИУ ВШЭ.</w:t>
      </w:r>
    </w:p>
    <w:p>
      <w:pPr>
        <w:pStyle w:val="Heading1"/>
        <w:rPr>
          <w:b w:val="false"/>
          <w:b w:val="false"/>
          <w:bCs w:val="false"/>
          <w:lang w:val="ru-RU"/>
        </w:rPr>
      </w:pPr>
      <w:r>
        <w:rPr>
          <w:lang w:val="ru-RU"/>
        </w:rPr>
        <w:t>6. Особенности организации обучения для лиц с ограниченными возможностями здоровья и инвалидов</w:t>
      </w:r>
    </w:p>
    <w:p>
      <w:pPr>
        <w:pStyle w:val="Normal"/>
        <w:rPr>
          <w:szCs w:val="24"/>
        </w:rPr>
      </w:pPr>
      <w:r>
        <w:rPr>
          <w:color w:val="000000"/>
          <w:szCs w:val="24"/>
        </w:rPr>
        <w:t xml:space="preserve">В случае необходимости, обучающимся из числа лиц с ограниченными возможностями здоровья (по заявлению обучающегося) </w:t>
      </w:r>
      <w:r>
        <w:rPr>
          <w:szCs w:val="24"/>
        </w:rPr>
        <w:t xml:space="preserve">а для инвалидов также в соответствии с индивидуальной программой реабилитации инвалида, </w:t>
      </w:r>
      <w:r>
        <w:rPr>
          <w:color w:val="000000"/>
          <w:szCs w:val="24"/>
        </w:rPr>
        <w:t>могут предлагаться следующие варианты восприятия учебной информации с учетом их индивидуальных психофизических особенностей, в том числе с применением электронного обучения и дистанционных технологий:</w:t>
      </w:r>
    </w:p>
    <w:p>
      <w:pPr>
        <w:pStyle w:val="Normal"/>
        <w:numPr>
          <w:ilvl w:val="2"/>
          <w:numId w:val="2"/>
        </w:numPr>
        <w:ind w:left="0" w:firstLine="709"/>
        <w:jc w:val="both"/>
        <w:rPr/>
      </w:pPr>
      <w:r>
        <w:rPr>
          <w:i/>
          <w:iCs/>
          <w:color w:val="000000"/>
        </w:rPr>
        <w:t>для лиц с нарушениями зрения:</w:t>
      </w:r>
      <w:r>
        <w:rPr>
          <w:color w:val="000000"/>
        </w:rPr>
        <w:t xml:space="preserve"> в печатной форме увеличенным шрифтом; в форме электронного документа; в форме аудиофайла (перевод учебных материалов в аудиоформат); в печатной форме на языке Брайля; индивидуальные консультации с привлечением тифлосурдопереводчика; индивидуальные задания и консультации.</w:t>
      </w:r>
    </w:p>
    <w:p>
      <w:pPr>
        <w:pStyle w:val="Normal"/>
        <w:numPr>
          <w:ilvl w:val="2"/>
          <w:numId w:val="2"/>
        </w:numPr>
        <w:ind w:left="0" w:firstLine="709"/>
        <w:jc w:val="both"/>
        <w:rPr>
          <w:iCs/>
          <w:color w:val="000000"/>
        </w:rPr>
      </w:pPr>
      <w:r>
        <w:rPr>
          <w:i/>
          <w:iCs/>
          <w:color w:val="000000"/>
        </w:rPr>
        <w:t>для лиц с нарушениями слуха</w:t>
      </w:r>
      <w:r>
        <w:rPr>
          <w:iCs/>
          <w:color w:val="000000"/>
        </w:rPr>
        <w:t>: в печатной форме; в форме электронного документа; видеоматериалы с субтитрами; индивидуальные консультации с привлечением сурдопереводчика; индивидуальные задания и консультации.</w:t>
      </w:r>
    </w:p>
    <w:p>
      <w:pPr>
        <w:pStyle w:val="Normal"/>
        <w:numPr>
          <w:ilvl w:val="2"/>
          <w:numId w:val="2"/>
        </w:numPr>
        <w:ind w:left="0" w:firstLine="709"/>
        <w:jc w:val="both"/>
        <w:rPr/>
      </w:pPr>
      <w:r>
        <w:rPr>
          <w:i/>
          <w:iCs/>
          <w:color w:val="000000"/>
        </w:rPr>
        <w:t>для лиц с нарушениями опорно-двигательного аппарата</w:t>
      </w:r>
      <w:r>
        <w:rPr>
          <w:iCs/>
          <w:color w:val="000000"/>
        </w:rPr>
        <w:t>: в печатной форме; в форме электронного документа; в форме аудиофайла; индивидуальные задания и консультации.</w:t>
      </w:r>
    </w:p>
    <w:sectPr>
      <w:type w:val="nextPage"/>
      <w:pgSz w:w="11906" w:h="16838"/>
      <w:pgMar w:left="1134" w:right="851" w:header="0" w:top="851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tabs>
          <w:tab w:val="num" w:pos="360"/>
        </w:tabs>
        <w:ind w:left="936" w:hanging="576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360"/>
        </w:tabs>
        <w:ind w:left="1080" w:hanging="720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360"/>
        </w:tabs>
        <w:ind w:left="1224" w:hanging="864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360"/>
        </w:tabs>
        <w:ind w:left="136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360"/>
        </w:tabs>
        <w:ind w:left="151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360"/>
        </w:tabs>
        <w:ind w:left="165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360"/>
        </w:tabs>
        <w:ind w:left="180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360"/>
        </w:tabs>
        <w:ind w:left="194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  <w:rPr>
        <w:iCs/>
      </w:r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287" w:hanging="360"/>
      </w:pPr>
      <w:rPr>
        <w:b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5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  <w:rPr>
        <w:sz w:val="22"/>
        <w:b/>
        <w:rFonts w:eastAsia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451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ind w:firstLine="709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120"/>
      <w:ind w:hanging="0"/>
      <w:jc w:val="center"/>
      <w:outlineLvl w:val="0"/>
    </w:pPr>
    <w:rPr>
      <w:rFonts w:eastAsia="Times New Roman"/>
      <w:b/>
      <w:bCs/>
      <w:kern w:val="2"/>
      <w:szCs w:val="24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60"/>
      <w:outlineLvl w:val="1"/>
    </w:pPr>
    <w:rPr>
      <w:rFonts w:eastAsia="Times New Roman" w:cs="Times New Roman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 w:cs="Times New Roman"/>
      <w:b/>
      <w:bCs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2"/>
    </w:rPr>
  </w:style>
  <w:style w:type="character" w:styleId="WW8Num1z0">
    <w:name w:val="WW8Num1z0"/>
    <w:qFormat/>
    <w:rPr>
      <w:b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>
      <w:iCs/>
    </w:rPr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>
      <w:b/>
    </w:rPr>
  </w:style>
  <w:style w:type="character" w:styleId="WW8Num5z2">
    <w:name w:val="WW8Num5z2"/>
    <w:qFormat/>
    <w:rPr/>
  </w:style>
  <w:style w:type="character" w:styleId="WW8Num6z0">
    <w:name w:val="WW8Num6z0"/>
    <w:qFormat/>
    <w:rPr>
      <w:b/>
    </w:rPr>
  </w:style>
  <w:style w:type="character" w:styleId="WW8Num7z0">
    <w:name w:val="WW8Num7z0"/>
    <w:qFormat/>
    <w:rPr>
      <w:b/>
      <w:lang w:eastAsia="en-U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i w:val="false"/>
      <w:iCs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strike w:val="false"/>
      <w:dstrike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>
      <w:rFonts w:ascii="Symbol" w:hAnsi="Symbol" w:cs="Symbol"/>
    </w:rPr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Times New Roman" w:hAnsi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kern w:val="0"/>
      <w:position w:val="0"/>
      <w:sz w:val="24"/>
      <w:sz w:val="24"/>
      <w:szCs w:val="22"/>
      <w:u w:val="none"/>
      <w:vertAlign w:val="baseline"/>
      <w:em w:val="none"/>
      <w:lang w:val="en-US" w:bidi="en-U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rFonts w:ascii="Times New Roman" w:hAnsi="Times New Roman" w:cs="Times New Roman"/>
      <w:sz w:val="24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Times New Roman" w:hAnsi="Times New Roman" w:eastAsia="Times New Roman" w:cs="Times New Roman"/>
      <w:b/>
      <w:sz w:val="22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Times New Roman" w:hAnsi="Times New Roman" w:cs="Times New Roman"/>
      <w:sz w:val="24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6z0">
    <w:name w:val="WW8Num26z0"/>
    <w:qFormat/>
    <w:rPr>
      <w:rFonts w:ascii="Symbol" w:hAnsi="Symbol" w:cs="Symbol"/>
      <w:sz w:val="24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>
      <w:rFonts w:ascii="Symbol" w:hAnsi="Symbol" w:cs="Symbol"/>
    </w:rPr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eastAsia="Calibri"/>
      <w:b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Style5">
    <w:name w:val="Основной шрифт абзаца"/>
    <w:qFormat/>
    <w:rPr/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bCs/>
      <w:kern w:val="2"/>
      <w:sz w:val="24"/>
      <w:szCs w:val="24"/>
      <w:lang w:val="en-US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bCs/>
      <w:iCs/>
      <w:sz w:val="24"/>
      <w:szCs w:val="28"/>
    </w:rPr>
  </w:style>
  <w:style w:type="character" w:styleId="Style6">
    <w:name w:val="Верхний колонтитул Знак"/>
    <w:qFormat/>
    <w:rPr>
      <w:rFonts w:ascii="Times New Roman" w:hAnsi="Times New Roman" w:cs="Times New Roman"/>
      <w:sz w:val="24"/>
      <w:szCs w:val="22"/>
    </w:rPr>
  </w:style>
  <w:style w:type="character" w:styleId="Style7">
    <w:name w:val="Нижний колонтитул Знак"/>
    <w:qFormat/>
    <w:rPr>
      <w:rFonts w:ascii="Times New Roman" w:hAnsi="Times New Roman" w:cs="Times New Roman"/>
      <w:sz w:val="24"/>
      <w:szCs w:val="22"/>
    </w:rPr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yle8">
    <w:name w:val="Текст выноски Знак"/>
    <w:qFormat/>
    <w:rPr>
      <w:rFonts w:ascii="Tahoma" w:hAnsi="Tahoma" w:cs="Tahoma"/>
      <w:sz w:val="16"/>
      <w:szCs w:val="16"/>
    </w:rPr>
  </w:style>
  <w:style w:type="character" w:styleId="3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4">
    <w:name w:val="Заголовок 4 Знак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5">
    <w:name w:val="Заголовок 5 Знак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qFormat/>
    <w:rPr>
      <w:rFonts w:ascii="Calibri" w:hAnsi="Calibri" w:eastAsia="Times New Roman" w:cs="Times New Roman"/>
      <w:b/>
      <w:bCs/>
      <w:sz w:val="22"/>
      <w:szCs w:val="22"/>
    </w:rPr>
  </w:style>
  <w:style w:type="character" w:styleId="7">
    <w:name w:val="Заголовок 7 Знак"/>
    <w:qFormat/>
    <w:rPr>
      <w:rFonts w:ascii="Calibri" w:hAnsi="Calibri" w:eastAsia="Times New Roman" w:cs="Times New Roman"/>
      <w:sz w:val="24"/>
      <w:szCs w:val="24"/>
    </w:rPr>
  </w:style>
  <w:style w:type="character" w:styleId="8">
    <w:name w:val="Заголовок 8 Знак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9">
    <w:name w:val="Заголовок 9 Знак"/>
    <w:qFormat/>
    <w:rPr>
      <w:rFonts w:ascii="Cambria" w:hAnsi="Cambria" w:eastAsia="Times New Roman" w:cs="Times New Roman"/>
      <w:sz w:val="22"/>
      <w:szCs w:val="22"/>
    </w:rPr>
  </w:style>
  <w:style w:type="character" w:styleId="Style9">
    <w:name w:val="Знак примечания"/>
    <w:qFormat/>
    <w:rPr>
      <w:sz w:val="16"/>
      <w:szCs w:val="16"/>
    </w:rPr>
  </w:style>
  <w:style w:type="character" w:styleId="Style10">
    <w:name w:val="Схема документа Знак"/>
    <w:qFormat/>
    <w:rPr>
      <w:rFonts w:ascii="Tahoma" w:hAnsi="Tahoma" w:cs="Tahoma"/>
      <w:sz w:val="16"/>
      <w:szCs w:val="16"/>
    </w:rPr>
  </w:style>
  <w:style w:type="character" w:styleId="Appleconvertedspace">
    <w:name w:val="apple-converted-space"/>
    <w:basedOn w:val="Style5"/>
    <w:qFormat/>
    <w:rPr/>
  </w:style>
  <w:style w:type="character" w:styleId="Emphasis">
    <w:name w:val="Emphasis"/>
    <w:qFormat/>
    <w:rPr>
      <w:i/>
      <w:iCs/>
    </w:rPr>
  </w:style>
  <w:style w:type="character" w:styleId="Style11">
    <w:name w:val="Текст примечания Знак"/>
    <w:qFormat/>
    <w:rPr>
      <w:rFonts w:ascii="Times New Roman" w:hAnsi="Times New Roman" w:cs="Times New Roman"/>
    </w:rPr>
  </w:style>
  <w:style w:type="character" w:styleId="Style12">
    <w:name w:val="Текст концевой сноски Знак"/>
    <w:qFormat/>
    <w:rPr>
      <w:rFonts w:ascii="Times New Roman" w:hAnsi="Times New Roman" w:eastAsia="Times New Roman" w:cs="Times New Roman"/>
    </w:rPr>
  </w:style>
  <w:style w:type="character" w:styleId="Highlight">
    <w:name w:val="highlight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iCs/>
    </w:rPr>
  </w:style>
  <w:style w:type="character" w:styleId="ListLabel2">
    <w:name w:val="ListLabel 2"/>
    <w:qFormat/>
    <w:rPr>
      <w:b/>
      <w:lang w:eastAsia="en-US"/>
    </w:rPr>
  </w:style>
  <w:style w:type="character" w:styleId="ListLabel3">
    <w:name w:val="ListLabel 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kern w:val="0"/>
      <w:position w:val="0"/>
      <w:sz w:val="24"/>
      <w:sz w:val="24"/>
      <w:szCs w:val="22"/>
      <w:u w:val="none"/>
      <w:vertAlign w:val="baseline"/>
      <w:em w:val="none"/>
      <w:lang w:val="en-US" w:bidi="en-US"/>
    </w:rPr>
  </w:style>
  <w:style w:type="character" w:styleId="ListLabel4">
    <w:name w:val="ListLabel 4"/>
    <w:qFormat/>
    <w:rPr>
      <w:rFonts w:eastAsia="Times New Roman" w:cs="Times New Roman"/>
      <w:b/>
      <w:sz w:val="22"/>
    </w:rPr>
  </w:style>
  <w:style w:type="character" w:styleId="ListLabel5">
    <w:name w:val="ListLabel 5"/>
    <w:qFormat/>
    <w:rPr>
      <w:rFonts w:cs="Symbol"/>
      <w:b/>
    </w:rPr>
  </w:style>
  <w:style w:type="character" w:styleId="ListLabel6">
    <w:name w:val="ListLabel 6"/>
    <w:qFormat/>
    <w:rPr>
      <w:sz w:val="22"/>
      <w:lang w:val="en-US"/>
    </w:rPr>
  </w:style>
  <w:style w:type="character" w:styleId="ListLabel7">
    <w:name w:val="ListLabel 7"/>
    <w:qFormat/>
    <w:rPr>
      <w:sz w:val="22"/>
      <w:shd w:fill="FFFFFF" w:val="clear"/>
      <w:lang w:val="en-US"/>
    </w:rPr>
  </w:style>
  <w:style w:type="character" w:styleId="ListLabel8">
    <w:name w:val="ListLabel 8"/>
    <w:qFormat/>
    <w:rPr>
      <w:rFonts w:eastAsia="Times New Roman"/>
      <w:sz w:val="22"/>
      <w:lang w:val="en-US"/>
    </w:rPr>
  </w:style>
  <w:style w:type="character" w:styleId="ListLabel9">
    <w:name w:val="ListLabel 9"/>
    <w:qFormat/>
    <w:rPr>
      <w:iCs/>
    </w:rPr>
  </w:style>
  <w:style w:type="character" w:styleId="ListLabel10">
    <w:name w:val="ListLabel 10"/>
    <w:qFormat/>
    <w:rPr>
      <w:b/>
      <w:lang w:eastAsia="en-US"/>
    </w:rPr>
  </w:style>
  <w:style w:type="character" w:styleId="ListLabel11">
    <w:name w:val="ListLabel 11"/>
    <w:qFormat/>
    <w:rPr>
      <w:rFonts w:eastAsia="Times New Roman" w:cs="Times New Roman"/>
      <w:b/>
      <w:sz w:val="22"/>
    </w:rPr>
  </w:style>
  <w:style w:type="character" w:styleId="ListLabel12">
    <w:name w:val="ListLabel 12"/>
    <w:qFormat/>
    <w:rPr>
      <w:rFonts w:cs="Symbol"/>
      <w:b/>
    </w:rPr>
  </w:style>
  <w:style w:type="character" w:styleId="ListLabel13">
    <w:name w:val="ListLabel 13"/>
    <w:qFormat/>
    <w:rPr>
      <w:sz w:val="22"/>
      <w:lang w:val="en-US"/>
    </w:rPr>
  </w:style>
  <w:style w:type="character" w:styleId="ListLabel14">
    <w:name w:val="ListLabel 14"/>
    <w:qFormat/>
    <w:rPr>
      <w:sz w:val="22"/>
      <w:highlight w:val="white"/>
      <w:lang w:val="en-US"/>
    </w:rPr>
  </w:style>
  <w:style w:type="character" w:styleId="ListLabel15">
    <w:name w:val="ListLabel 15"/>
    <w:qFormat/>
    <w:rPr>
      <w:rFonts w:eastAsia="Times New Roman"/>
      <w:sz w:val="22"/>
      <w:lang w:val="en-US"/>
    </w:rPr>
  </w:style>
  <w:style w:type="character" w:styleId="ListLabel16">
    <w:name w:val="ListLabel 16"/>
    <w:qFormat/>
    <w:rPr>
      <w:iCs/>
    </w:rPr>
  </w:style>
  <w:style w:type="character" w:styleId="ListLabel17">
    <w:name w:val="ListLabel 17"/>
    <w:qFormat/>
    <w:rPr>
      <w:b/>
      <w:lang w:eastAsia="en-US"/>
    </w:rPr>
  </w:style>
  <w:style w:type="character" w:styleId="ListLabel18">
    <w:name w:val="ListLabel 18"/>
    <w:qFormat/>
    <w:rPr>
      <w:rFonts w:eastAsia="Times New Roman" w:cs="Times New Roman"/>
      <w:b/>
      <w:sz w:val="22"/>
    </w:rPr>
  </w:style>
  <w:style w:type="character" w:styleId="ListLabel19">
    <w:name w:val="ListLabel 19"/>
    <w:qFormat/>
    <w:rPr>
      <w:rFonts w:cs="Symbol"/>
      <w:b/>
    </w:rPr>
  </w:style>
  <w:style w:type="character" w:styleId="ListLabel20">
    <w:name w:val="ListLabel 20"/>
    <w:qFormat/>
    <w:rPr>
      <w:sz w:val="22"/>
      <w:lang w:val="en-US"/>
    </w:rPr>
  </w:style>
  <w:style w:type="character" w:styleId="ListLabel21">
    <w:name w:val="ListLabel 21"/>
    <w:qFormat/>
    <w:rPr>
      <w:sz w:val="22"/>
      <w:highlight w:val="white"/>
      <w:lang w:val="en-US"/>
    </w:rPr>
  </w:style>
  <w:style w:type="character" w:styleId="ListLabel22">
    <w:name w:val="ListLabel 22"/>
    <w:qFormat/>
    <w:rPr>
      <w:rFonts w:eastAsia="Times New Roman"/>
      <w:sz w:val="22"/>
      <w:lang w:val="en-US"/>
    </w:rPr>
  </w:style>
  <w:style w:type="character" w:styleId="ListLabel23">
    <w:name w:val="ListLabel 23"/>
    <w:qFormat/>
    <w:rPr>
      <w:iCs/>
    </w:rPr>
  </w:style>
  <w:style w:type="character" w:styleId="ListLabel24">
    <w:name w:val="ListLabel 24"/>
    <w:qFormat/>
    <w:rPr>
      <w:b/>
      <w:lang w:eastAsia="en-US"/>
    </w:rPr>
  </w:style>
  <w:style w:type="character" w:styleId="ListLabel25">
    <w:name w:val="ListLabel 25"/>
    <w:qFormat/>
    <w:rPr>
      <w:rFonts w:eastAsia="Times New Roman" w:cs="Times New Roman"/>
      <w:b/>
      <w:sz w:val="22"/>
    </w:rPr>
  </w:style>
  <w:style w:type="character" w:styleId="ListLabel26">
    <w:name w:val="ListLabel 26"/>
    <w:qFormat/>
    <w:rPr>
      <w:rFonts w:cs="Symbol"/>
      <w:b/>
    </w:rPr>
  </w:style>
  <w:style w:type="character" w:styleId="ListLabel27">
    <w:name w:val="ListLabel 27"/>
    <w:qFormat/>
    <w:rPr>
      <w:sz w:val="22"/>
      <w:lang w:val="en-US"/>
    </w:rPr>
  </w:style>
  <w:style w:type="character" w:styleId="ListLabel28">
    <w:name w:val="ListLabel 28"/>
    <w:qFormat/>
    <w:rPr>
      <w:iCs/>
    </w:rPr>
  </w:style>
  <w:style w:type="character" w:styleId="ListLabel29">
    <w:name w:val="ListLabel 29"/>
    <w:qFormat/>
    <w:rPr>
      <w:b/>
      <w:lang w:eastAsia="en-US"/>
    </w:rPr>
  </w:style>
  <w:style w:type="character" w:styleId="ListLabel30">
    <w:name w:val="ListLabel 30"/>
    <w:qFormat/>
    <w:rPr>
      <w:rFonts w:eastAsia="Times New Roman" w:cs="Times New Roman"/>
      <w:b/>
      <w:sz w:val="22"/>
    </w:rPr>
  </w:style>
  <w:style w:type="character" w:styleId="ListLabel31">
    <w:name w:val="ListLabel 31"/>
    <w:qFormat/>
    <w:rPr>
      <w:rFonts w:cs="Symbol"/>
      <w:b/>
    </w:rPr>
  </w:style>
  <w:style w:type="character" w:styleId="ListLabel32">
    <w:name w:val="ListLabel 32"/>
    <w:qFormat/>
    <w:rPr>
      <w:sz w:val="22"/>
      <w:lang w:val="en-US"/>
    </w:rPr>
  </w:style>
  <w:style w:type="character" w:styleId="ListLabel33">
    <w:name w:val="ListLabel 33"/>
    <w:qFormat/>
    <w:rPr>
      <w:iCs/>
    </w:rPr>
  </w:style>
  <w:style w:type="character" w:styleId="ListLabel34">
    <w:name w:val="ListLabel 34"/>
    <w:qFormat/>
    <w:rPr>
      <w:b/>
      <w:lang w:eastAsia="en-US"/>
    </w:rPr>
  </w:style>
  <w:style w:type="character" w:styleId="ListLabel35">
    <w:name w:val="ListLabel 35"/>
    <w:qFormat/>
    <w:rPr>
      <w:rFonts w:eastAsia="Times New Roman" w:cs="Times New Roman"/>
      <w:b/>
      <w:sz w:val="22"/>
    </w:rPr>
  </w:style>
  <w:style w:type="character" w:styleId="ListLabel36">
    <w:name w:val="ListLabel 36"/>
    <w:qFormat/>
    <w:rPr>
      <w:rFonts w:cs="Symbol"/>
      <w:b/>
    </w:rPr>
  </w:style>
  <w:style w:type="character" w:styleId="ListLabel37">
    <w:name w:val="ListLabel 37"/>
    <w:qFormat/>
    <w:rPr>
      <w:sz w:val="22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8">
    <w:name w:val="ListLabel 38"/>
    <w:qFormat/>
    <w:rPr>
      <w:iCs/>
    </w:rPr>
  </w:style>
  <w:style w:type="character" w:styleId="ListLabel39">
    <w:name w:val="ListLabel 39"/>
    <w:qFormat/>
    <w:rPr>
      <w:b/>
      <w:lang w:eastAsia="en-US"/>
    </w:rPr>
  </w:style>
  <w:style w:type="character" w:styleId="ListLabel40">
    <w:name w:val="ListLabel 40"/>
    <w:qFormat/>
    <w:rPr>
      <w:rFonts w:eastAsia="Times New Roman" w:cs="Times New Roman"/>
      <w:b/>
      <w:sz w:val="22"/>
    </w:rPr>
  </w:style>
  <w:style w:type="character" w:styleId="ListLabel41">
    <w:name w:val="ListLabel 41"/>
    <w:qFormat/>
    <w:rPr>
      <w:rFonts w:cs="Symbol"/>
      <w:b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iCs/>
    </w:rPr>
  </w:style>
  <w:style w:type="character" w:styleId="ListLabel52">
    <w:name w:val="ListLabel 52"/>
    <w:qFormat/>
    <w:rPr>
      <w:b/>
      <w:lang w:eastAsia="en-US"/>
    </w:rPr>
  </w:style>
  <w:style w:type="character" w:styleId="ListLabel53">
    <w:name w:val="ListLabel 53"/>
    <w:qFormat/>
    <w:rPr>
      <w:rFonts w:eastAsia="Times New Roman" w:cs="Times New Roman"/>
      <w:b/>
      <w:sz w:val="22"/>
    </w:rPr>
  </w:style>
  <w:style w:type="character" w:styleId="ListLabel54">
    <w:name w:val="ListLabel 54"/>
    <w:qFormat/>
    <w:rPr>
      <w:rFonts w:cs="Symbol"/>
      <w:b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3">
    <w:name w:val="Маркированный."/>
    <w:basedOn w:val="Normal"/>
    <w:qFormat/>
    <w:pPr>
      <w:ind w:left="1066" w:hanging="357"/>
    </w:pPr>
    <w:rPr/>
  </w:style>
  <w:style w:type="paragraph" w:styleId="Style14">
    <w:name w:val="нумерованный"/>
    <w:basedOn w:val="Normal"/>
    <w:qFormat/>
    <w:pPr>
      <w:ind w:left="1066" w:hanging="357"/>
    </w:pPr>
    <w:rPr/>
  </w:style>
  <w:style w:type="paragraph" w:styleId="Style15">
    <w:name w:val="нумерованный содержание"/>
    <w:basedOn w:val="Normal"/>
    <w:qFormat/>
    <w:pPr/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16">
    <w:name w:val="Заголовок в тексте"/>
    <w:basedOn w:val="Normal"/>
    <w:next w:val="Normal"/>
    <w:qFormat/>
    <w:pPr>
      <w:spacing w:lineRule="auto" w:line="276" w:before="120" w:after="120"/>
    </w:pPr>
    <w:rPr>
      <w:rFonts w:eastAsia="Times New Roman"/>
      <w:b/>
      <w:bCs/>
      <w:sz w:val="26"/>
      <w:szCs w:val="20"/>
    </w:rPr>
  </w:style>
  <w:style w:type="paragraph" w:styleId="Style17">
    <w:name w:val="Текст таблица одинарный интервал"/>
    <w:basedOn w:val="Normal"/>
    <w:qFormat/>
    <w:pPr>
      <w:ind w:hanging="0"/>
    </w:pPr>
    <w:rPr>
      <w:rFonts w:eastAsia="Times New Roman"/>
      <w:sz w:val="26"/>
      <w:szCs w:val="20"/>
    </w:rPr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9">
    <w:name w:val="Обычный (Интернет)"/>
    <w:basedOn w:val="Normal"/>
    <w:qFormat/>
    <w:pPr>
      <w:ind w:hanging="0"/>
    </w:pPr>
    <w:rPr>
      <w:rFonts w:eastAsia="Times New Roman"/>
      <w:szCs w:val="24"/>
    </w:rPr>
  </w:style>
  <w:style w:type="paragraph" w:styleId="Style20">
    <w:name w:val="Текст(русс)"/>
    <w:next w:val="Normal"/>
    <w:qFormat/>
    <w:pPr>
      <w:widowControl/>
      <w:bidi w:val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1">
    <w:name w:val="Основной текст с отступом 2"/>
    <w:basedOn w:val="Normal"/>
    <w:qFormat/>
    <w:pPr>
      <w:ind w:firstLine="567"/>
      <w:jc w:val="both"/>
    </w:pPr>
    <w:rPr>
      <w:rFonts w:eastAsia="Times New Roman"/>
      <w:bCs/>
      <w:sz w:val="20"/>
    </w:rPr>
  </w:style>
  <w:style w:type="paragraph" w:styleId="Style21">
    <w:name w:val="Текст примечания"/>
    <w:basedOn w:val="Normal"/>
    <w:qFormat/>
    <w:pPr/>
    <w:rPr>
      <w:sz w:val="20"/>
      <w:szCs w:val="20"/>
    </w:rPr>
  </w:style>
  <w:style w:type="paragraph" w:styleId="Style22">
    <w:name w:val="Тема примечания"/>
    <w:basedOn w:val="Style21"/>
    <w:qFormat/>
    <w:pPr/>
    <w:rPr>
      <w:b/>
      <w:bCs/>
    </w:rPr>
  </w:style>
  <w:style w:type="paragraph" w:styleId="Style23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Style24">
    <w:name w:val="Маркированный список"/>
    <w:basedOn w:val="Normal"/>
    <w:qFormat/>
    <w:pPr>
      <w:tabs>
        <w:tab w:val="left" w:pos="555" w:leader="none"/>
      </w:tabs>
      <w:spacing w:before="0" w:after="0"/>
      <w:ind w:left="555" w:hanging="555"/>
      <w:contextualSpacing/>
    </w:pPr>
    <w:rPr/>
  </w:style>
  <w:style w:type="paragraph" w:styleId="LIST3">
    <w:name w:val="LIST3"/>
    <w:basedOn w:val="Style24"/>
    <w:qFormat/>
    <w:pPr>
      <w:tabs>
        <w:tab w:val="left" w:pos="555" w:leader="none"/>
      </w:tabs>
      <w:spacing w:before="0" w:after="0"/>
      <w:ind w:left="555" w:hanging="555"/>
      <w:contextualSpacing/>
      <w:jc w:val="both"/>
    </w:pPr>
    <w:rPr>
      <w:rFonts w:eastAsia="Times New Roman"/>
      <w:sz w:val="28"/>
      <w:szCs w:val="20"/>
    </w:rPr>
  </w:style>
  <w:style w:type="paragraph" w:styleId="22">
    <w:name w:val="Основной текст 2"/>
    <w:basedOn w:val="Normal"/>
    <w:qFormat/>
    <w:pPr>
      <w:spacing w:lineRule="auto" w:line="480" w:before="0" w:after="120"/>
    </w:pPr>
    <w:rPr/>
  </w:style>
  <w:style w:type="paragraph" w:styleId="Style25">
    <w:name w:val="Абзац списка"/>
    <w:basedOn w:val="Normal"/>
    <w:qFormat/>
    <w:pPr>
      <w:spacing w:lineRule="auto" w:line="252" w:before="0" w:after="160"/>
      <w:ind w:left="720" w:hanging="0"/>
      <w:contextualSpacing/>
    </w:pPr>
    <w:rPr>
      <w:rFonts w:ascii="Calibri" w:hAnsi="Calibri" w:eastAsia="Calibri" w:cs="Times New Roman"/>
      <w:sz w:val="22"/>
    </w:rPr>
  </w:style>
  <w:style w:type="paragraph" w:styleId="Endnote">
    <w:name w:val="Endnote Text"/>
    <w:basedOn w:val="Normal"/>
    <w:pPr>
      <w:overflowPunct w:val="false"/>
      <w:ind w:hanging="0"/>
      <w:textAlignment w:val="baseline"/>
    </w:pPr>
    <w:rPr>
      <w:rFonts w:eastAsia="Times New Roman"/>
      <w:sz w:val="20"/>
      <w:szCs w:val="20"/>
    </w:rPr>
  </w:style>
  <w:style w:type="paragraph" w:styleId="Style26">
    <w:name w:val="Рецензия"/>
    <w:qFormat/>
    <w:pPr>
      <w:widowControl/>
      <w:bidi w:val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LibreOffice/6.0.7.3$Linux_X86_64 LibreOffice_project/00m0$Build-3</Application>
  <Pages>4</Pages>
  <Words>1138</Words>
  <Characters>6953</Characters>
  <CharactersWithSpaces>8102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2019-01-31T03:13:00Z</dcterms:created>
  <dc:creator>user</dc:creator>
  <dc:description/>
  <dc:language>en-US</dc:language>
  <cp:lastModifiedBy/>
  <cp:lastPrinted>2012-01-10T15:43:00Z</cp:lastPrinted>
  <dcterms:modified xsi:type="dcterms:W3CDTF">2019-08-31T10:48:04Z</dcterms:modified>
  <cp:revision>25</cp:revision>
  <dc:subject/>
  <dc:title>[Оставьте этот титульный лист для дисциплины, закрепленной за одной кафедрой]</dc:title>
</cp:coreProperties>
</file>