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9"/>
      <w:bookmarkStart w:id="1" w:name="OLE_LINK2"/>
      <w:bookmarkStart w:id="2" w:name="OLE_LINK1"/>
      <w:bookmarkStart w:id="3" w:name="OLE_LINK9"/>
      <w:bookmarkStart w:id="4" w:name="OLE_LINK2"/>
      <w:bookmarkStart w:id="5" w:name="OLE_LINK1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11"/>
      <w:bookmarkStart w:id="7" w:name="OLE_LINK91"/>
      <w:bookmarkStart w:id="8" w:name="OLE_LINK21"/>
      <w:bookmarkStart w:id="9" w:name="OLE_LINK11"/>
      <w:bookmarkStart w:id="10" w:name="OLE_LINK91"/>
      <w:bookmarkStart w:id="11" w:name="OLE_LINK2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Автор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szCs w:val="24"/>
              </w:rPr>
              <w:t>Г. А. Мороз, старший преподаватель,</w:t>
            </w:r>
          </w:p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Школа лингвистики ФГН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Число кредитов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Контактная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highlight w:val="yellow"/>
              </w:rPr>
            </w:pPr>
            <w:r>
              <w:rPr>
                <w:rFonts w:eastAsia="Times New Roman"/>
                <w:szCs w:val="24"/>
                <w:highlight w:val="yellow"/>
              </w:rPr>
              <w:t>160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Самостоятельная работа (час.)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/>
            </w:pPr>
            <w:r>
              <w:rPr>
                <w:rFonts w:eastAsia="Times New Roman"/>
                <w:szCs w:val="24"/>
                <w:highlight w:val="yellow"/>
              </w:rPr>
              <w:t>224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Курс 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179" w:hanging="0"/>
              <w:rPr/>
            </w:pPr>
            <w:r>
              <w:rPr>
                <w:rFonts w:eastAsia="Times New Roman"/>
                <w:szCs w:val="24"/>
              </w:rPr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99" w:firstLine="709"/>
              <w:jc w:val="center"/>
              <w:rPr>
                <w:rFonts w:eastAsia="Times New Roman"/>
                <w:szCs w:val="24"/>
              </w:rPr>
            </w:pPr>
            <w:r>
              <w:rPr>
                <w:bCs/>
                <w:szCs w:val="24"/>
              </w:rPr>
              <w:t>без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кластерного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уменьшения размерностей;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сетевого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байесовского анализа данных;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подготавливать данные из разных типов источников;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применять методы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без использования онлайн курсов.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45" w:type="dxa"/>
        <w:jc w:val="left"/>
        <w:tblInd w:w="-12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707"/>
        <w:gridCol w:w="1656"/>
        <w:gridCol w:w="11"/>
        <w:gridCol w:w="2943"/>
        <w:gridCol w:w="2527"/>
      </w:tblGrid>
      <w:tr>
        <w:trPr>
          <w:trHeight w:val="58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1. Основы 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написать функцию, которая считает факториал.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2. Сбор и обработка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напишите программу, которая посчитает долю слов, в заголовках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41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Визуализация и представление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rPr/>
            </w:pPr>
            <w:r>
              <w:rPr>
                <w:color w:val="000000"/>
                <w:szCs w:val="24"/>
              </w:rPr>
              <w:t>Например: постройте столбчатую диаграмму 7 наиболее частотных слов из заголовков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6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24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Основы статистики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Например: посчитайте долю использования слова «not» в корпусе обычных писем и спама. Является ли наблюдаемая разница средних статистически значимой?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Регрессионный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Например: постройте пуассоновскую регрессию, предсказывающую количество наград, которые получат студенты на основе типа программы и оценки их экзамена по математике.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Кластерный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Методы уменьшения размерности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Например: Используйте PCA для анализа датасета с частотностями прилагательных поэтов серебряного века</w:t>
            </w:r>
            <w:r>
              <w:rPr>
                <w:szCs w:val="24"/>
              </w:rPr>
              <w:t>. Какие кластеры поэтов можно обнаружить?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Arial" w:hAnsi="Arial"/>
                <w:bCs/>
                <w:i w:val="false"/>
                <w:i w:val="false"/>
                <w:caps w:val="false"/>
                <w:smallCaps w:val="false"/>
                <w:sz w:val="20"/>
                <w:szCs w:val="24"/>
              </w:rPr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Сетевой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провести разграничение между понятиями </w:t>
            </w:r>
            <w:r>
              <w:rPr>
                <w:szCs w:val="24"/>
              </w:rPr>
              <w:t>норма и узус, язык и речь</w:t>
            </w:r>
            <w:r>
              <w:rPr/>
              <w:t>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Байесовские методы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5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hd w:fill="FFFFFF" w:val="clear"/>
              </w:rPr>
              <w:t xml:space="preserve">Например: </w:t>
            </w:r>
            <w:r>
              <w:rPr>
                <w:color w:val="000000"/>
                <w:szCs w:val="24"/>
                <w:shd w:fill="FFFFFF" w:val="clear"/>
              </w:rPr>
              <w:t>Посчитайте значение правдоподобия модели</w:t>
            </w:r>
            <w:bookmarkStart w:id="13" w:name="MathJax-Element-30-Frame"/>
            <w:bookmarkStart w:id="14" w:name="MathJax-Span-769"/>
            <w:bookmarkStart w:id="15" w:name="MathJax-Span-770"/>
            <w:bookmarkStart w:id="16" w:name="MathJax-Span-771"/>
            <w:bookmarkStart w:id="17" w:name="MathJax-Span-772"/>
            <w:bookmarkStart w:id="18" w:name="MathJax-Span-773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color w:val="000000"/>
                <w:szCs w:val="24"/>
                <w:shd w:fill="FFFFFF" w:val="clear"/>
              </w:rPr>
              <w:t xml:space="preserve"> </w:t>
            </w:r>
            <w:r>
              <w:rPr>
                <w:rFonts w:ascii="MathJax Caligraphic" w:hAnsi="MathJax Caligraphic"/>
                <w:color w:val="000000"/>
                <w:szCs w:val="24"/>
                <w:shd w:fill="FFFFFF" w:val="clear"/>
              </w:rPr>
              <w:t>N</w:t>
            </w:r>
            <w:bookmarkStart w:id="19" w:name="MathJax-Span-774"/>
            <w:bookmarkEnd w:id="19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(</w:t>
            </w:r>
            <w:bookmarkStart w:id="20" w:name="MathJax-Span-775"/>
            <w:bookmarkEnd w:id="20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μ</w:t>
            </w:r>
            <w:bookmarkStart w:id="21" w:name="MathJax-Span-776"/>
            <w:bookmarkEnd w:id="21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2" w:name="MathJax-Span-777"/>
            <w:bookmarkEnd w:id="22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910</w:t>
            </w:r>
            <w:bookmarkStart w:id="23" w:name="MathJax-Span-778"/>
            <w:bookmarkEnd w:id="23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 xml:space="preserve">, </w:t>
            </w:r>
            <w:bookmarkStart w:id="24" w:name="MathJax-Span-782"/>
            <w:bookmarkStart w:id="25" w:name="MathJax-Span-783"/>
            <w:bookmarkStart w:id="26" w:name="MathJax-Span-784"/>
            <w:bookmarkEnd w:id="24"/>
            <w:bookmarkEnd w:id="25"/>
            <w:bookmarkEnd w:id="26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var</w:t>
            </w:r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7" w:name="MathJax-Span-786"/>
            <w:bookmarkEnd w:id="27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150)</w:t>
            </w:r>
            <w:r>
              <w:rPr>
                <w:color w:val="000000"/>
                <w:szCs w:val="24"/>
                <w:shd w:fill="FFFFFF" w:val="clear"/>
              </w:rPr>
              <w:t xml:space="preserve"> для встроенного датасета Nile.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13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52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56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ср  224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3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p>
      <w:pPr>
        <w:pStyle w:val="Normal"/>
        <w:ind w:hanging="0"/>
        <w:rPr/>
      </w:pPr>
      <w:r>
        <w:rPr/>
        <w:t>Тема 1. Основы R:</w:t>
      </w:r>
    </w:p>
    <w:p>
      <w:pPr>
        <w:pStyle w:val="Normal"/>
        <w:ind w:hanging="0"/>
        <w:rPr/>
      </w:pPr>
      <w:r>
        <w:rPr/>
        <w:t>Базовые объекты, функции, пакеты. Написание собственных функций и сложные циклы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2. Сбор и обработка данных:</w:t>
      </w:r>
    </w:p>
    <w:p>
      <w:pPr>
        <w:pStyle w:val="Normal"/>
        <w:ind w:hanging="0"/>
        <w:rPr/>
      </w:pPr>
      <w:r>
        <w:rPr/>
        <w:t>Трансформация данных: tidyverse, dplyr. Работа со строками. Работа с текстами: tidytext, udpipe. Сбор данных из интернета: rvest. OCR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3. Визуализация и представление данных:</w:t>
      </w:r>
    </w:p>
    <w:p>
      <w:pPr>
        <w:pStyle w:val="Normal"/>
        <w:ind w:hanging="0"/>
        <w:rPr/>
      </w:pPr>
      <w:r>
        <w:rPr/>
        <w:t>Визуализация данных: ggplot2. Представление данных: rmarkdown, shiny.  Работа с картографическими данными. Визуализация данных: графы, санки-плот.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4. Основы статистики:</w:t>
      </w:r>
    </w:p>
    <w:p>
      <w:pPr>
        <w:pStyle w:val="Normal"/>
        <w:ind w:hanging="0"/>
        <w:rPr/>
      </w:pPr>
      <w:r>
        <w:rPr/>
        <w:t>Описательная статистика, моменты, z-преобразование. Центральная предельная теорема. Доврительные интервалы, T-test, χ², Fisher-test. Критерии согласия. Симуляционная статистика.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5. Регрессионный анализ:</w:t>
      </w:r>
    </w:p>
    <w:p>
      <w:pPr>
        <w:pStyle w:val="Normal"/>
        <w:ind w:hanging="0"/>
        <w:rPr/>
      </w:pPr>
      <w:r>
        <w:rPr/>
        <w:t>Корреляция и простая линейная регрессия. Множественная регрессия, link-functions. Логистическая и мультиномиальная регрессия. GAM. Ограничение на применение регрессии. Модели со смешанными эффектами.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6. Кластерный анализ:</w:t>
      </w:r>
    </w:p>
    <w:p>
      <w:pPr>
        <w:pStyle w:val="Normal"/>
        <w:ind w:hanging="0"/>
        <w:rPr/>
      </w:pPr>
      <w:r>
        <w:rPr/>
        <w:t>Методы кластеризации: метрики расстояний, k-means, иерархические кластеризации. Визаулизация деревьев.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7. Методы уменьшения размерности:</w:t>
      </w:r>
    </w:p>
    <w:p>
      <w:pPr>
        <w:pStyle w:val="Normal"/>
        <w:ind w:hanging="0"/>
        <w:rPr/>
      </w:pPr>
      <w:r>
        <w:rPr/>
        <w:t>PCA, CA, MCA, MDS, t-SNE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8. Сетевой анализ:</w:t>
      </w:r>
    </w:p>
    <w:p>
      <w:pPr>
        <w:pStyle w:val="Normal"/>
        <w:ind w:hanging="0"/>
        <w:rPr/>
      </w:pPr>
      <w:r>
        <w:rPr/>
        <w:t>Основные метрики сетей. Методы визуализации сетей.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bCs/>
          <w:i w:val="false"/>
          <w:iCs w:val="false"/>
          <w:szCs w:val="24"/>
        </w:rPr>
        <w:t>Тема 9. Байесовские методы:</w:t>
      </w:r>
    </w:p>
    <w:p>
      <w:pPr>
        <w:pStyle w:val="Normal"/>
        <w:ind w:hanging="0"/>
        <w:jc w:val="both"/>
        <w:rPr/>
      </w:pPr>
      <w:r>
        <w:rPr>
          <w:szCs w:val="24"/>
        </w:rPr>
        <w:t>Работа с распределениями. Байесовский статистический вывод. Байесовский доверительный интервал. Байесовский фактор. Эмпирическая байесовская оценка. Байесовкие A/B тесты.  Байесовская регрессия. Введение в MC и MCMC. Пакет brms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/>
      </w:pPr>
      <w:bookmarkStart w:id="28" w:name="_Hlk16851548"/>
      <w:bookmarkEnd w:id="28"/>
      <w:r>
        <w:rPr>
          <w:color w:val="000000"/>
          <w:szCs w:val="24"/>
          <w:lang w:eastAsia="ru-RU"/>
        </w:rPr>
        <w:t>Итоговая оценка за курс состоит из оценок за самостоятельные работы по следующей формуле: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nary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/>
      </w:pPr>
      <w:r>
        <w:rPr>
          <w:rFonts w:eastAsia="Times New Roman"/>
          <w:b w:val="false"/>
          <w:i w:val="false"/>
          <w:sz w:val="22"/>
          <w:szCs w:val="24"/>
          <w:lang w:eastAsia="ru-RU"/>
        </w:rPr>
        <w:t>г</w:t>
      </w:r>
      <w:r>
        <w:rPr>
          <w:b w:val="false"/>
          <w:i w:val="false"/>
          <w:sz w:val="22"/>
        </w:rPr>
        <w:t>де m</w:t>
      </w:r>
      <w:r>
        <w:rPr>
          <w:b w:val="false"/>
          <w:i w:val="false"/>
          <w:sz w:val="22"/>
          <w:vertAlign w:val="subscript"/>
        </w:rPr>
        <w:t>i,k</w:t>
      </w:r>
      <w:r>
        <w:rPr>
          <w:b w:val="false"/>
          <w:i w:val="false"/>
          <w:sz w:val="22"/>
        </w:rPr>
        <w:t xml:space="preserve"> – доля студентов, выполнившая задание номер </w:t>
      </w:r>
      <w:r>
        <w:rPr>
          <w:b w:val="false"/>
          <w:i/>
          <w:iCs/>
          <w:sz w:val="22"/>
        </w:rPr>
        <w:t>i</w:t>
      </w:r>
      <w:r>
        <w:rPr>
          <w:b w:val="false"/>
          <w:i w:val="false"/>
          <w:sz w:val="22"/>
        </w:rPr>
        <w:t xml:space="preserve"> хуже, чем студент </w:t>
      </w:r>
      <w:r>
        <w:rPr>
          <w:b w:val="false"/>
          <w:i/>
          <w:iCs/>
          <w:sz w:val="22"/>
        </w:rPr>
        <w:t xml:space="preserve">k. 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10 ставится за абсолютно верный ответ, содержащий элементы нетривиального подхода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к анализу материала.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9 ставится за абсолютно верный ответ, не обладающий нетривиальными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особенностями.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их самостоятельного исправления в процессе диалога с преподавателем.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Все элементы контроля подлежат пересдаче в виде 2-ух часовой работы, во время которой можно пользоваться любыми материалами. Время проведения устанавливается факультетом гуманитарных наук. Тематический состав КИМ-ов для пересдач не отличается от тематического состава КИМ-ов текущего контроля и промежуточной аттестации.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29" w:name="_Hlk168515481"/>
      <w:bookmarkStart w:id="30" w:name="_Hlk168515481"/>
      <w:bookmarkEnd w:id="30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</w:rPr>
        <w:t>Уже приведены в разделе 2.</w:t>
      </w:r>
    </w:p>
    <w:p>
      <w:pPr>
        <w:pStyle w:val="Normal"/>
        <w:ind w:hanging="0"/>
        <w:jc w:val="both"/>
        <w:rPr>
          <w:color w:val="000000"/>
          <w:szCs w:val="24"/>
        </w:rPr>
      </w:pPr>
      <w:r>
        <w:rPr>
          <w:color w:val="000000"/>
          <w:szCs w:val="24"/>
        </w:rPr>
      </w:r>
      <w:bookmarkStart w:id="31" w:name="_Hlk168515601"/>
      <w:bookmarkStart w:id="32" w:name="_Hlk168515601"/>
      <w:bookmarkEnd w:id="32"/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jc w:val="both"/>
        <w:rPr>
          <w:sz w:val="22"/>
        </w:rPr>
      </w:pPr>
      <w:r>
        <w:rPr>
          <w:sz w:val="22"/>
          <w:highlight w:val="white"/>
        </w:rPr>
        <w:t>Базовый учебник по курсу отсутствует.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5.2 Рекомендуемая дополнительная литература</w:t>
      </w:r>
    </w:p>
    <w:tbl>
      <w:tblPr>
        <w:tblW w:w="10045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68"/>
        <w:gridCol w:w="9276"/>
      </w:tblGrid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tabs>
                <w:tab w:val="left" w:pos="284" w:leader="none"/>
              </w:tabs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Xie, Y. Dynamic documents with R and knitr / Y. Xie. – Boca Raton; London; New York: CRC Press, 2014. – 190 с. – (The R series) . – На англ. яз. - ISBN 978-1-482-20353-0.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Spector, P. Data manipulation with R / P. Spector. – New York: Springer, 2008. – 152 с. – (Use R!). – На англ. яз. - ISBN 978-0-387-74730-9.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3.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Wickham, H. ggplot2: elegant graphics for data analysis / H. Wickham. – Dordrecht: Springer, 2009. – 212 с. – (Use R!). – На англ. яз. - ISBN 978-0-387-98140-6.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4.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>
                <w:sz w:val="22"/>
              </w:rPr>
              <w:t>Wickham, H. Advanced R / H. Wickham. – Boca Raton [etc.]: CRC Press, 2014. – 456 с. – (Chapman &amp; Hall/CRC. The R Series) . – На англ. яз. - ISBN 978-1-466-58696-3.</w:t>
            </w:r>
          </w:p>
        </w:tc>
      </w:tr>
    </w:tbl>
    <w:p>
      <w:pPr>
        <w:pStyle w:val="Normal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151"/>
        <w:gridCol w:w="5027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Github</w:t>
            </w:r>
          </w:p>
          <w:p>
            <w:pPr>
              <w:pStyle w:val="Normal"/>
              <w:tabs>
                <w:tab w:val="left" w:pos="2115" w:leader="none"/>
              </w:tabs>
              <w:jc w:val="center"/>
              <w:rPr>
                <w:rFonts w:eastAsia="Times New Roman"/>
                <w:b/>
                <w:b/>
                <w:i/>
                <w:i/>
                <w:iCs/>
                <w:sz w:val="22"/>
                <w:szCs w:val="24"/>
                <w:lang w:val="en-US"/>
              </w:rPr>
            </w:pPr>
            <w:r>
              <w:rPr>
                <w:rFonts w:eastAsia="Times New Roman"/>
                <w:b/>
                <w:i/>
                <w:iCs/>
                <w:sz w:val="22"/>
                <w:szCs w:val="24"/>
                <w:lang w:val="en-US"/>
              </w:rPr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Endnote"/>
        <w:widowControl w:val="false"/>
        <w:jc w:val="both"/>
        <w:rPr/>
      </w:pPr>
      <w:r>
        <w:rPr>
          <w:bCs/>
          <w:sz w:val="24"/>
          <w:szCs w:val="24"/>
        </w:rPr>
        <w:t>Учебные аудитории для лекционных и семинарских занятий по дисциплине оснащены ПЭВМ по числу студентов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Endnote"/>
        <w:widowControl w:val="false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 Caligraphic"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character" w:styleId="ListLabel33">
    <w:name w:val="ListLabel 33"/>
    <w:qFormat/>
    <w:rPr>
      <w:iCs/>
    </w:rPr>
  </w:style>
  <w:style w:type="character" w:styleId="ListLabel34">
    <w:name w:val="ListLabel 34"/>
    <w:qFormat/>
    <w:rPr>
      <w:b/>
      <w:lang w:eastAsia="en-US"/>
    </w:rPr>
  </w:style>
  <w:style w:type="character" w:styleId="ListLabel35">
    <w:name w:val="ListLabel 35"/>
    <w:qFormat/>
    <w:rPr>
      <w:rFonts w:eastAsia="Times New Roman" w:cs="Times New Roman"/>
      <w:b/>
      <w:sz w:val="22"/>
    </w:rPr>
  </w:style>
  <w:style w:type="character" w:styleId="ListLabel36">
    <w:name w:val="ListLabel 36"/>
    <w:qFormat/>
    <w:rPr>
      <w:rFonts w:cs="Symbol"/>
      <w:b/>
    </w:rPr>
  </w:style>
  <w:style w:type="character" w:styleId="ListLabel37">
    <w:name w:val="ListLabel 37"/>
    <w:qFormat/>
    <w:rPr>
      <w:sz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fals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LibreOffice/6.0.7.3$Linux_X86_64 LibreOffice_project/00m0$Build-3</Application>
  <Pages>5</Pages>
  <Words>1256</Words>
  <Characters>8010</Characters>
  <CharactersWithSpaces>9255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2019-08-28T23:04:32Z</dcterms:modified>
  <cp:revision>21</cp:revision>
  <dc:subject/>
  <dc:title>[Оставьте этот титульный лист для дисциплины, закрепленной за одной кафедрой]</dc:title>
</cp:coreProperties>
</file>