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09"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LibreOffice/6.4.7.2$Linux_X86_64 LibreOffice_project/40$Build-2</Application>
  <Pages>1</Pages>
  <Words>212</Words>
  <Characters>1124</Characters>
  <CharactersWithSpaces>1308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2021-08-07T11:26:24Z</dcterms:modified>
  <cp:revision>14</cp:revision>
  <dc:subject/>
  <dc:title/>
</cp:coreProperties>
</file>