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00" w:line="360" w:lineRule="auto"/>
        <w:contextualSpacing w:val="false"/>
        <w:rPr>
          <w:rFonts w:ascii="Arial" w:hAnsi="Arial"/>
          <w:b/>
          <w:bCs/>
          <w:sz w:val="32"/>
          <w:szCs w:val="32"/>
          <w:lang w:val="en-US"/>
        </w:rPr>
      </w:pPr>
      <w:r>
        <w:rPr>
          <w:rFonts w:ascii="Arial" w:hAnsi="Arial"/>
          <w:b/>
          <w:bCs/>
          <w:sz w:val="32"/>
          <w:szCs w:val="32"/>
          <w:lang w:val="en-US"/>
        </w:rPr>
        <w:t>Crosstalk between glucocorticoid and thyroid hormone signaling at post-embryonic transition.</w:t>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t xml:space="preserve">Alexis Grimaldi1, Nicolas Buisine1, </w:t>
      </w:r>
      <w:r>
        <w:rPr>
          <w:rFonts w:ascii="Arial" w:hAnsi="Arial"/>
          <w:b w:val="false"/>
          <w:bCs w:val="false"/>
          <w:sz w:val="24"/>
          <w:szCs w:val="24"/>
          <w:lang w:val="en-US"/>
        </w:rPr>
        <w:t>Corinne Blugeon</w:t>
      </w:r>
      <w:r>
        <w:rPr>
          <w:rFonts w:ascii="Arial" w:hAnsi="Arial"/>
          <w:b w:val="false"/>
          <w:bCs w:val="false"/>
          <w:sz w:val="24"/>
          <w:szCs w:val="24"/>
          <w:lang w:val="en-US"/>
        </w:rPr>
        <w:t xml:space="preserve">2, </w:t>
      </w:r>
      <w:r>
        <w:rPr>
          <w:rFonts w:ascii="Arial" w:hAnsi="Arial"/>
          <w:b w:val="false"/>
          <w:bCs w:val="false"/>
          <w:sz w:val="24"/>
          <w:szCs w:val="24"/>
          <w:lang w:val="en-US"/>
        </w:rPr>
        <w:t>Adeline Couvé</w:t>
      </w:r>
      <w:r>
        <w:rPr>
          <w:rFonts w:ascii="Arial" w:hAnsi="Arial"/>
          <w:b w:val="false"/>
          <w:bCs w:val="false"/>
          <w:sz w:val="24"/>
          <w:szCs w:val="24"/>
          <w:lang w:val="en-US"/>
        </w:rPr>
        <w:t>2 and Laurent Sachs1*.</w:t>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t xml:space="preserve">1: UMR7221 CNRS, Museum National d'Histoire Naturelle, </w:t>
      </w:r>
      <w:r>
        <w:rPr>
          <w:rFonts w:ascii="Arial" w:hAnsi="Arial"/>
          <w:b w:val="false"/>
          <w:bCs w:val="false"/>
          <w:sz w:val="24"/>
          <w:szCs w:val="24"/>
          <w:lang w:val="en-US"/>
        </w:rPr>
        <w:t>5</w:t>
      </w:r>
      <w:r>
        <w:rPr>
          <w:rFonts w:ascii="Arial" w:hAnsi="Arial"/>
          <w:b w:val="false"/>
          <w:bCs w:val="false"/>
          <w:sz w:val="24"/>
          <w:szCs w:val="24"/>
          <w:lang w:val="en-US"/>
        </w:rPr>
        <w:t>7 Rue Cuvier, 75231 Paris Cedex 05, France.</w:t>
      </w:r>
    </w:p>
    <w:p>
      <w:pPr>
        <w:pStyle w:val="style1"/>
        <w:spacing w:line="360" w:lineRule="auto"/>
        <w:rPr>
          <w:rFonts w:ascii="Arial" w:cs="Times New Roman;Times" w:hAnsi="Arial"/>
          <w:b w:val="false"/>
          <w:bCs w:val="false"/>
          <w:sz w:val="24"/>
          <w:szCs w:val="24"/>
          <w:lang w:val="fr-FR"/>
        </w:rPr>
      </w:pPr>
      <w:r>
        <w:rPr>
          <w:rFonts w:ascii="Arial" w:hAnsi="Arial"/>
          <w:b w:val="false"/>
          <w:bCs w:val="false"/>
          <w:sz w:val="24"/>
          <w:szCs w:val="24"/>
          <w:lang w:val="en-US"/>
        </w:rPr>
        <w:t xml:space="preserve">2: </w:t>
      </w:r>
      <w:r>
        <w:rPr>
          <w:rFonts w:ascii="Arial" w:cs="Times New Roman;Times" w:hAnsi="Arial"/>
          <w:b w:val="false"/>
          <w:bCs w:val="false"/>
          <w:sz w:val="24"/>
          <w:szCs w:val="24"/>
          <w:lang w:val="fr-FR"/>
        </w:rPr>
        <w:t>Plateforme Génomique de l'Institut de Biologie de l'Ecole Normale Supérieure-IBENS, 46 rue d'Ulm F75230 Paris cédex 05, France.</w:t>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t xml:space="preserve">*: Corresponding author, sachs@mnhn.fr </w:t>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t xml:space="preserve">UMR7221 CNRS, Museum National d'Histoire Naturelle, </w:t>
      </w:r>
      <w:r>
        <w:rPr>
          <w:rFonts w:ascii="Arial" w:hAnsi="Arial"/>
          <w:b w:val="false"/>
          <w:bCs w:val="false"/>
          <w:sz w:val="24"/>
          <w:szCs w:val="24"/>
          <w:lang w:val="en-US"/>
        </w:rPr>
        <w:t xml:space="preserve">CP32, </w:t>
      </w:r>
      <w:r>
        <w:rPr>
          <w:rFonts w:ascii="Arial" w:hAnsi="Arial"/>
          <w:b w:val="false"/>
          <w:bCs w:val="false"/>
          <w:sz w:val="24"/>
          <w:szCs w:val="24"/>
          <w:lang w:val="en-US"/>
        </w:rPr>
        <w:t>7 Rue Cuvier, 75231 Paris Cedex 05, France.</w:t>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t>Keywords : glucocorticoid, thyroid hormone, crosstalk, post-embryonic development</w:t>
      </w:r>
    </w:p>
    <w:p>
      <w:pPr>
        <w:pStyle w:val="style1"/>
        <w:spacing w:line="360" w:lineRule="auto"/>
        <w:rPr>
          <w:rFonts w:ascii="Arial" w:hAnsi="Arial"/>
          <w:b w:val="false"/>
          <w:bCs w:val="false"/>
          <w:sz w:val="24"/>
          <w:szCs w:val="24"/>
          <w:lang w:val="en-US"/>
        </w:rPr>
      </w:pPr>
      <w:r>
        <w:rPr>
          <w:rFonts w:ascii="Arial" w:hAnsi="Arial"/>
          <w:b w:val="false"/>
          <w:bCs w:val="false"/>
          <w:sz w:val="24"/>
          <w:szCs w:val="24"/>
          <w:lang w:val="en-US"/>
        </w:rPr>
      </w:r>
    </w:p>
    <w:p>
      <w:pPr>
        <w:pStyle w:val="style1"/>
        <w:pageBreakBefore/>
        <w:spacing w:line="360" w:lineRule="auto"/>
        <w:rPr>
          <w:rFonts w:ascii="Arial" w:hAnsi="Arial"/>
          <w:lang w:val="en-US"/>
        </w:rPr>
      </w:pPr>
      <w:r>
        <w:rPr>
          <w:rFonts w:ascii="Arial" w:hAnsi="Arial"/>
          <w:lang w:val="en-US"/>
        </w:rPr>
        <w:t>Abstract</w:t>
      </w:r>
    </w:p>
    <w:p>
      <w:pPr>
        <w:pStyle w:val="style31"/>
        <w:spacing w:line="360" w:lineRule="auto"/>
        <w:rPr>
          <w:rFonts w:ascii="Arial" w:hAnsi="Arial"/>
          <w:sz w:val="24"/>
          <w:szCs w:val="24"/>
          <w:lang w:val="en-US"/>
        </w:rPr>
      </w:pPr>
      <w:r>
        <w:rPr>
          <w:rFonts w:ascii="Arial" w:hAnsi="Arial"/>
          <w:sz w:val="24"/>
          <w:szCs w:val="24"/>
          <w:lang w:val="en-US"/>
        </w:rPr>
      </w:r>
    </w:p>
    <w:p>
      <w:pPr>
        <w:pStyle w:val="style31"/>
        <w:spacing w:line="360" w:lineRule="auto"/>
        <w:rPr>
          <w:rFonts w:ascii="Arial" w:hAnsi="Arial"/>
          <w:sz w:val="24"/>
          <w:szCs w:val="24"/>
          <w:lang w:val="en-US"/>
        </w:rPr>
      </w:pPr>
      <w:r>
        <w:rPr>
          <w:rFonts w:ascii="Arial" w:hAnsi="Arial"/>
          <w:sz w:val="24"/>
          <w:szCs w:val="24"/>
          <w:lang w:val="en-US"/>
        </w:rPr>
        <w:t xml:space="preserve">Endocrine signaling mediated by nuclear receptors form a set of highly conserved pathway among chordates. Thyroid hormones signaling has a wide range of biological effects involved in the control of homeostasis and development. TH also control the onset of amphibian metamorphosis, which resemble the mammalian perinatal period. Indeed, </w:t>
      </w:r>
      <w:r>
        <w:rPr>
          <w:rFonts w:ascii="Arial" w:hAnsi="Arial"/>
          <w:i w:val="false"/>
          <w:iCs w:val="false"/>
          <w:sz w:val="24"/>
          <w:szCs w:val="24"/>
          <w:lang w:val="en-US"/>
        </w:rPr>
        <w:t>Xenopus</w:t>
      </w:r>
      <w:r>
        <w:rPr>
          <w:rFonts w:ascii="Arial" w:hAnsi="Arial"/>
          <w:i/>
          <w:iCs/>
          <w:sz w:val="24"/>
          <w:szCs w:val="24"/>
          <w:lang w:val="en-US"/>
        </w:rPr>
        <w:t xml:space="preserve"> </w:t>
      </w:r>
      <w:r>
        <w:rPr>
          <w:rFonts w:ascii="Arial" w:hAnsi="Arial"/>
          <w:sz w:val="24"/>
          <w:szCs w:val="24"/>
          <w:lang w:val="en-US"/>
        </w:rPr>
        <w:t>metamorphosis has been an instrumental model in building our current understanding of TH signaling during vertebrates development. Glucocorticoids (GC) mediate stress response in a physiological or developmental context. They also act as a relay that channel environmental inputs and modulate the corresponding biological processes. Although deeply adaptative in nature, GC mediated responses may also promote more detrimental long term effects. Similarly, the clinical use of GC is limited by long term adverse effects. Surprisingly, although functional interactions between TH and GC signaling are known, there are supported by little molecular data.</w:t>
      </w:r>
    </w:p>
    <w:p>
      <w:pPr>
        <w:pStyle w:val="style31"/>
        <w:spacing w:line="360" w:lineRule="auto"/>
        <w:rPr>
          <w:rFonts w:ascii="Arial" w:hAnsi="Arial"/>
          <w:sz w:val="24"/>
          <w:szCs w:val="24"/>
          <w:shd w:fill="auto" w:val="clear"/>
          <w:lang w:val="en-US"/>
        </w:rPr>
      </w:pPr>
      <w:r>
        <w:rPr>
          <w:rFonts w:ascii="Arial" w:hAnsi="Arial"/>
          <w:sz w:val="24"/>
          <w:szCs w:val="24"/>
          <w:shd w:fill="auto" w:val="clear"/>
          <w:lang w:val="en-US"/>
        </w:rPr>
        <w:t xml:space="preserve">Here, we used extensive analysis of RNA-Seq data to </w:t>
      </w:r>
      <w:r>
        <w:rPr>
          <w:rFonts w:ascii="Arial" w:hAnsi="Arial"/>
          <w:sz w:val="24"/>
          <w:szCs w:val="24"/>
          <w:shd w:fill="auto" w:val="clear"/>
          <w:lang w:val="en-US"/>
        </w:rPr>
        <w:t>collect</w:t>
      </w:r>
      <w:r>
        <w:rPr>
          <w:rFonts w:ascii="Arial" w:hAnsi="Arial"/>
          <w:sz w:val="24"/>
          <w:szCs w:val="24"/>
          <w:shd w:fill="auto" w:val="clear"/>
          <w:lang w:val="en-US"/>
        </w:rPr>
        <w:t xml:space="preserve"> the molecular details of </w:t>
      </w:r>
      <w:r>
        <w:rPr>
          <w:rFonts w:ascii="Arial" w:hAnsi="Arial"/>
          <w:sz w:val="24"/>
          <w:szCs w:val="24"/>
          <w:shd w:fill="auto" w:val="clear"/>
          <w:lang w:val="en-US"/>
        </w:rPr>
        <w:t xml:space="preserve">the </w:t>
      </w:r>
      <w:r>
        <w:rPr>
          <w:rFonts w:ascii="Arial" w:hAnsi="Arial"/>
          <w:sz w:val="24"/>
          <w:szCs w:val="24"/>
          <w:shd w:fill="auto" w:val="clear"/>
          <w:lang w:val="en-US"/>
        </w:rPr>
        <w:t xml:space="preserve">crosstalk </w:t>
      </w:r>
      <w:r>
        <w:rPr>
          <w:rFonts w:ascii="Arial" w:hAnsi="Arial"/>
          <w:sz w:val="24"/>
          <w:szCs w:val="24"/>
          <w:shd w:fill="auto" w:val="clear"/>
          <w:lang w:val="en-US"/>
        </w:rPr>
        <w:t xml:space="preserve">between </w:t>
      </w:r>
      <w:r>
        <w:rPr>
          <w:rFonts w:ascii="Arial" w:hAnsi="Arial"/>
          <w:sz w:val="24"/>
          <w:szCs w:val="24"/>
          <w:shd w:fill="auto" w:val="clear"/>
          <w:lang w:val="en-US"/>
        </w:rPr>
        <w:t xml:space="preserve">TH and GC </w:t>
      </w:r>
      <w:r>
        <w:rPr>
          <w:rFonts w:ascii="Arial" w:hAnsi="Arial"/>
          <w:sz w:val="24"/>
          <w:szCs w:val="24"/>
          <w:shd w:fill="auto" w:val="clear"/>
          <w:lang w:val="en-US"/>
        </w:rPr>
        <w:t>signaling during limb development</w:t>
      </w:r>
      <w:r>
        <w:rPr>
          <w:rFonts w:ascii="Arial" w:hAnsi="Arial"/>
          <w:sz w:val="24"/>
          <w:szCs w:val="24"/>
          <w:shd w:fill="auto" w:val="clear"/>
          <w:lang w:val="en-US"/>
        </w:rPr>
        <w:t xml:space="preserve">, </w:t>
      </w:r>
      <w:r>
        <w:rPr>
          <w:rFonts w:ascii="Arial" w:hAnsi="Arial"/>
          <w:i/>
          <w:iCs/>
          <w:sz w:val="24"/>
          <w:szCs w:val="24"/>
          <w:shd w:fill="auto" w:val="clear"/>
          <w:lang w:val="en-US"/>
        </w:rPr>
        <w:t>in vivo</w:t>
      </w:r>
      <w:r>
        <w:rPr>
          <w:rFonts w:ascii="Arial" w:hAnsi="Arial"/>
          <w:sz w:val="24"/>
          <w:szCs w:val="24"/>
          <w:shd w:fill="auto" w:val="clear"/>
          <w:lang w:val="en-US"/>
        </w:rPr>
        <w:t>. We show that the transcriptional response to TH and GC is highly archetypal and that crosstalk affects expression of a restricted number of genes (~ 300), mostly involved in bone formation and resorption or linked to human skeletal pathologies. We also show that GC treated metamorphic tadpoles have a strong phenotype with early ossification of long bones. Thus, our work provide a first molecular landscape of TH and GC crosstalk with potential applications for human health.</w:t>
      </w:r>
    </w:p>
    <w:p>
      <w:pPr>
        <w:pStyle w:val="style1"/>
        <w:pageBreakBefore/>
        <w:spacing w:line="360" w:lineRule="auto"/>
        <w:rPr>
          <w:rFonts w:ascii="Arial" w:hAnsi="Arial"/>
          <w:shd w:fill="auto" w:val="clear"/>
          <w:lang w:val="en-US"/>
        </w:rPr>
      </w:pPr>
      <w:r>
        <w:rPr>
          <w:rFonts w:ascii="Arial" w:hAnsi="Arial"/>
          <w:shd w:fill="auto" w:val="clear"/>
          <w:lang w:val="en-US"/>
        </w:rPr>
      </w:r>
    </w:p>
    <w:p>
      <w:pPr>
        <w:pStyle w:val="style1"/>
        <w:spacing w:line="360" w:lineRule="auto"/>
        <w:rPr>
          <w:rFonts w:ascii="Arial" w:hAnsi="Arial"/>
          <w:shd w:fill="auto" w:val="clear"/>
          <w:lang w:val="en-US"/>
        </w:rPr>
      </w:pPr>
      <w:r>
        <w:rPr>
          <w:rFonts w:ascii="Arial" w:hAnsi="Arial"/>
          <w:shd w:fill="auto" w:val="clear"/>
          <w:lang w:val="en-US"/>
        </w:rPr>
        <w:t>Introduction</w:t>
      </w:r>
    </w:p>
    <w:p>
      <w:pPr>
        <w:pStyle w:val="style31"/>
        <w:spacing w:line="360" w:lineRule="auto"/>
        <w:rPr>
          <w:rFonts w:ascii="Arial" w:hAnsi="Arial"/>
          <w:sz w:val="24"/>
          <w:szCs w:val="24"/>
          <w:shd w:fill="auto" w:val="clear"/>
          <w:lang w:val="en-US"/>
        </w:rPr>
      </w:pPr>
      <w:r>
        <w:rPr>
          <w:rFonts w:ascii="Arial" w:hAnsi="Arial"/>
          <w:sz w:val="24"/>
          <w:szCs w:val="24"/>
          <w:shd w:fill="auto" w:val="clear"/>
          <w:lang w:val="en-US"/>
        </w:rPr>
      </w:r>
    </w:p>
    <w:p>
      <w:pPr>
        <w:pStyle w:val="style31"/>
        <w:spacing w:line="360" w:lineRule="auto"/>
        <w:rPr>
          <w:rFonts w:ascii="Arial" w:hAnsi="Arial"/>
          <w:sz w:val="24"/>
          <w:szCs w:val="24"/>
          <w:shd w:fill="auto" w:val="clear"/>
          <w:lang w:val="en-US"/>
        </w:rPr>
      </w:pPr>
      <w:r>
        <w:rPr>
          <w:rFonts w:ascii="Arial" w:hAnsi="Arial"/>
          <w:sz w:val="24"/>
          <w:szCs w:val="24"/>
          <w:shd w:fill="auto" w:val="clear"/>
          <w:lang w:val="en-US"/>
        </w:rPr>
        <w:t xml:space="preserve">Adversity early in life is </w:t>
      </w:r>
      <w:r>
        <w:rPr>
          <w:rFonts w:ascii="Arial" w:hAnsi="Arial"/>
          <w:sz w:val="24"/>
          <w:szCs w:val="24"/>
          <w:shd w:fill="auto" w:val="clear"/>
          <w:lang w:val="en-US"/>
        </w:rPr>
        <w:t>thought</w:t>
      </w:r>
      <w:r>
        <w:rPr>
          <w:rFonts w:ascii="Arial" w:hAnsi="Arial"/>
          <w:sz w:val="24"/>
          <w:szCs w:val="24"/>
          <w:shd w:fill="auto" w:val="clear"/>
          <w:lang w:val="en-US"/>
        </w:rPr>
        <w:t xml:space="preserve"> to elicit developmental adaptations that serve to improve </w:t>
      </w:r>
      <w:r>
        <w:rPr>
          <w:rFonts w:ascii="Arial" w:hAnsi="Arial"/>
          <w:sz w:val="24"/>
          <w:szCs w:val="24"/>
          <w:shd w:fill="auto" w:val="clear"/>
          <w:lang w:val="en-US"/>
        </w:rPr>
        <w:t>perinatal</w:t>
      </w:r>
      <w:r>
        <w:rPr>
          <w:rFonts w:ascii="Arial" w:hAnsi="Arial"/>
          <w:sz w:val="24"/>
          <w:szCs w:val="24"/>
          <w:shd w:fill="auto" w:val="clear"/>
          <w:lang w:val="en-US"/>
        </w:rPr>
        <w:t xml:space="preserve"> survival and prepare the organism for a range of postnatal environments </w:t>
      </w:r>
      <w:r>
        <w:rPr>
          <w:rFonts w:ascii="Arial" w:hAnsi="Arial"/>
          <w:sz w:val="24"/>
          <w:szCs w:val="24"/>
          <w:shd w:fill="auto" w:val="clear"/>
          <w:lang w:val="en-US"/>
        </w:rPr>
        <w:t>(</w:t>
      </w:r>
      <w:r>
        <w:rPr>
          <w:rStyle w:val="style26"/>
          <w:rFonts w:ascii="Arial" w:hAnsi="Arial"/>
          <w:sz w:val="24"/>
          <w:szCs w:val="24"/>
          <w:shd w:fill="auto" w:val="clear"/>
          <w:lang w:val="en-US"/>
        </w:rPr>
        <w:t>[1]</w:t>
      </w:r>
      <w:r>
        <w:rPr>
          <w:rFonts w:ascii="Arial" w:hAnsi="Arial"/>
          <w:sz w:val="24"/>
          <w:szCs w:val="24"/>
          <w:shd w:fill="auto" w:val="clear"/>
          <w:lang w:val="en-US"/>
        </w:rPr>
        <w:t xml:space="preserve">; </w:t>
      </w:r>
      <w:r>
        <w:rPr>
          <w:rStyle w:val="style26"/>
          <w:rFonts w:ascii="Arial" w:hAnsi="Arial"/>
          <w:sz w:val="24"/>
          <w:szCs w:val="24"/>
          <w:shd w:fill="auto" w:val="clear"/>
          <w:lang w:val="en-US"/>
        </w:rPr>
        <w:t>[2]</w:t>
      </w:r>
      <w:r>
        <w:rPr>
          <w:rFonts w:ascii="Arial" w:hAnsi="Arial"/>
          <w:sz w:val="24"/>
          <w:szCs w:val="24"/>
          <w:shd w:fill="auto" w:val="clear"/>
          <w:lang w:val="en-US"/>
        </w:rPr>
        <w:t>;</w:t>
      </w:r>
      <w:r>
        <w:rPr>
          <w:rStyle w:val="style26"/>
          <w:rFonts w:ascii="Arial" w:hAnsi="Arial"/>
          <w:sz w:val="24"/>
          <w:szCs w:val="24"/>
          <w:shd w:fill="auto" w:val="clear"/>
          <w:lang w:val="en-US"/>
        </w:rPr>
        <w:t>[3]</w:t>
      </w:r>
      <w:r>
        <w:rPr>
          <w:rFonts w:ascii="Arial" w:hAnsi="Arial"/>
          <w:sz w:val="24"/>
          <w:szCs w:val="24"/>
          <w:shd w:fill="auto" w:val="clear"/>
          <w:lang w:val="en-US"/>
        </w:rPr>
        <w:t>)</w:t>
      </w:r>
      <w:r>
        <w:rPr>
          <w:rFonts w:ascii="Arial" w:hAnsi="Arial"/>
          <w:sz w:val="24"/>
          <w:szCs w:val="24"/>
          <w:shd w:fill="auto" w:val="clear"/>
          <w:lang w:val="en-US"/>
        </w:rPr>
        <w:t xml:space="preserve">. These processes, although </w:t>
      </w:r>
      <w:r>
        <w:rPr>
          <w:rFonts w:ascii="Arial" w:hAnsi="Arial"/>
          <w:sz w:val="24"/>
          <w:szCs w:val="24"/>
          <w:shd w:fill="auto" w:val="clear"/>
          <w:lang w:val="en-US"/>
        </w:rPr>
        <w:t>adaptive</w:t>
      </w:r>
      <w:r>
        <w:rPr>
          <w:rFonts w:ascii="Arial" w:hAnsi="Arial"/>
          <w:sz w:val="24"/>
          <w:szCs w:val="24"/>
          <w:shd w:fill="auto" w:val="clear"/>
          <w:lang w:val="en-US"/>
        </w:rPr>
        <w:t xml:space="preserve"> in their nature, may later prove to be </w:t>
      </w:r>
      <w:r>
        <w:rPr>
          <w:rFonts w:ascii="Arial" w:hAnsi="Arial"/>
          <w:sz w:val="24"/>
          <w:szCs w:val="24"/>
          <w:shd w:fill="auto" w:val="clear"/>
          <w:lang w:val="en-US"/>
        </w:rPr>
        <w:t>inadequate</w:t>
      </w:r>
      <w:r>
        <w:rPr>
          <w:rFonts w:ascii="Arial" w:hAnsi="Arial"/>
          <w:sz w:val="24"/>
          <w:szCs w:val="24"/>
          <w:shd w:fill="auto" w:val="clear"/>
          <w:lang w:val="en-US"/>
        </w:rPr>
        <w:t xml:space="preserve"> or disadvantageous </w:t>
      </w:r>
      <w:r>
        <w:rPr>
          <w:rFonts w:ascii="Arial" w:hAnsi="Arial"/>
          <w:sz w:val="24"/>
          <w:szCs w:val="24"/>
          <w:shd w:fill="auto" w:val="clear"/>
          <w:lang w:val="en-US"/>
        </w:rPr>
        <w:t>(</w:t>
      </w:r>
      <w:r>
        <w:rPr>
          <w:rStyle w:val="style26"/>
          <w:rFonts w:ascii="ArialMT" w:cs="ArialMT" w:eastAsia="ArialMT" w:hAnsi="ArialMT"/>
          <w:i w:val="false"/>
          <w:iCs w:val="false"/>
          <w:color w:val="262626"/>
          <w:sz w:val="24"/>
          <w:szCs w:val="24"/>
          <w:shd w:fill="auto" w:val="clear"/>
          <w:lang w:val="en-US"/>
        </w:rPr>
        <w:t>[1]</w:t>
      </w:r>
      <w:r>
        <w:rPr>
          <w:rFonts w:ascii="Arial" w:hAnsi="Arial"/>
          <w:sz w:val="24"/>
          <w:szCs w:val="24"/>
          <w:shd w:fill="auto" w:val="clear"/>
          <w:lang w:val="en-US"/>
        </w:rPr>
        <w:t>)</w:t>
      </w:r>
      <w:r>
        <w:rPr>
          <w:rFonts w:ascii="Arial" w:hAnsi="Arial"/>
          <w:sz w:val="24"/>
          <w:szCs w:val="24"/>
          <w:shd w:fill="auto" w:val="clear"/>
          <w:lang w:val="en-US"/>
        </w:rPr>
        <w:t xml:space="preserve">. Early life conditions are now known to contribute to several pathologies such as mental </w:t>
      </w:r>
      <w:r>
        <w:rPr>
          <w:rFonts w:ascii="Arial" w:hAnsi="Arial"/>
          <w:sz w:val="24"/>
          <w:szCs w:val="24"/>
          <w:shd w:fill="auto" w:val="clear"/>
          <w:lang w:val="en-US"/>
        </w:rPr>
        <w:t>and</w:t>
      </w:r>
      <w:r>
        <w:rPr>
          <w:rFonts w:ascii="Arial" w:hAnsi="Arial"/>
          <w:sz w:val="24"/>
          <w:szCs w:val="24"/>
          <w:shd w:fill="auto" w:val="clear"/>
          <w:lang w:val="en-US"/>
        </w:rPr>
        <w:t xml:space="preserve"> cardiovascular diseases, obesity and cancer, </w:t>
      </w:r>
      <w:r>
        <w:rPr>
          <w:rFonts w:ascii="Arial" w:hAnsi="Arial"/>
          <w:sz w:val="24"/>
          <w:szCs w:val="24"/>
          <w:shd w:fill="auto" w:val="clear"/>
          <w:lang w:val="en-US"/>
        </w:rPr>
        <w:t xml:space="preserve">occurring much </w:t>
      </w:r>
      <w:r>
        <w:rPr>
          <w:rFonts w:ascii="Arial" w:hAnsi="Arial"/>
          <w:sz w:val="24"/>
          <w:szCs w:val="24"/>
          <w:shd w:fill="auto" w:val="clear"/>
          <w:lang w:val="en-US"/>
        </w:rPr>
        <w:t xml:space="preserve">later </w:t>
      </w:r>
      <w:r>
        <w:rPr>
          <w:rFonts w:ascii="Arial" w:hAnsi="Arial"/>
          <w:sz w:val="24"/>
          <w:szCs w:val="24"/>
          <w:shd w:fill="auto" w:val="clear"/>
          <w:lang w:val="en-US"/>
        </w:rPr>
        <w:t xml:space="preserve">in life </w:t>
      </w:r>
      <w:r>
        <w:rPr>
          <w:rFonts w:ascii="Arial" w:hAnsi="Arial"/>
          <w:sz w:val="24"/>
          <w:szCs w:val="24"/>
          <w:shd w:fill="auto" w:val="clear"/>
          <w:lang w:val="en-US"/>
        </w:rPr>
        <w:t>(</w:t>
      </w:r>
      <w:r>
        <w:rPr>
          <w:rStyle w:val="style26"/>
          <w:rFonts w:ascii="Arial" w:hAnsi="Arial"/>
          <w:sz w:val="24"/>
          <w:szCs w:val="24"/>
          <w:shd w:fill="auto" w:val="clear"/>
          <w:lang w:val="en-US"/>
        </w:rPr>
        <w:t>[4]</w:t>
      </w:r>
      <w:r>
        <w:rPr>
          <w:rFonts w:ascii="Arial" w:hAnsi="Arial"/>
          <w:sz w:val="24"/>
          <w:szCs w:val="24"/>
          <w:shd w:fill="auto" w:val="clear"/>
          <w:lang w:val="en-US"/>
        </w:rPr>
        <w:t>)</w:t>
      </w:r>
      <w:r>
        <w:rPr>
          <w:rFonts w:ascii="Arial" w:hAnsi="Arial"/>
          <w:sz w:val="24"/>
          <w:szCs w:val="24"/>
          <w:shd w:fill="auto" w:val="clear"/>
          <w:lang w:val="en-US"/>
        </w:rPr>
        <w:t xml:space="preserve">. Furthermore, as dysfunctions could involve epigenetic modifications </w:t>
      </w:r>
      <w:r>
        <w:rPr>
          <w:rFonts w:ascii="Arial" w:hAnsi="Arial"/>
          <w:sz w:val="24"/>
          <w:szCs w:val="24"/>
          <w:shd w:fill="auto" w:val="clear"/>
          <w:lang w:val="en-US"/>
        </w:rPr>
        <w:t>set</w:t>
      </w:r>
      <w:r>
        <w:rPr>
          <w:rFonts w:ascii="Arial" w:hAnsi="Arial"/>
          <w:sz w:val="24"/>
          <w:szCs w:val="24"/>
          <w:shd w:fill="auto" w:val="clear"/>
          <w:lang w:val="en-US"/>
        </w:rPr>
        <w:t xml:space="preserve"> early </w:t>
      </w:r>
      <w:r>
        <w:rPr>
          <w:rFonts w:ascii="Arial" w:hAnsi="Arial"/>
          <w:sz w:val="24"/>
          <w:szCs w:val="24"/>
          <w:shd w:fill="auto" w:val="clear"/>
          <w:lang w:val="en-US"/>
        </w:rPr>
        <w:t xml:space="preserve">in </w:t>
      </w:r>
      <w:r>
        <w:rPr>
          <w:rFonts w:ascii="Arial" w:hAnsi="Arial"/>
          <w:sz w:val="24"/>
          <w:szCs w:val="24"/>
          <w:shd w:fill="auto" w:val="clear"/>
          <w:lang w:val="en-US"/>
        </w:rPr>
        <w:t xml:space="preserve">life, they </w:t>
      </w:r>
      <w:r>
        <w:rPr>
          <w:rFonts w:ascii="Arial" w:hAnsi="Arial"/>
          <w:sz w:val="24"/>
          <w:szCs w:val="24"/>
          <w:shd w:fill="auto" w:val="clear"/>
          <w:lang w:val="en-US"/>
        </w:rPr>
        <w:t>have the potential,</w:t>
      </w:r>
      <w:r>
        <w:rPr>
          <w:rFonts w:ascii="Arial" w:hAnsi="Arial"/>
          <w:sz w:val="24"/>
          <w:szCs w:val="24"/>
          <w:shd w:fill="auto" w:val="clear"/>
          <w:lang w:val="en-US"/>
        </w:rPr>
        <w:t xml:space="preserve"> in certain cases, </w:t>
      </w:r>
      <w:r>
        <w:rPr>
          <w:rFonts w:ascii="Arial" w:hAnsi="Arial"/>
          <w:sz w:val="24"/>
          <w:szCs w:val="24"/>
          <w:shd w:fill="auto" w:val="clear"/>
          <w:lang w:val="en-US"/>
        </w:rPr>
        <w:t xml:space="preserve">to </w:t>
      </w:r>
      <w:r>
        <w:rPr>
          <w:rFonts w:ascii="Arial" w:hAnsi="Arial"/>
          <w:sz w:val="24"/>
          <w:szCs w:val="24"/>
          <w:shd w:fill="auto" w:val="clear"/>
          <w:lang w:val="en-US"/>
        </w:rPr>
        <w:t xml:space="preserve">be transferred to </w:t>
      </w:r>
      <w:r>
        <w:rPr>
          <w:rFonts w:ascii="Arial" w:hAnsi="Arial"/>
          <w:sz w:val="24"/>
          <w:szCs w:val="24"/>
          <w:shd w:fill="auto" w:val="clear"/>
          <w:lang w:val="en-US"/>
        </w:rPr>
        <w:t>subsequent</w:t>
      </w:r>
      <w:r>
        <w:rPr>
          <w:rFonts w:ascii="Arial" w:hAnsi="Arial"/>
          <w:sz w:val="24"/>
          <w:szCs w:val="24"/>
          <w:shd w:fill="auto" w:val="clear"/>
          <w:lang w:val="en-US"/>
        </w:rPr>
        <w:t xml:space="preserve"> generations. The perinatal period is marked by endocrine signaling pathways that control </w:t>
      </w:r>
      <w:r>
        <w:rPr>
          <w:rFonts w:ascii="Arial" w:hAnsi="Arial"/>
          <w:sz w:val="24"/>
          <w:szCs w:val="24"/>
          <w:shd w:fill="auto" w:val="clear"/>
          <w:lang w:val="en-US"/>
        </w:rPr>
        <w:t xml:space="preserve">a number of </w:t>
      </w:r>
      <w:r>
        <w:rPr>
          <w:rFonts w:ascii="Arial" w:hAnsi="Arial"/>
          <w:sz w:val="24"/>
          <w:szCs w:val="24"/>
          <w:shd w:fill="auto" w:val="clear"/>
          <w:lang w:val="en-US"/>
        </w:rPr>
        <w:t xml:space="preserve">morphological, </w:t>
      </w:r>
      <w:r>
        <w:rPr>
          <w:rFonts w:ascii="Arial" w:hAnsi="Arial"/>
          <w:sz w:val="24"/>
          <w:szCs w:val="24"/>
          <w:shd w:fill="auto" w:val="clear"/>
          <w:lang w:val="en-US"/>
        </w:rPr>
        <w:t>developmental</w:t>
      </w:r>
      <w:r>
        <w:rPr>
          <w:rFonts w:ascii="Arial" w:hAnsi="Arial"/>
          <w:sz w:val="24"/>
          <w:szCs w:val="24"/>
          <w:shd w:fill="auto" w:val="clear"/>
          <w:lang w:val="en-US"/>
        </w:rPr>
        <w:t xml:space="preserve"> and physiological processes. Two of these endocrine signals are thyroid hormones (TH) and glucocorticoids (GC).</w:t>
      </w:r>
    </w:p>
    <w:p>
      <w:pPr>
        <w:pStyle w:val="style31"/>
        <w:spacing w:line="360" w:lineRule="auto"/>
        <w:rPr>
          <w:rFonts w:ascii="Arial" w:hAnsi="Arial"/>
          <w:sz w:val="24"/>
          <w:szCs w:val="24"/>
          <w:shd w:fill="auto" w:val="clear"/>
          <w:lang w:val="en-US"/>
        </w:rPr>
      </w:pPr>
      <w:r>
        <w:rPr>
          <w:rFonts w:ascii="Arial" w:hAnsi="Arial"/>
          <w:sz w:val="24"/>
          <w:szCs w:val="24"/>
          <w:shd w:fill="auto" w:val="clear"/>
          <w:lang w:val="en-US"/>
        </w:rPr>
        <w:t xml:space="preserve">TH have prominent effects on growth, development, and metabolism of virtually every cell and organ </w:t>
      </w:r>
      <w:r>
        <w:rPr>
          <w:rFonts w:ascii="Arial" w:hAnsi="Arial"/>
          <w:sz w:val="24"/>
          <w:szCs w:val="24"/>
          <w:shd w:fill="auto" w:val="clear"/>
          <w:lang w:val="en-US"/>
        </w:rPr>
        <w:t>(</w:t>
      </w:r>
      <w:r>
        <w:rPr>
          <w:rStyle w:val="style26"/>
          <w:sz w:val="24"/>
          <w:szCs w:val="24"/>
          <w:lang w:val="en-US"/>
        </w:rPr>
        <w:t>[5]</w:t>
      </w:r>
      <w:r>
        <w:rPr>
          <w:rFonts w:ascii="Arial" w:hAnsi="Arial"/>
          <w:sz w:val="24"/>
          <w:szCs w:val="24"/>
          <w:shd w:fill="auto" w:val="clear"/>
          <w:lang w:val="en-US"/>
        </w:rPr>
        <w:t>)</w:t>
      </w:r>
      <w:r>
        <w:rPr>
          <w:rFonts w:ascii="Arial" w:hAnsi="Arial"/>
          <w:sz w:val="24"/>
          <w:szCs w:val="24"/>
          <w:shd w:fill="auto" w:val="clear"/>
          <w:lang w:val="en-US"/>
        </w:rPr>
        <w:t xml:space="preserve">. Thyroid diseases are among the most common endocrine disorders worldwide </w:t>
      </w:r>
      <w:r>
        <w:rPr>
          <w:rFonts w:ascii="Arial" w:hAnsi="Arial"/>
          <w:sz w:val="24"/>
          <w:szCs w:val="24"/>
          <w:shd w:fill="auto" w:val="clear"/>
          <w:lang w:val="en-US"/>
        </w:rPr>
        <w:t>(</w:t>
      </w:r>
      <w:r>
        <w:rPr>
          <w:rStyle w:val="style26"/>
          <w:rFonts w:ascii="Arial" w:hAnsi="Arial"/>
          <w:sz w:val="24"/>
          <w:szCs w:val="24"/>
          <w:shd w:fill="auto" w:val="clear"/>
          <w:lang w:val="en-US"/>
        </w:rPr>
        <w:t>[5]</w:t>
      </w:r>
      <w:r>
        <w:rPr>
          <w:rFonts w:ascii="Arial" w:hAnsi="Arial"/>
          <w:sz w:val="24"/>
          <w:szCs w:val="24"/>
          <w:shd w:fill="auto" w:val="clear"/>
          <w:lang w:val="en-US"/>
        </w:rPr>
        <w:t>)</w:t>
      </w:r>
      <w:r>
        <w:rPr>
          <w:rFonts w:ascii="Arial" w:hAnsi="Arial"/>
          <w:sz w:val="24"/>
          <w:szCs w:val="24"/>
          <w:shd w:fill="auto" w:val="clear"/>
          <w:lang w:val="en-US"/>
        </w:rPr>
        <w:t xml:space="preserve">. On the one hand, TH deficiency </w:t>
      </w:r>
      <w:r>
        <w:rPr>
          <w:rFonts w:ascii="Arial" w:hAnsi="Arial"/>
          <w:sz w:val="24"/>
          <w:szCs w:val="24"/>
          <w:shd w:fill="auto" w:val="clear"/>
          <w:lang w:val="en-US"/>
        </w:rPr>
        <w:t>has a large spectrum of effects,</w:t>
      </w:r>
      <w:r>
        <w:rPr>
          <w:rFonts w:ascii="Arial" w:hAnsi="Arial"/>
          <w:sz w:val="24"/>
          <w:szCs w:val="24"/>
          <w:shd w:fill="auto" w:val="clear"/>
          <w:lang w:val="en-US"/>
        </w:rPr>
        <w:t xml:space="preserve"> ranging from </w:t>
      </w:r>
      <w:r>
        <w:rPr>
          <w:rFonts w:ascii="Arial" w:hAnsi="Arial"/>
          <w:sz w:val="24"/>
          <w:szCs w:val="24"/>
          <w:shd w:fill="auto" w:val="clear"/>
          <w:lang w:val="en-US"/>
        </w:rPr>
        <w:t xml:space="preserve">lower strength </w:t>
      </w:r>
      <w:r>
        <w:rPr>
          <w:rFonts w:ascii="Arial" w:hAnsi="Arial"/>
          <w:sz w:val="24"/>
          <w:szCs w:val="24"/>
          <w:shd w:fill="auto" w:val="clear"/>
          <w:lang w:val="en-US"/>
        </w:rPr>
        <w:t xml:space="preserve">and mild </w:t>
      </w:r>
      <w:r>
        <w:rPr>
          <w:rFonts w:ascii="Arial" w:hAnsi="Arial"/>
          <w:sz w:val="24"/>
          <w:szCs w:val="24"/>
          <w:shd w:fill="auto" w:val="clear"/>
          <w:lang w:val="en-US"/>
        </w:rPr>
        <w:t xml:space="preserve">impairment of </w:t>
      </w:r>
      <w:r>
        <w:rPr>
          <w:rFonts w:ascii="Arial" w:hAnsi="Arial"/>
          <w:sz w:val="24"/>
          <w:szCs w:val="24"/>
          <w:shd w:fill="auto" w:val="clear"/>
          <w:lang w:val="en-US"/>
        </w:rPr>
        <w:t xml:space="preserve">cognitive development to severe brain and neurological damage. On the other hand, excess TH leads to thyrotoxicosis and death. Both hypothyroid and hyperthyroidism have been linked </w:t>
      </w:r>
      <w:r>
        <w:rPr>
          <w:rFonts w:ascii="Arial" w:hAnsi="Arial"/>
          <w:sz w:val="24"/>
          <w:szCs w:val="24"/>
          <w:shd w:fill="auto" w:val="clear"/>
          <w:lang w:val="en-US"/>
        </w:rPr>
        <w:t>to</w:t>
      </w:r>
      <w:r>
        <w:rPr>
          <w:rFonts w:ascii="Arial" w:hAnsi="Arial"/>
          <w:sz w:val="24"/>
          <w:szCs w:val="24"/>
          <w:shd w:fill="auto" w:val="clear"/>
          <w:lang w:val="en-US"/>
        </w:rPr>
        <w:t xml:space="preserve"> increase</w:t>
      </w:r>
      <w:r>
        <w:rPr>
          <w:rFonts w:ascii="Arial" w:hAnsi="Arial"/>
          <w:sz w:val="24"/>
          <w:szCs w:val="24"/>
          <w:shd w:fill="auto" w:val="clear"/>
          <w:lang w:val="en-US"/>
        </w:rPr>
        <w:t>d</w:t>
      </w:r>
      <w:r>
        <w:rPr>
          <w:rFonts w:ascii="Arial" w:hAnsi="Arial"/>
          <w:sz w:val="24"/>
          <w:szCs w:val="24"/>
          <w:shd w:fill="auto" w:val="clear"/>
          <w:lang w:val="en-US"/>
        </w:rPr>
        <w:t xml:space="preserve"> risk </w:t>
      </w:r>
      <w:r>
        <w:rPr>
          <w:rFonts w:ascii="Arial" w:hAnsi="Arial"/>
          <w:sz w:val="24"/>
          <w:szCs w:val="24"/>
          <w:shd w:fill="auto" w:val="clear"/>
          <w:lang w:val="en-US"/>
        </w:rPr>
        <w:t>of</w:t>
      </w:r>
      <w:r>
        <w:rPr>
          <w:rFonts w:ascii="Arial" w:hAnsi="Arial"/>
          <w:sz w:val="24"/>
          <w:szCs w:val="24"/>
          <w:shd w:fill="auto" w:val="clear"/>
          <w:lang w:val="en-US"/>
        </w:rPr>
        <w:t xml:space="preserve"> cardiovascular disease and osteoporosis. Th</w:t>
      </w:r>
      <w:r>
        <w:rPr>
          <w:rFonts w:ascii="Arial" w:hAnsi="Arial"/>
          <w:sz w:val="24"/>
          <w:szCs w:val="24"/>
          <w:shd w:fill="auto" w:val="clear"/>
          <w:lang w:val="en-US"/>
        </w:rPr>
        <w:t>i</w:t>
      </w:r>
      <w:r>
        <w:rPr>
          <w:rFonts w:ascii="Arial" w:hAnsi="Arial"/>
          <w:sz w:val="24"/>
          <w:szCs w:val="24"/>
          <w:shd w:fill="auto" w:val="clear"/>
          <w:lang w:val="en-US"/>
        </w:rPr>
        <w:t xml:space="preserve">s </w:t>
      </w:r>
      <w:r>
        <w:rPr>
          <w:rFonts w:ascii="Arial" w:hAnsi="Arial"/>
          <w:sz w:val="24"/>
          <w:szCs w:val="24"/>
          <w:shd w:fill="auto" w:val="clear"/>
          <w:lang w:val="en-US"/>
        </w:rPr>
        <w:t>also</w:t>
      </w:r>
      <w:r>
        <w:rPr>
          <w:rFonts w:ascii="Arial" w:hAnsi="Arial"/>
          <w:sz w:val="24"/>
          <w:szCs w:val="24"/>
          <w:shd w:fill="auto" w:val="clear"/>
          <w:lang w:val="en-US"/>
        </w:rPr>
        <w:t xml:space="preserve"> have well characterized effects on mitogenesis and apoptosis, </w:t>
      </w:r>
      <w:r>
        <w:rPr>
          <w:rFonts w:ascii="Arial" w:hAnsi="Arial"/>
          <w:sz w:val="24"/>
          <w:szCs w:val="24"/>
          <w:shd w:fill="auto" w:val="clear"/>
          <w:lang w:val="en-US"/>
        </w:rPr>
        <w:t>probably</w:t>
      </w:r>
      <w:r>
        <w:rPr>
          <w:rFonts w:ascii="Arial" w:hAnsi="Arial"/>
          <w:sz w:val="24"/>
          <w:szCs w:val="24"/>
          <w:shd w:fill="auto" w:val="clear"/>
          <w:lang w:val="en-US"/>
        </w:rPr>
        <w:t xml:space="preserve"> explaining the fact that </w:t>
      </w:r>
      <w:r>
        <w:rPr>
          <w:rFonts w:ascii="Arial" w:hAnsi="Arial"/>
          <w:sz w:val="24"/>
          <w:szCs w:val="24"/>
          <w:shd w:fill="auto" w:val="clear"/>
          <w:lang w:val="en-US"/>
        </w:rPr>
        <w:t xml:space="preserve">some </w:t>
      </w:r>
      <w:r>
        <w:rPr>
          <w:rFonts w:ascii="Arial" w:hAnsi="Arial"/>
          <w:sz w:val="24"/>
          <w:szCs w:val="24"/>
          <w:shd w:fill="auto" w:val="clear"/>
          <w:lang w:val="en-US"/>
        </w:rPr>
        <w:t>thyroid disease</w:t>
      </w:r>
      <w:r>
        <w:rPr>
          <w:rFonts w:ascii="Arial" w:hAnsi="Arial"/>
          <w:sz w:val="24"/>
          <w:szCs w:val="24"/>
          <w:shd w:fill="auto" w:val="clear"/>
          <w:lang w:val="en-US"/>
        </w:rPr>
        <w:t>s</w:t>
      </w:r>
      <w:r>
        <w:rPr>
          <w:rFonts w:ascii="Arial" w:hAnsi="Arial"/>
          <w:sz w:val="24"/>
          <w:szCs w:val="24"/>
          <w:shd w:fill="auto" w:val="clear"/>
          <w:lang w:val="en-US"/>
        </w:rPr>
        <w:t xml:space="preserve"> </w:t>
      </w:r>
      <w:r>
        <w:rPr>
          <w:rFonts w:ascii="Arial" w:hAnsi="Arial"/>
          <w:sz w:val="24"/>
          <w:szCs w:val="24"/>
          <w:shd w:fill="auto" w:val="clear"/>
          <w:lang w:val="en-US"/>
        </w:rPr>
        <w:t>may be linked to</w:t>
      </w:r>
      <w:r>
        <w:rPr>
          <w:rFonts w:ascii="Arial" w:hAnsi="Arial"/>
          <w:sz w:val="24"/>
          <w:szCs w:val="24"/>
          <w:shd w:fill="auto" w:val="clear"/>
          <w:lang w:val="en-US"/>
        </w:rPr>
        <w:t xml:space="preserve"> increased risk of malignant disorder </w:t>
      </w:r>
      <w:r>
        <w:rPr>
          <w:rFonts w:ascii="Arial" w:hAnsi="Arial"/>
          <w:sz w:val="24"/>
          <w:szCs w:val="24"/>
          <w:shd w:fill="auto" w:val="clear"/>
          <w:lang w:val="en-US"/>
        </w:rPr>
        <w:t>(</w:t>
      </w:r>
      <w:r>
        <w:rPr>
          <w:rStyle w:val="style26"/>
          <w:rFonts w:ascii="Arial" w:hAnsi="Arial"/>
          <w:sz w:val="24"/>
          <w:szCs w:val="24"/>
          <w:shd w:fill="auto" w:val="clear"/>
          <w:lang w:val="en-US"/>
        </w:rPr>
        <w:t>[6]</w:t>
      </w:r>
      <w:r>
        <w:rPr>
          <w:rFonts w:ascii="Arial" w:hAnsi="Arial"/>
          <w:sz w:val="24"/>
          <w:szCs w:val="24"/>
          <w:shd w:fill="auto" w:val="clear"/>
          <w:lang w:val="en-US"/>
        </w:rPr>
        <w:t>)</w:t>
      </w:r>
      <w:r>
        <w:rPr>
          <w:rFonts w:ascii="Arial" w:hAnsi="Arial"/>
          <w:sz w:val="24"/>
          <w:szCs w:val="24"/>
          <w:shd w:fill="auto" w:val="clear"/>
          <w:lang w:val="en-US"/>
        </w:rPr>
        <w:t xml:space="preserve">. </w:t>
      </w:r>
      <w:r>
        <w:rPr>
          <w:rFonts w:ascii="Arial" w:hAnsi="Arial"/>
          <w:sz w:val="24"/>
          <w:szCs w:val="24"/>
          <w:shd w:fill="auto" w:val="clear"/>
          <w:lang w:val="en-US"/>
        </w:rPr>
        <w:t xml:space="preserve">Moreover, while thyroid dysfunction can have strong adverse effect on quality of life, symptoms are very general and frequently misleading. As a result, thyroid dysfunction is difficult to diagnose and often fail to be appropriately treated. Importantly, TH signaling is critical at the perinatal period in mammals, since deficiency results in abnormal development with severe mental retardation and growth defects. This syndrome, dubbed cretinism, is prevented by a single pulse of exogenous TH at birth </w:t>
      </w:r>
      <w:r>
        <w:rPr>
          <w:rFonts w:ascii="Arial" w:hAnsi="Arial"/>
          <w:sz w:val="24"/>
          <w:szCs w:val="24"/>
          <w:shd w:fill="auto" w:val="clear"/>
          <w:lang w:val="en-US"/>
        </w:rPr>
        <w:t>(</w:t>
      </w:r>
      <w:r>
        <w:rPr>
          <w:rStyle w:val="style26"/>
          <w:sz w:val="24"/>
          <w:szCs w:val="24"/>
          <w:shd w:fill="auto" w:val="clear"/>
          <w:lang w:val="en-US"/>
        </w:rPr>
        <w:t>[7]</w:t>
      </w:r>
      <w:r>
        <w:rPr>
          <w:rFonts w:ascii="Arial" w:hAnsi="Arial"/>
          <w:sz w:val="24"/>
          <w:szCs w:val="24"/>
          <w:shd w:fill="auto" w:val="clear"/>
          <w:lang w:val="en-US"/>
        </w:rPr>
        <w:t>)</w:t>
      </w:r>
      <w:r>
        <w:rPr>
          <w:rFonts w:ascii="Arial" w:hAnsi="Arial"/>
          <w:sz w:val="24"/>
          <w:szCs w:val="24"/>
          <w:shd w:fill="auto" w:val="clear"/>
          <w:lang w:val="en-US"/>
        </w:rPr>
        <w:t>.</w:t>
      </w:r>
    </w:p>
    <w:p>
      <w:pPr>
        <w:pStyle w:val="style31"/>
        <w:spacing w:line="360" w:lineRule="auto"/>
        <w:rPr>
          <w:rFonts w:ascii="Arial" w:hAnsi="Arial"/>
          <w:i w:val="false"/>
          <w:iCs w:val="false"/>
          <w:sz w:val="24"/>
          <w:szCs w:val="24"/>
          <w:u w:val="none"/>
          <w:shd w:fill="auto" w:val="clear"/>
          <w:lang w:val="en-US"/>
        </w:rPr>
      </w:pPr>
      <w:r>
        <w:rPr>
          <w:rFonts w:ascii="Arial" w:hAnsi="Arial"/>
          <w:sz w:val="24"/>
          <w:szCs w:val="24"/>
          <w:shd w:fill="auto" w:val="clear"/>
          <w:lang w:val="en-US"/>
        </w:rPr>
        <w:t>GC also</w:t>
      </w:r>
      <w:r>
        <w:rPr>
          <w:rFonts w:ascii="Arial" w:hAnsi="Arial"/>
          <w:sz w:val="24"/>
          <w:szCs w:val="24"/>
          <w:shd w:fill="auto" w:val="clear"/>
          <w:lang w:val="en-US"/>
        </w:rPr>
        <w:t xml:space="preserve"> mediate various physiologic processes including metabolism, immune responses, stress responses and electrolyte homeostasis </w:t>
      </w:r>
      <w:r>
        <w:rPr>
          <w:rFonts w:ascii="Arial" w:hAnsi="Arial"/>
          <w:sz w:val="24"/>
          <w:szCs w:val="24"/>
          <w:shd w:fill="auto" w:val="clear"/>
          <w:lang w:val="en-US"/>
        </w:rPr>
        <w:t>(</w:t>
      </w:r>
      <w:r>
        <w:rPr>
          <w:rStyle w:val="style26"/>
          <w:rFonts w:ascii="Arial" w:hAnsi="Arial"/>
          <w:sz w:val="24"/>
          <w:szCs w:val="24"/>
          <w:shd w:fill="auto" w:val="clear"/>
          <w:lang w:val="en-US"/>
        </w:rPr>
        <w:t>[8]</w:t>
      </w:r>
      <w:r>
        <w:rPr>
          <w:rFonts w:ascii="Arial" w:hAnsi="Arial"/>
          <w:sz w:val="24"/>
          <w:szCs w:val="24"/>
          <w:shd w:fill="auto" w:val="clear"/>
          <w:lang w:val="en-US"/>
        </w:rPr>
        <w:t>)</w:t>
      </w:r>
      <w:r>
        <w:rPr>
          <w:rFonts w:ascii="Arial" w:hAnsi="Arial"/>
          <w:sz w:val="24"/>
          <w:szCs w:val="24"/>
          <w:shd w:fill="auto" w:val="clear"/>
          <w:lang w:val="en-US"/>
        </w:rPr>
        <w:t xml:space="preserve">. </w:t>
      </w:r>
      <w:r>
        <w:rPr>
          <w:rFonts w:ascii="Arial" w:hAnsi="Arial"/>
          <w:sz w:val="24"/>
          <w:szCs w:val="24"/>
          <w:shd w:fill="auto" w:val="clear"/>
          <w:lang w:val="en-US"/>
        </w:rPr>
        <w:t>S</w:t>
      </w:r>
      <w:r>
        <w:rPr>
          <w:rFonts w:ascii="Arial" w:hAnsi="Arial"/>
          <w:sz w:val="24"/>
          <w:szCs w:val="24"/>
          <w:shd w:fill="auto" w:val="clear"/>
          <w:lang w:val="en-US"/>
        </w:rPr>
        <w:t xml:space="preserve">ynthetic GCs </w:t>
      </w:r>
      <w:r>
        <w:rPr>
          <w:rFonts w:ascii="Arial" w:hAnsi="Arial"/>
          <w:sz w:val="24"/>
          <w:szCs w:val="24"/>
          <w:shd w:fill="auto" w:val="clear"/>
          <w:lang w:val="en-US"/>
        </w:rPr>
        <w:t>are</w:t>
      </w:r>
      <w:r>
        <w:rPr>
          <w:rFonts w:ascii="Arial" w:hAnsi="Arial"/>
          <w:sz w:val="24"/>
          <w:szCs w:val="24"/>
          <w:shd w:fill="auto" w:val="clear"/>
          <w:lang w:val="en-US"/>
        </w:rPr>
        <w:t xml:space="preserve"> a large class of </w:t>
      </w:r>
      <w:r>
        <w:rPr>
          <w:rFonts w:ascii="Arial" w:hAnsi="Arial"/>
          <w:sz w:val="24"/>
          <w:szCs w:val="24"/>
          <w:shd w:fill="auto" w:val="clear"/>
          <w:lang w:val="en-US"/>
        </w:rPr>
        <w:t xml:space="preserve">potent </w:t>
      </w:r>
      <w:r>
        <w:rPr>
          <w:rFonts w:ascii="Arial" w:hAnsi="Arial"/>
          <w:sz w:val="24"/>
          <w:szCs w:val="24"/>
          <w:shd w:fill="auto" w:val="clear"/>
          <w:lang w:val="en-US"/>
        </w:rPr>
        <w:t xml:space="preserve">drugs </w:t>
      </w:r>
      <w:r>
        <w:rPr>
          <w:rFonts w:ascii="Arial" w:hAnsi="Arial"/>
          <w:sz w:val="24"/>
          <w:szCs w:val="24"/>
          <w:shd w:fill="auto" w:val="clear"/>
          <w:lang w:val="en-US"/>
        </w:rPr>
        <w:t>used since five decades</w:t>
      </w:r>
      <w:r>
        <w:rPr>
          <w:rFonts w:ascii="Arial" w:hAnsi="Arial"/>
          <w:sz w:val="24"/>
          <w:szCs w:val="24"/>
          <w:shd w:fill="auto" w:val="clear"/>
          <w:lang w:val="en-US"/>
        </w:rPr>
        <w:t xml:space="preserve"> for treat</w:t>
      </w:r>
      <w:r>
        <w:rPr>
          <w:rFonts w:ascii="Arial" w:hAnsi="Arial"/>
          <w:sz w:val="24"/>
          <w:szCs w:val="24"/>
          <w:shd w:fill="auto" w:val="clear"/>
          <w:lang w:val="en-US"/>
        </w:rPr>
        <w:t>ment of</w:t>
      </w:r>
      <w:r>
        <w:rPr>
          <w:rFonts w:ascii="Arial" w:hAnsi="Arial"/>
          <w:sz w:val="24"/>
          <w:szCs w:val="24"/>
          <w:shd w:fill="auto" w:val="clear"/>
          <w:lang w:val="en-US"/>
        </w:rPr>
        <w:t xml:space="preserve"> inflammation, autoimmune disorders, brain oedema, organ transplant rejection and cancer, </w:t>
      </w:r>
      <w:r>
        <w:rPr>
          <w:rFonts w:ascii="Arial" w:hAnsi="Arial"/>
          <w:sz w:val="24"/>
          <w:szCs w:val="24"/>
          <w:shd w:fill="auto" w:val="clear"/>
          <w:lang w:val="en-US"/>
        </w:rPr>
        <w:t>to name a few</w:t>
      </w:r>
      <w:r>
        <w:rPr>
          <w:rFonts w:ascii="Arial" w:hAnsi="Arial"/>
          <w:sz w:val="24"/>
          <w:szCs w:val="24"/>
          <w:shd w:fill="auto" w:val="clear"/>
          <w:lang w:val="en-US"/>
        </w:rPr>
        <w:t xml:space="preserve">. </w:t>
      </w:r>
      <w:r>
        <w:rPr>
          <w:rFonts w:ascii="Arial" w:hAnsi="Arial"/>
          <w:sz w:val="24"/>
          <w:szCs w:val="24"/>
          <w:shd w:fill="auto" w:val="clear"/>
          <w:lang w:val="en-US"/>
        </w:rPr>
        <w:t>However, despite clinically relevant effects, GC also promote a wide range of adverse outcomes. For example, p</w:t>
      </w:r>
      <w:r>
        <w:rPr>
          <w:rFonts w:ascii="Arial" w:hAnsi="Arial"/>
          <w:sz w:val="24"/>
          <w:szCs w:val="24"/>
          <w:shd w:fill="auto" w:val="clear"/>
          <w:lang w:val="en-US"/>
        </w:rPr>
        <w:t xml:space="preserve">renatal exposure to elevated GC levels, either clinically or through maternal stress or malnutrition, can </w:t>
      </w:r>
      <w:r>
        <w:rPr>
          <w:rFonts w:ascii="Arial" w:hAnsi="Arial"/>
          <w:sz w:val="24"/>
          <w:szCs w:val="24"/>
          <w:shd w:fill="auto" w:val="clear"/>
          <w:lang w:val="en-US"/>
        </w:rPr>
        <w:t>re-</w:t>
      </w:r>
      <w:r>
        <w:rPr>
          <w:rFonts w:ascii="Arial" w:hAnsi="Arial"/>
          <w:sz w:val="24"/>
          <w:szCs w:val="24"/>
          <w:shd w:fill="auto" w:val="clear"/>
          <w:lang w:val="en-US"/>
        </w:rPr>
        <w:t xml:space="preserve">program gene expression </w:t>
      </w:r>
      <w:r>
        <w:rPr>
          <w:rFonts w:ascii="Arial" w:hAnsi="Arial"/>
          <w:sz w:val="24"/>
          <w:szCs w:val="24"/>
          <w:shd w:fill="auto" w:val="clear"/>
          <w:lang w:val="en-US"/>
        </w:rPr>
        <w:t>and</w:t>
      </w:r>
      <w:r>
        <w:rPr>
          <w:rFonts w:ascii="Arial" w:hAnsi="Arial"/>
          <w:sz w:val="24"/>
          <w:szCs w:val="24"/>
          <w:shd w:fill="auto" w:val="clear"/>
          <w:lang w:val="en-US"/>
        </w:rPr>
        <w:t xml:space="preserve"> increased </w:t>
      </w:r>
      <w:r>
        <w:rPr>
          <w:rFonts w:ascii="Arial" w:hAnsi="Arial"/>
          <w:sz w:val="24"/>
          <w:szCs w:val="24"/>
          <w:shd w:fill="auto" w:val="clear"/>
          <w:lang w:val="en-US"/>
        </w:rPr>
        <w:t>blood pressure (</w:t>
      </w:r>
      <w:r>
        <w:rPr>
          <w:rFonts w:ascii="Arial" w:hAnsi="Arial"/>
          <w:sz w:val="24"/>
          <w:szCs w:val="24"/>
          <w:shd w:fill="auto" w:val="clear"/>
          <w:lang w:val="en-US"/>
        </w:rPr>
        <w:t xml:space="preserve">a </w:t>
      </w:r>
      <w:r>
        <w:rPr>
          <w:rFonts w:ascii="Arial" w:hAnsi="Arial"/>
          <w:sz w:val="24"/>
          <w:szCs w:val="24"/>
          <w:shd w:fill="auto" w:val="clear"/>
          <w:lang w:val="en-US"/>
        </w:rPr>
        <w:t xml:space="preserve">risk </w:t>
      </w:r>
      <w:r>
        <w:rPr>
          <w:rFonts w:ascii="Arial" w:hAnsi="Arial"/>
          <w:sz w:val="24"/>
          <w:szCs w:val="24"/>
          <w:shd w:fill="auto" w:val="clear"/>
          <w:lang w:val="en-US"/>
        </w:rPr>
        <w:t xml:space="preserve">factor </w:t>
      </w:r>
      <w:r>
        <w:rPr>
          <w:rFonts w:ascii="Arial" w:hAnsi="Arial"/>
          <w:sz w:val="24"/>
          <w:szCs w:val="24"/>
          <w:shd w:fill="auto" w:val="clear"/>
          <w:lang w:val="en-US"/>
        </w:rPr>
        <w:t xml:space="preserve">of </w:t>
      </w:r>
      <w:r>
        <w:rPr>
          <w:rFonts w:ascii="Arial" w:hAnsi="Arial"/>
          <w:sz w:val="24"/>
          <w:szCs w:val="24"/>
          <w:shd w:fill="auto" w:val="clear"/>
          <w:lang w:val="en-US"/>
        </w:rPr>
        <w:t>cardiovascular-related diseases</w:t>
      </w:r>
      <w:r>
        <w:rPr>
          <w:rFonts w:ascii="Arial" w:hAnsi="Arial"/>
          <w:sz w:val="24"/>
          <w:szCs w:val="24"/>
          <w:shd w:fill="auto" w:val="clear"/>
          <w:lang w:val="en-US"/>
        </w:rPr>
        <w:t>)</w:t>
      </w:r>
      <w:r>
        <w:rPr>
          <w:rFonts w:ascii="Arial" w:hAnsi="Arial"/>
          <w:sz w:val="24"/>
          <w:szCs w:val="24"/>
          <w:shd w:fill="auto" w:val="clear"/>
          <w:lang w:val="en-US"/>
        </w:rPr>
        <w:t xml:space="preserve">, </w:t>
      </w:r>
      <w:r>
        <w:rPr>
          <w:rFonts w:ascii="Arial" w:hAnsi="Arial"/>
          <w:sz w:val="24"/>
          <w:szCs w:val="24"/>
          <w:shd w:fill="auto" w:val="clear"/>
          <w:lang w:val="en-US"/>
        </w:rPr>
        <w:t xml:space="preserve">retardation of </w:t>
      </w:r>
      <w:r>
        <w:rPr>
          <w:rFonts w:ascii="Arial" w:hAnsi="Arial"/>
          <w:sz w:val="24"/>
          <w:szCs w:val="24"/>
          <w:shd w:fill="auto" w:val="clear"/>
          <w:lang w:val="en-US"/>
        </w:rPr>
        <w:t xml:space="preserve">childhood cognition </w:t>
      </w:r>
      <w:r>
        <w:rPr>
          <w:rFonts w:ascii="Arial" w:hAnsi="Arial"/>
          <w:sz w:val="24"/>
          <w:szCs w:val="24"/>
          <w:shd w:fill="auto" w:val="clear"/>
          <w:lang w:val="en-US"/>
        </w:rPr>
        <w:t>development</w:t>
      </w:r>
      <w:r>
        <w:rPr>
          <w:rFonts w:ascii="Arial" w:hAnsi="Arial"/>
          <w:sz w:val="24"/>
          <w:szCs w:val="24"/>
          <w:shd w:fill="auto" w:val="clear"/>
          <w:lang w:val="en-US"/>
        </w:rPr>
        <w:t xml:space="preserve">, </w:t>
      </w:r>
      <w:r>
        <w:rPr>
          <w:rFonts w:ascii="Arial" w:hAnsi="Arial"/>
          <w:sz w:val="24"/>
          <w:szCs w:val="24"/>
          <w:shd w:fill="auto" w:val="clear"/>
          <w:lang w:val="en-US"/>
        </w:rPr>
        <w:t xml:space="preserve">alterations of </w:t>
      </w:r>
      <w:r>
        <w:rPr>
          <w:rFonts w:ascii="Arial" w:hAnsi="Arial"/>
          <w:sz w:val="24"/>
          <w:szCs w:val="24"/>
          <w:shd w:fill="auto" w:val="clear"/>
          <w:lang w:val="en-US"/>
        </w:rPr>
        <w:t>long-term behavio</w:t>
      </w:r>
      <w:r>
        <w:rPr>
          <w:rFonts w:ascii="Arial" w:hAnsi="Arial"/>
          <w:sz w:val="24"/>
          <w:szCs w:val="24"/>
          <w:shd w:fill="auto" w:val="clear"/>
          <w:lang w:val="en-US"/>
        </w:rPr>
        <w:t>r</w:t>
      </w:r>
      <w:r>
        <w:rPr>
          <w:rFonts w:ascii="Arial" w:hAnsi="Arial"/>
          <w:sz w:val="24"/>
          <w:szCs w:val="24"/>
          <w:shd w:fill="auto" w:val="clear"/>
          <w:lang w:val="en-US"/>
        </w:rPr>
        <w:t xml:space="preserve">, </w:t>
      </w:r>
      <w:r>
        <w:rPr>
          <w:rFonts w:ascii="Arial" w:hAnsi="Arial"/>
          <w:sz w:val="24"/>
          <w:szCs w:val="24"/>
          <w:shd w:fill="auto" w:val="clear"/>
          <w:lang w:val="en-US"/>
        </w:rPr>
        <w:t>increased</w:t>
      </w:r>
      <w:r>
        <w:rPr>
          <w:rFonts w:ascii="Arial" w:hAnsi="Arial"/>
          <w:sz w:val="24"/>
          <w:szCs w:val="24"/>
          <w:shd w:fill="auto" w:val="clear"/>
          <w:lang w:val="en-US"/>
        </w:rPr>
        <w:t xml:space="preserve"> insulin </w:t>
      </w:r>
      <w:r>
        <w:rPr>
          <w:rFonts w:ascii="Arial" w:hAnsi="Arial"/>
          <w:sz w:val="24"/>
          <w:szCs w:val="24"/>
          <w:shd w:fill="auto" w:val="clear"/>
          <w:lang w:val="en-US"/>
        </w:rPr>
        <w:t>resistance, impaired peripheral glucose intake and increased adipose tissue lypolysis (</w:t>
      </w:r>
      <w:r>
        <w:rPr>
          <w:rStyle w:val="style26"/>
          <w:rFonts w:ascii="Arial" w:hAnsi="Arial"/>
          <w:sz w:val="24"/>
          <w:szCs w:val="24"/>
          <w:shd w:fill="auto" w:val="clear"/>
          <w:lang w:val="en-US"/>
        </w:rPr>
        <w:t>[9]</w:t>
      </w:r>
      <w:r>
        <w:rPr>
          <w:rFonts w:ascii="Arial" w:hAnsi="Arial"/>
          <w:sz w:val="24"/>
          <w:szCs w:val="24"/>
          <w:shd w:fill="auto" w:val="clear"/>
          <w:lang w:val="en-US"/>
        </w:rPr>
        <w:t>)</w:t>
      </w:r>
      <w:r>
        <w:rPr>
          <w:rFonts w:ascii="Arial" w:hAnsi="Arial"/>
          <w:sz w:val="24"/>
          <w:szCs w:val="24"/>
          <w:shd w:fill="auto" w:val="clear"/>
          <w:lang w:val="en-US"/>
        </w:rPr>
        <w:t xml:space="preserve">. This </w:t>
      </w:r>
      <w:r>
        <w:rPr>
          <w:rFonts w:ascii="Arial" w:hAnsi="Arial"/>
          <w:sz w:val="24"/>
          <w:szCs w:val="24"/>
          <w:shd w:fill="auto" w:val="clear"/>
          <w:lang w:val="en-US"/>
        </w:rPr>
        <w:t>is a</w:t>
      </w:r>
      <w:r>
        <w:rPr>
          <w:rFonts w:ascii="Arial" w:hAnsi="Arial"/>
          <w:sz w:val="24"/>
          <w:szCs w:val="24"/>
          <w:shd w:fill="auto" w:val="clear"/>
          <w:lang w:val="en-US"/>
        </w:rPr>
        <w:t xml:space="preserve"> cause </w:t>
      </w:r>
      <w:r>
        <w:rPr>
          <w:rFonts w:ascii="Arial" w:hAnsi="Arial"/>
          <w:sz w:val="24"/>
          <w:szCs w:val="24"/>
          <w:shd w:fill="auto" w:val="clear"/>
          <w:lang w:val="en-US"/>
        </w:rPr>
        <w:t>of</w:t>
      </w:r>
      <w:r>
        <w:rPr>
          <w:rFonts w:ascii="Arial" w:hAnsi="Arial"/>
          <w:sz w:val="24"/>
          <w:szCs w:val="24"/>
          <w:shd w:fill="auto" w:val="clear"/>
          <w:lang w:val="en-US"/>
        </w:rPr>
        <w:t xml:space="preserve"> concern, </w:t>
      </w:r>
      <w:r>
        <w:rPr>
          <w:rFonts w:ascii="Arial" w:hAnsi="Arial"/>
          <w:sz w:val="24"/>
          <w:szCs w:val="24"/>
          <w:shd w:fill="auto" w:val="clear"/>
          <w:lang w:val="en-US"/>
        </w:rPr>
        <w:t>since</w:t>
      </w:r>
      <w:r>
        <w:rPr>
          <w:rFonts w:ascii="Arial" w:hAnsi="Arial"/>
          <w:sz w:val="24"/>
          <w:szCs w:val="24"/>
          <w:shd w:fill="auto" w:val="clear"/>
          <w:lang w:val="en-US"/>
        </w:rPr>
        <w:t xml:space="preserve"> synthetic GCs are also used in perinatal medicine to </w:t>
      </w:r>
      <w:r>
        <w:rPr>
          <w:rFonts w:ascii="Arial" w:hAnsi="Arial"/>
          <w:sz w:val="24"/>
          <w:szCs w:val="24"/>
          <w:shd w:fill="auto" w:val="clear"/>
          <w:lang w:val="en-US"/>
        </w:rPr>
        <w:t>induce</w:t>
      </w:r>
      <w:r>
        <w:rPr>
          <w:rFonts w:ascii="Arial" w:hAnsi="Arial"/>
          <w:sz w:val="24"/>
          <w:szCs w:val="24"/>
          <w:shd w:fill="auto" w:val="clear"/>
          <w:lang w:val="en-US"/>
        </w:rPr>
        <w:t xml:space="preserve"> lung </w:t>
      </w:r>
      <w:r>
        <w:rPr>
          <w:rFonts w:ascii="Arial" w:hAnsi="Arial"/>
          <w:sz w:val="24"/>
          <w:szCs w:val="24"/>
          <w:shd w:fill="auto" w:val="clear"/>
          <w:lang w:val="en-US"/>
        </w:rPr>
        <w:t>maturation</w:t>
      </w:r>
      <w:r>
        <w:rPr>
          <w:rFonts w:ascii="Arial" w:hAnsi="Arial"/>
          <w:sz w:val="24"/>
          <w:szCs w:val="24"/>
          <w:shd w:fill="auto" w:val="clear"/>
          <w:lang w:val="en-US"/>
        </w:rPr>
        <w:t xml:space="preserve"> in </w:t>
      </w:r>
      <w:r>
        <w:rPr>
          <w:rFonts w:ascii="Arial" w:hAnsi="Arial"/>
          <w:sz w:val="24"/>
          <w:szCs w:val="24"/>
          <w:shd w:fill="auto" w:val="clear"/>
          <w:lang w:val="en-US"/>
        </w:rPr>
        <w:t>case</w:t>
      </w:r>
      <w:r>
        <w:rPr>
          <w:rFonts w:ascii="Arial" w:hAnsi="Arial"/>
          <w:sz w:val="24"/>
          <w:szCs w:val="24"/>
          <w:shd w:fill="auto" w:val="clear"/>
          <w:lang w:val="en-US"/>
        </w:rPr>
        <w:t xml:space="preserve"> of threatened or preterm birth </w:t>
      </w:r>
      <w:r>
        <w:rPr>
          <w:rStyle w:val="style26"/>
          <w:rFonts w:ascii="Arial" w:hAnsi="Arial"/>
          <w:sz w:val="24"/>
          <w:szCs w:val="24"/>
          <w:shd w:fill="auto" w:val="clear"/>
          <w:lang w:val="en-US"/>
        </w:rPr>
        <w:t>[10]</w:t>
      </w:r>
      <w:r>
        <w:rPr>
          <w:rFonts w:ascii="Arial" w:hAnsi="Arial"/>
          <w:sz w:val="24"/>
          <w:szCs w:val="24"/>
          <w:shd w:fill="auto" w:val="clear"/>
          <w:lang w:val="en-US"/>
        </w:rPr>
        <w:t xml:space="preserve">. </w:t>
      </w:r>
      <w:r>
        <w:rPr>
          <w:rFonts w:ascii="Arial" w:hAnsi="Arial"/>
          <w:sz w:val="24"/>
          <w:szCs w:val="24"/>
          <w:shd w:fill="auto" w:val="clear"/>
          <w:lang w:val="en-US"/>
        </w:rPr>
        <w:t>Importantly, a few molecular details of crosstalk</w:t>
      </w:r>
      <w:r>
        <w:rPr>
          <w:rFonts w:ascii="Arial" w:hAnsi="Arial"/>
          <w:sz w:val="24"/>
          <w:szCs w:val="24"/>
          <w:shd w:fill="auto" w:val="clear"/>
          <w:lang w:val="en-US"/>
        </w:rPr>
        <w:t xml:space="preserve"> </w:t>
      </w:r>
      <w:r>
        <w:rPr>
          <w:rFonts w:ascii="Arial" w:hAnsi="Arial"/>
          <w:sz w:val="24"/>
          <w:szCs w:val="24"/>
          <w:shd w:fill="auto" w:val="clear"/>
          <w:lang w:val="en-US"/>
        </w:rPr>
        <w:t>between GC and</w:t>
      </w:r>
      <w:r>
        <w:rPr>
          <w:rFonts w:ascii="Arial" w:hAnsi="Arial"/>
          <w:sz w:val="24"/>
          <w:szCs w:val="24"/>
          <w:shd w:fill="auto" w:val="clear"/>
          <w:lang w:val="en-US"/>
        </w:rPr>
        <w:t xml:space="preserve"> TH signaling ha</w:t>
      </w:r>
      <w:r>
        <w:rPr>
          <w:rFonts w:ascii="Arial" w:hAnsi="Arial"/>
          <w:sz w:val="24"/>
          <w:szCs w:val="24"/>
          <w:shd w:fill="auto" w:val="clear"/>
          <w:lang w:val="en-US"/>
        </w:rPr>
        <w:t>ve</w:t>
      </w:r>
      <w:r>
        <w:rPr>
          <w:rFonts w:ascii="Arial" w:hAnsi="Arial"/>
          <w:sz w:val="24"/>
          <w:szCs w:val="24"/>
          <w:shd w:fill="auto" w:val="clear"/>
          <w:lang w:val="en-US"/>
        </w:rPr>
        <w:t xml:space="preserve"> been </w:t>
      </w:r>
      <w:r>
        <w:rPr>
          <w:rFonts w:ascii="Arial" w:hAnsi="Arial"/>
          <w:sz w:val="24"/>
          <w:szCs w:val="24"/>
          <w:shd w:fill="auto" w:val="clear"/>
          <w:lang w:val="en-US"/>
        </w:rPr>
        <w:t xml:space="preserve">addressed, mainly through the regulation of TH metabolizing enzymes (Dio2, Dio3, </w:t>
      </w:r>
      <w:r>
        <w:rPr>
          <w:rStyle w:val="style26"/>
          <w:rFonts w:ascii="Arial" w:hAnsi="Arial"/>
          <w:sz w:val="24"/>
          <w:szCs w:val="24"/>
          <w:shd w:fill="auto" w:val="clear"/>
          <w:lang w:val="en-US"/>
        </w:rPr>
        <w:t>[11;12]</w:t>
      </w:r>
      <w:r>
        <w:rPr>
          <w:rStyle w:val="style23"/>
          <w:sz w:val="24"/>
          <w:szCs w:val="24"/>
          <w:shd w:fill="auto" w:val="clear"/>
          <w:lang w:val="en-US"/>
        </w:rPr>
        <w:t xml:space="preserve"> </w:t>
      </w:r>
      <w:r>
        <w:rPr>
          <w:rFonts w:ascii="Arial" w:hAnsi="Arial"/>
          <w:sz w:val="24"/>
          <w:szCs w:val="24"/>
          <w:shd w:fill="auto" w:val="clear"/>
          <w:lang w:val="en-US"/>
        </w:rPr>
        <w:t>)</w:t>
      </w:r>
      <w:r>
        <w:rPr>
          <w:rFonts w:ascii="Arial" w:hAnsi="Arial"/>
          <w:sz w:val="24"/>
          <w:szCs w:val="24"/>
          <w:shd w:fill="auto" w:val="clear"/>
          <w:lang w:val="en-US"/>
        </w:rPr>
        <w:t xml:space="preserve">. It is noteworthy that antenatal </w:t>
      </w:r>
      <w:r>
        <w:rPr>
          <w:rFonts w:ascii="Arial" w:hAnsi="Arial"/>
          <w:sz w:val="24"/>
          <w:szCs w:val="24"/>
          <w:shd w:fill="auto" w:val="clear"/>
          <w:lang w:val="en-US"/>
        </w:rPr>
        <w:t>GC</w:t>
      </w:r>
      <w:r>
        <w:rPr>
          <w:rFonts w:ascii="Arial" w:hAnsi="Arial"/>
          <w:sz w:val="24"/>
          <w:szCs w:val="24"/>
          <w:shd w:fill="auto" w:val="clear"/>
          <w:lang w:val="en-US"/>
        </w:rPr>
        <w:t xml:space="preserve"> treatment increases early total TH levels in premature infants, and that GC regulate peripheral metabolism of TH. </w:t>
      </w:r>
      <w:r>
        <w:rPr>
          <w:rFonts w:ascii="Arial" w:hAnsi="Arial"/>
          <w:sz w:val="24"/>
          <w:szCs w:val="24"/>
          <w:shd w:fill="auto" w:val="clear"/>
          <w:lang w:val="en-US"/>
        </w:rPr>
        <w:t>In addition</w:t>
      </w:r>
      <w:r>
        <w:rPr>
          <w:rFonts w:ascii="Arial" w:hAnsi="Arial"/>
          <w:sz w:val="24"/>
          <w:szCs w:val="24"/>
          <w:shd w:fill="auto" w:val="clear"/>
          <w:lang w:val="en-US"/>
        </w:rPr>
        <w:t>, human population</w:t>
      </w:r>
      <w:r>
        <w:rPr>
          <w:rFonts w:ascii="Arial" w:hAnsi="Arial"/>
          <w:sz w:val="24"/>
          <w:szCs w:val="24"/>
          <w:shd w:fill="auto" w:val="clear"/>
          <w:lang w:val="en-US"/>
        </w:rPr>
        <w:t>s</w:t>
      </w:r>
      <w:r>
        <w:rPr>
          <w:rFonts w:ascii="Arial" w:hAnsi="Arial"/>
          <w:sz w:val="24"/>
          <w:szCs w:val="24"/>
          <w:shd w:fill="auto" w:val="clear"/>
          <w:lang w:val="en-US"/>
        </w:rPr>
        <w:t xml:space="preserve"> </w:t>
      </w:r>
      <w:r>
        <w:rPr>
          <w:rFonts w:ascii="Arial" w:hAnsi="Arial"/>
          <w:sz w:val="24"/>
          <w:szCs w:val="24"/>
          <w:shd w:fill="auto" w:val="clear"/>
          <w:lang w:val="en-US"/>
        </w:rPr>
        <w:t>are</w:t>
      </w:r>
      <w:r>
        <w:rPr>
          <w:rFonts w:ascii="Arial" w:hAnsi="Arial"/>
          <w:sz w:val="24"/>
          <w:szCs w:val="24"/>
          <w:shd w:fill="auto" w:val="clear"/>
          <w:lang w:val="en-US"/>
        </w:rPr>
        <w:t xml:space="preserve"> exposed to </w:t>
      </w:r>
      <w:r>
        <w:rPr>
          <w:rFonts w:ascii="Arial" w:hAnsi="Arial"/>
          <w:sz w:val="24"/>
          <w:szCs w:val="24"/>
          <w:shd w:fill="auto" w:val="clear"/>
          <w:lang w:val="en-US"/>
        </w:rPr>
        <w:t xml:space="preserve">increasing amounts of </w:t>
      </w:r>
      <w:r>
        <w:rPr>
          <w:rFonts w:ascii="Arial" w:hAnsi="Arial"/>
          <w:sz w:val="24"/>
          <w:szCs w:val="24"/>
          <w:shd w:fill="auto" w:val="clear"/>
          <w:lang w:val="en-US"/>
        </w:rPr>
        <w:t>TH and/or GC-disrupt</w:t>
      </w:r>
      <w:r>
        <w:rPr>
          <w:rFonts w:ascii="Arial" w:hAnsi="Arial"/>
          <w:sz w:val="24"/>
          <w:szCs w:val="24"/>
          <w:shd w:fill="auto" w:val="clear"/>
          <w:lang w:val="en-US"/>
        </w:rPr>
        <w:t>ors</w:t>
      </w:r>
      <w:r>
        <w:rPr>
          <w:rFonts w:ascii="Arial" w:hAnsi="Arial"/>
          <w:sz w:val="24"/>
          <w:szCs w:val="24"/>
          <w:shd w:fill="auto" w:val="clear"/>
          <w:lang w:val="en-US"/>
        </w:rPr>
        <w:t xml:space="preserve">, </w:t>
      </w:r>
      <w:r>
        <w:rPr>
          <w:rFonts w:ascii="Arial" w:hAnsi="Arial"/>
          <w:sz w:val="24"/>
          <w:szCs w:val="24"/>
          <w:shd w:fill="auto" w:val="clear"/>
          <w:lang w:val="en-US"/>
        </w:rPr>
        <w:t>which are found in biological fluids</w:t>
      </w:r>
      <w:r>
        <w:rPr>
          <w:rFonts w:ascii="Arial" w:hAnsi="Arial"/>
          <w:sz w:val="24"/>
          <w:szCs w:val="24"/>
          <w:shd w:fill="auto" w:val="clear"/>
          <w:lang w:val="en-US"/>
        </w:rPr>
        <w:t xml:space="preserve"> in adults, children, pregnant women and even amniot</w:t>
      </w:r>
      <w:r>
        <w:rPr>
          <w:rFonts w:ascii="Arial" w:hAnsi="Arial"/>
          <w:sz w:val="24"/>
          <w:szCs w:val="24"/>
          <w:u w:val="none"/>
          <w:shd w:fill="auto" w:val="clear"/>
          <w:lang w:val="en-US"/>
        </w:rPr>
        <w:t xml:space="preserve">ic </w:t>
      </w:r>
      <w:r>
        <w:rPr>
          <w:rFonts w:ascii="Arial" w:hAnsi="Arial"/>
          <w:sz w:val="24"/>
          <w:szCs w:val="24"/>
          <w:u w:val="none"/>
          <w:shd w:fill="auto" w:val="clear"/>
          <w:lang w:val="en-US"/>
        </w:rPr>
        <w:t>fluid</w:t>
      </w:r>
      <w:r>
        <w:rPr>
          <w:rFonts w:ascii="Arial" w:hAnsi="Arial"/>
          <w:sz w:val="24"/>
          <w:szCs w:val="24"/>
          <w:u w:val="none"/>
          <w:shd w:fill="auto" w:val="clear"/>
          <w:lang w:val="en-US"/>
        </w:rPr>
        <w:t xml:space="preserve">.  </w:t>
      </w:r>
      <w:r>
        <w:rPr>
          <w:rFonts w:ascii="Arial" w:hAnsi="Arial"/>
          <w:sz w:val="24"/>
          <w:szCs w:val="24"/>
          <w:u w:val="none"/>
          <w:shd w:fill="auto" w:val="clear"/>
          <w:lang w:val="en-US"/>
        </w:rPr>
        <w:t xml:space="preserve">It should be emphasized that endocrine disruptors can perturb not only the TH and GC signaling </w:t>
      </w:r>
      <w:r>
        <w:rPr>
          <w:rFonts w:ascii="Arial" w:hAnsi="Arial"/>
          <w:i/>
          <w:iCs/>
          <w:sz w:val="24"/>
          <w:szCs w:val="24"/>
          <w:u w:val="none"/>
          <w:shd w:fill="auto" w:val="clear"/>
          <w:lang w:val="en-US"/>
        </w:rPr>
        <w:t>per se</w:t>
      </w:r>
      <w:r>
        <w:rPr>
          <w:rFonts w:ascii="Arial" w:hAnsi="Arial"/>
          <w:sz w:val="24"/>
          <w:szCs w:val="24"/>
          <w:u w:val="none"/>
          <w:shd w:fill="auto" w:val="clear"/>
          <w:lang w:val="en-US"/>
        </w:rPr>
        <w:t xml:space="preserve">, but also their functional interactions. </w:t>
      </w:r>
      <w:r>
        <w:rPr>
          <w:rFonts w:ascii="Arial" w:hAnsi="Arial"/>
          <w:sz w:val="24"/>
          <w:szCs w:val="24"/>
          <w:u w:val="none"/>
          <w:shd w:fill="auto" w:val="clear"/>
          <w:lang w:val="en-US"/>
        </w:rPr>
        <w:t>However, although t</w:t>
      </w:r>
      <w:r>
        <w:rPr>
          <w:rFonts w:ascii="Arial" w:hAnsi="Arial"/>
          <w:sz w:val="24"/>
          <w:szCs w:val="24"/>
          <w:u w:val="none"/>
          <w:shd w:fill="auto" w:val="clear"/>
          <w:lang w:val="en-US"/>
        </w:rPr>
        <w:t>he</w:t>
      </w:r>
      <w:r>
        <w:rPr>
          <w:rFonts w:ascii="Arial" w:hAnsi="Arial"/>
          <w:sz w:val="24"/>
          <w:szCs w:val="24"/>
          <w:u w:val="none"/>
          <w:shd w:fill="auto" w:val="clear"/>
          <w:lang w:val="en-US"/>
        </w:rPr>
        <w:t>ir</w:t>
      </w:r>
      <w:r>
        <w:rPr>
          <w:rFonts w:ascii="Arial" w:hAnsi="Arial"/>
          <w:sz w:val="24"/>
          <w:szCs w:val="24"/>
          <w:u w:val="none"/>
          <w:shd w:fill="auto" w:val="clear"/>
          <w:lang w:val="en-US"/>
        </w:rPr>
        <w:t xml:space="preserve"> medical, </w:t>
      </w:r>
      <w:r>
        <w:rPr>
          <w:rFonts w:ascii="Arial" w:hAnsi="Arial"/>
          <w:sz w:val="24"/>
          <w:szCs w:val="24"/>
          <w:u w:val="none"/>
          <w:shd w:fill="auto" w:val="clear"/>
          <w:lang w:val="en-US"/>
        </w:rPr>
        <w:t>environmental</w:t>
      </w:r>
      <w:r>
        <w:rPr>
          <w:rFonts w:ascii="Arial" w:hAnsi="Arial"/>
          <w:sz w:val="24"/>
          <w:szCs w:val="24"/>
          <w:u w:val="none"/>
          <w:shd w:fill="auto" w:val="clear"/>
          <w:lang w:val="en-US"/>
        </w:rPr>
        <w:t xml:space="preserve"> and societal cost </w:t>
      </w:r>
      <w:r>
        <w:rPr>
          <w:rFonts w:ascii="Arial" w:hAnsi="Arial"/>
          <w:sz w:val="24"/>
          <w:szCs w:val="24"/>
          <w:u w:val="none"/>
          <w:shd w:fill="auto" w:val="clear"/>
          <w:lang w:val="en-US"/>
        </w:rPr>
        <w:t>are</w:t>
      </w:r>
      <w:r>
        <w:rPr>
          <w:rFonts w:ascii="Arial" w:hAnsi="Arial"/>
          <w:sz w:val="24"/>
          <w:szCs w:val="24"/>
          <w:u w:val="none"/>
          <w:shd w:fill="auto" w:val="clear"/>
          <w:lang w:val="en-US"/>
        </w:rPr>
        <w:t xml:space="preserve"> increasingly recognized and </w:t>
      </w:r>
      <w:r>
        <w:rPr>
          <w:rFonts w:ascii="Arial" w:hAnsi="Arial"/>
          <w:sz w:val="24"/>
          <w:szCs w:val="24"/>
          <w:u w:val="none"/>
          <w:shd w:fill="auto" w:val="clear"/>
          <w:lang w:val="en-US"/>
        </w:rPr>
        <w:t>are</w:t>
      </w:r>
      <w:r>
        <w:rPr>
          <w:rFonts w:ascii="Arial" w:hAnsi="Arial"/>
          <w:sz w:val="24"/>
          <w:szCs w:val="24"/>
          <w:u w:val="none"/>
          <w:shd w:fill="auto" w:val="clear"/>
          <w:lang w:val="en-US"/>
        </w:rPr>
        <w:t xml:space="preserve"> </w:t>
      </w:r>
      <w:r>
        <w:rPr>
          <w:rFonts w:ascii="Arial" w:cs="Droid Serif" w:eastAsia="Droid Serif" w:hAnsi="Arial"/>
          <w:b w:val="false"/>
          <w:bCs w:val="false"/>
          <w:i w:val="false"/>
          <w:iCs w:val="false"/>
          <w:strike w:val="false"/>
          <w:dstrike w:val="false"/>
          <w:color w:val="000000"/>
          <w:sz w:val="24"/>
          <w:szCs w:val="24"/>
          <w:u w:val="none"/>
          <w:shd w:fill="auto" w:val="clear"/>
          <w:lang w:val="en-US"/>
        </w:rPr>
        <w:t>believed</w:t>
      </w:r>
      <w:r>
        <w:rPr>
          <w:rFonts w:ascii="Arial" w:hAnsi="Arial"/>
          <w:sz w:val="24"/>
          <w:szCs w:val="24"/>
          <w:u w:val="none"/>
          <w:shd w:fill="auto" w:val="clear"/>
          <w:lang w:val="en-US"/>
        </w:rPr>
        <w:t xml:space="preserve"> to be high, </w:t>
      </w:r>
      <w:r>
        <w:rPr>
          <w:rFonts w:ascii="Arial" w:hAnsi="Arial"/>
          <w:sz w:val="24"/>
          <w:szCs w:val="24"/>
          <w:u w:val="none"/>
          <w:shd w:fill="auto" w:val="clear"/>
          <w:lang w:val="en-US"/>
        </w:rPr>
        <w:t>this point</w:t>
      </w:r>
      <w:r>
        <w:rPr>
          <w:rFonts w:ascii="Arial" w:hAnsi="Arial"/>
          <w:sz w:val="24"/>
          <w:szCs w:val="24"/>
          <w:u w:val="none"/>
          <w:shd w:fill="auto" w:val="clear"/>
          <w:lang w:val="en-US"/>
        </w:rPr>
        <w:t xml:space="preserve"> is difficult to address fully because </w:t>
      </w:r>
      <w:r>
        <w:rPr>
          <w:rFonts w:ascii="Arial" w:hAnsi="Arial"/>
          <w:sz w:val="24"/>
          <w:szCs w:val="24"/>
          <w:u w:val="none"/>
          <w:shd w:fill="auto" w:val="clear"/>
          <w:lang w:val="en-US"/>
        </w:rPr>
        <w:t xml:space="preserve">the </w:t>
      </w:r>
      <w:r>
        <w:rPr>
          <w:rFonts w:ascii="Arial" w:hAnsi="Arial"/>
          <w:sz w:val="24"/>
          <w:szCs w:val="24"/>
          <w:u w:val="none"/>
          <w:shd w:fill="auto" w:val="clear"/>
          <w:lang w:val="en-US"/>
        </w:rPr>
        <w:t xml:space="preserve">molecular basis </w:t>
      </w:r>
      <w:r>
        <w:rPr>
          <w:rFonts w:ascii="Arial" w:hAnsi="Arial"/>
          <w:sz w:val="24"/>
          <w:szCs w:val="24"/>
          <w:u w:val="none"/>
          <w:shd w:fill="auto" w:val="clear"/>
          <w:lang w:val="en-US"/>
        </w:rPr>
        <w:t xml:space="preserve">of many of these effects </w:t>
      </w:r>
      <w:r>
        <w:rPr>
          <w:rFonts w:ascii="Arial" w:hAnsi="Arial"/>
          <w:sz w:val="24"/>
          <w:szCs w:val="24"/>
          <w:u w:val="none"/>
          <w:shd w:fill="auto" w:val="clear"/>
          <w:lang w:val="en-US"/>
        </w:rPr>
        <w:t xml:space="preserve">are </w:t>
      </w:r>
      <w:r>
        <w:rPr>
          <w:rFonts w:ascii="Arial" w:hAnsi="Arial"/>
          <w:sz w:val="24"/>
          <w:szCs w:val="24"/>
          <w:u w:val="none"/>
          <w:shd w:fill="auto" w:val="clear"/>
          <w:lang w:val="en-US"/>
        </w:rPr>
        <w:t>not known</w:t>
      </w:r>
      <w:r>
        <w:rPr>
          <w:rFonts w:ascii="Arial" w:hAnsi="Arial"/>
          <w:sz w:val="24"/>
          <w:szCs w:val="24"/>
          <w:u w:val="none"/>
          <w:shd w:fill="auto" w:val="clear"/>
          <w:lang w:val="en-US"/>
        </w:rPr>
        <w:t xml:space="preserve">. </w:t>
      </w:r>
      <w:r>
        <w:rPr>
          <w:rFonts w:ascii="Arial" w:hAnsi="Arial"/>
          <w:sz w:val="24"/>
          <w:szCs w:val="24"/>
          <w:u w:val="none"/>
          <w:shd w:fill="auto" w:val="clear"/>
          <w:lang w:val="en-US"/>
        </w:rPr>
        <w:t xml:space="preserve">In this context, </w:t>
      </w:r>
      <w:r>
        <w:rPr>
          <w:rFonts w:ascii="Arial" w:hAnsi="Arial"/>
          <w:sz w:val="24"/>
          <w:szCs w:val="24"/>
          <w:u w:val="none"/>
          <w:shd w:fill="auto" w:val="clear"/>
          <w:lang w:val="en-US"/>
        </w:rPr>
        <w:t xml:space="preserve">we </w:t>
      </w:r>
      <w:r>
        <w:rPr>
          <w:rFonts w:ascii="Arial" w:hAnsi="Arial"/>
          <w:sz w:val="24"/>
          <w:szCs w:val="24"/>
          <w:u w:val="none"/>
          <w:shd w:fill="auto" w:val="clear"/>
          <w:lang w:val="en-US"/>
        </w:rPr>
        <w:t>set out</w:t>
      </w:r>
      <w:r>
        <w:rPr>
          <w:rFonts w:ascii="Arial" w:hAnsi="Arial"/>
          <w:sz w:val="24"/>
          <w:szCs w:val="24"/>
          <w:u w:val="none"/>
          <w:shd w:fill="auto" w:val="clear"/>
          <w:lang w:val="en-US"/>
        </w:rPr>
        <w:t xml:space="preserve"> to address </w:t>
      </w:r>
      <w:r>
        <w:rPr>
          <w:rFonts w:ascii="Arial" w:hAnsi="Arial"/>
          <w:i w:val="false"/>
          <w:iCs w:val="false"/>
          <w:sz w:val="24"/>
          <w:szCs w:val="24"/>
          <w:u w:val="none"/>
          <w:shd w:fill="auto" w:val="clear"/>
          <w:lang w:val="en-US"/>
        </w:rPr>
        <w:t xml:space="preserve">the molecular and phenotypic crosstalk between TH and GC, </w:t>
      </w:r>
      <w:r>
        <w:rPr>
          <w:rFonts w:ascii="Arial" w:hAnsi="Arial"/>
          <w:i/>
          <w:iCs/>
          <w:sz w:val="24"/>
          <w:szCs w:val="24"/>
          <w:u w:val="none"/>
          <w:shd w:fill="auto" w:val="clear"/>
          <w:lang w:val="en-US"/>
        </w:rPr>
        <w:t xml:space="preserve">in </w:t>
      </w:r>
      <w:r>
        <w:rPr>
          <w:rFonts w:ascii="Arial" w:hAnsi="Arial"/>
          <w:i/>
          <w:iCs/>
          <w:sz w:val="24"/>
          <w:szCs w:val="24"/>
          <w:u w:val="none"/>
          <w:shd w:fill="auto" w:val="clear"/>
          <w:lang w:val="en-US"/>
        </w:rPr>
        <w:t>vivo</w:t>
      </w:r>
      <w:r>
        <w:rPr>
          <w:rFonts w:ascii="Arial" w:hAnsi="Arial"/>
          <w:i w:val="false"/>
          <w:iCs w:val="false"/>
          <w:sz w:val="24"/>
          <w:szCs w:val="24"/>
          <w:u w:val="none"/>
          <w:shd w:fill="auto" w:val="clear"/>
          <w:lang w:val="en-US"/>
        </w:rPr>
        <w:t>, in a</w:t>
      </w:r>
      <w:r>
        <w:rPr>
          <w:rFonts w:ascii="Arial" w:hAnsi="Arial"/>
          <w:i w:val="false"/>
          <w:iCs w:val="false"/>
          <w:sz w:val="24"/>
          <w:szCs w:val="24"/>
          <w:u w:val="none"/>
          <w:shd w:fill="auto" w:val="clear"/>
          <w:lang w:val="en-US"/>
        </w:rPr>
        <w:t xml:space="preserve"> model of perinatal development.</w:t>
      </w:r>
    </w:p>
    <w:p>
      <w:pPr>
        <w:pStyle w:val="style31"/>
        <w:spacing w:line="360" w:lineRule="auto"/>
        <w:rPr>
          <w:rFonts w:ascii="Arial" w:hAnsi="Arial"/>
          <w:b w:val="false"/>
          <w:bCs w:val="false"/>
          <w:sz w:val="24"/>
          <w:szCs w:val="24"/>
          <w:shd w:fill="auto" w:val="clear"/>
          <w:lang w:val="en-US"/>
        </w:rPr>
      </w:pPr>
      <w:r>
        <w:rPr>
          <w:rFonts w:ascii="Arial" w:hAnsi="Arial"/>
          <w:sz w:val="24"/>
          <w:szCs w:val="24"/>
          <w:shd w:fill="auto" w:val="clear"/>
          <w:lang w:val="en-US"/>
        </w:rPr>
        <w:t xml:space="preserve">Our working model is </w:t>
      </w:r>
      <w:r>
        <w:rPr>
          <w:rFonts w:ascii="Arial" w:hAnsi="Arial"/>
          <w:sz w:val="24"/>
          <w:szCs w:val="24"/>
          <w:shd w:fill="auto" w:val="clear"/>
          <w:lang w:val="en-US"/>
        </w:rPr>
        <w:t xml:space="preserve">amphibian </w:t>
      </w:r>
      <w:r>
        <w:rPr>
          <w:rFonts w:ascii="Arial" w:hAnsi="Arial"/>
          <w:sz w:val="24"/>
          <w:szCs w:val="24"/>
          <w:shd w:fill="auto" w:val="clear"/>
          <w:lang w:val="en-US"/>
        </w:rPr>
        <w:t xml:space="preserve">metamorphosis, </w:t>
      </w:r>
      <w:r>
        <w:rPr>
          <w:rFonts w:ascii="Arial" w:hAnsi="Arial"/>
          <w:sz w:val="24"/>
          <w:szCs w:val="24"/>
          <w:shd w:fill="auto" w:val="clear"/>
          <w:lang w:val="en-US"/>
        </w:rPr>
        <w:t>the</w:t>
      </w:r>
      <w:r>
        <w:rPr>
          <w:rFonts w:ascii="Arial" w:hAnsi="Arial"/>
          <w:sz w:val="24"/>
          <w:szCs w:val="24"/>
          <w:shd w:fill="auto" w:val="clear"/>
          <w:lang w:val="en-US"/>
        </w:rPr>
        <w:t xml:space="preserve"> well known </w:t>
      </w:r>
      <w:r>
        <w:rPr>
          <w:rFonts w:ascii="Arial" w:hAnsi="Arial"/>
          <w:sz w:val="24"/>
          <w:szCs w:val="24"/>
          <w:shd w:fill="auto" w:val="clear"/>
          <w:lang w:val="en-US"/>
        </w:rPr>
        <w:t>post-embryonic development</w:t>
      </w:r>
      <w:r>
        <w:rPr>
          <w:rFonts w:ascii="Arial" w:hAnsi="Arial"/>
          <w:sz w:val="24"/>
          <w:szCs w:val="24"/>
          <w:shd w:fill="auto" w:val="clear"/>
          <w:lang w:val="en-US"/>
        </w:rPr>
        <w:t>al</w:t>
      </w:r>
      <w:r>
        <w:rPr>
          <w:rFonts w:ascii="Arial" w:hAnsi="Arial"/>
          <w:sz w:val="24"/>
          <w:szCs w:val="24"/>
          <w:shd w:fill="auto" w:val="clear"/>
          <w:lang w:val="en-US"/>
        </w:rPr>
        <w:t xml:space="preserve"> </w:t>
      </w:r>
      <w:r>
        <w:rPr>
          <w:rFonts w:ascii="Arial" w:hAnsi="Arial"/>
          <w:sz w:val="24"/>
          <w:szCs w:val="24"/>
          <w:shd w:fill="auto" w:val="clear"/>
          <w:lang w:val="en-US"/>
        </w:rPr>
        <w:t>transformation of</w:t>
      </w:r>
      <w:r>
        <w:rPr>
          <w:rFonts w:ascii="Arial" w:hAnsi="Arial"/>
          <w:sz w:val="24"/>
          <w:szCs w:val="24"/>
          <w:shd w:fill="auto" w:val="clear"/>
          <w:lang w:val="en-US"/>
        </w:rPr>
        <w:t xml:space="preserve"> a</w:t>
      </w:r>
      <w:r>
        <w:rPr>
          <w:rFonts w:ascii="Arial" w:hAnsi="Arial"/>
          <w:sz w:val="24"/>
          <w:szCs w:val="24"/>
          <w:shd w:fill="auto" w:val="clear"/>
          <w:lang w:val="en-US"/>
        </w:rPr>
        <w:t>n aquatic</w:t>
      </w:r>
      <w:r>
        <w:rPr>
          <w:rFonts w:ascii="Arial" w:hAnsi="Arial"/>
          <w:sz w:val="24"/>
          <w:szCs w:val="24"/>
          <w:shd w:fill="auto" w:val="clear"/>
          <w:lang w:val="en-US"/>
        </w:rPr>
        <w:t xml:space="preserve"> tadpole into a</w:t>
      </w:r>
      <w:r>
        <w:rPr>
          <w:rFonts w:ascii="Arial" w:hAnsi="Arial"/>
          <w:sz w:val="24"/>
          <w:szCs w:val="24"/>
          <w:shd w:fill="auto" w:val="clear"/>
          <w:lang w:val="en-US"/>
        </w:rPr>
        <w:t>n</w:t>
      </w:r>
      <w:r>
        <w:rPr>
          <w:rFonts w:ascii="Arial" w:hAnsi="Arial"/>
          <w:sz w:val="24"/>
          <w:szCs w:val="24"/>
          <w:shd w:fill="auto" w:val="clear"/>
          <w:lang w:val="en-US"/>
        </w:rPr>
        <w:t xml:space="preserve"> </w:t>
      </w:r>
      <w:r>
        <w:rPr>
          <w:rFonts w:ascii="Arial" w:hAnsi="Arial"/>
          <w:sz w:val="24"/>
          <w:szCs w:val="24"/>
          <w:shd w:fill="auto" w:val="clear"/>
          <w:lang w:val="en-US"/>
        </w:rPr>
        <w:t xml:space="preserve">air breathing </w:t>
      </w:r>
      <w:r>
        <w:rPr>
          <w:rFonts w:ascii="Arial" w:hAnsi="Arial"/>
          <w:sz w:val="24"/>
          <w:szCs w:val="24"/>
          <w:shd w:fill="auto" w:val="clear"/>
          <w:lang w:val="en-US"/>
        </w:rPr>
        <w:t xml:space="preserve">frog. </w:t>
      </w:r>
      <w:r>
        <w:rPr>
          <w:rFonts w:ascii="Arial" w:hAnsi="Arial"/>
          <w:sz w:val="24"/>
          <w:szCs w:val="24"/>
          <w:shd w:fill="auto" w:val="clear"/>
          <w:lang w:val="en-US"/>
        </w:rPr>
        <w:t>This complex process</w:t>
      </w:r>
      <w:r>
        <w:rPr>
          <w:rFonts w:ascii="Arial" w:hAnsi="Arial"/>
          <w:sz w:val="24"/>
          <w:szCs w:val="24"/>
          <w:shd w:fill="auto" w:val="clear"/>
          <w:lang w:val="en-US"/>
        </w:rPr>
        <w:t xml:space="preserve"> implies the </w:t>
      </w:r>
      <w:r>
        <w:rPr>
          <w:rFonts w:ascii="Arial" w:hAnsi="Arial"/>
          <w:sz w:val="24"/>
          <w:szCs w:val="24"/>
          <w:shd w:fill="auto" w:val="clear"/>
          <w:lang w:val="en-US"/>
        </w:rPr>
        <w:t>growth</w:t>
      </w:r>
      <w:r>
        <w:rPr>
          <w:rFonts w:ascii="Arial" w:hAnsi="Arial"/>
          <w:sz w:val="24"/>
          <w:szCs w:val="24"/>
          <w:shd w:fill="auto" w:val="clear"/>
          <w:lang w:val="en-US"/>
        </w:rPr>
        <w:t xml:space="preserve"> </w:t>
      </w:r>
      <w:r>
        <w:rPr>
          <w:rFonts w:ascii="Arial" w:hAnsi="Arial"/>
          <w:i/>
          <w:iCs/>
          <w:sz w:val="24"/>
          <w:szCs w:val="24"/>
          <w:shd w:fill="auto" w:val="clear"/>
          <w:lang w:val="en-US"/>
        </w:rPr>
        <w:t>de novo</w:t>
      </w:r>
      <w:r>
        <w:rPr>
          <w:rFonts w:ascii="Arial" w:hAnsi="Arial"/>
          <w:sz w:val="24"/>
          <w:szCs w:val="24"/>
          <w:shd w:fill="auto" w:val="clear"/>
          <w:lang w:val="en-US"/>
        </w:rPr>
        <w:t xml:space="preserve"> </w:t>
      </w:r>
      <w:r>
        <w:rPr>
          <w:rFonts w:ascii="Arial" w:hAnsi="Arial"/>
          <w:sz w:val="24"/>
          <w:szCs w:val="24"/>
          <w:shd w:fill="auto" w:val="clear"/>
          <w:lang w:val="en-US"/>
        </w:rPr>
        <w:t xml:space="preserve">of new body parts (limbs) and the remodeling of </w:t>
      </w:r>
      <w:r>
        <w:rPr>
          <w:rFonts w:ascii="Arial" w:hAnsi="Arial"/>
          <w:sz w:val="24"/>
          <w:szCs w:val="24"/>
          <w:shd w:fill="auto" w:val="clear"/>
          <w:lang w:val="en-US"/>
        </w:rPr>
        <w:t>(almost all)</w:t>
      </w:r>
      <w:r>
        <w:rPr>
          <w:rFonts w:ascii="Arial" w:hAnsi="Arial"/>
          <w:sz w:val="24"/>
          <w:szCs w:val="24"/>
          <w:shd w:fill="auto" w:val="clear"/>
          <w:lang w:val="en-US"/>
        </w:rPr>
        <w:t xml:space="preserve"> organs. </w:t>
      </w:r>
      <w:r>
        <w:rPr>
          <w:rFonts w:ascii="Arial" w:hAnsi="Arial"/>
          <w:sz w:val="24"/>
          <w:szCs w:val="24"/>
          <w:shd w:fill="auto" w:val="clear"/>
          <w:lang w:val="en-US"/>
        </w:rPr>
        <w:t>Interestingly, m</w:t>
      </w:r>
      <w:r>
        <w:rPr>
          <w:rFonts w:ascii="Arial" w:hAnsi="Arial"/>
          <w:sz w:val="24"/>
          <w:szCs w:val="24"/>
          <w:shd w:fill="auto" w:val="clear"/>
          <w:lang w:val="en-US"/>
        </w:rPr>
        <w:t xml:space="preserve">etamorphosis </w:t>
      </w:r>
      <w:r>
        <w:rPr>
          <w:rFonts w:ascii="Arial" w:hAnsi="Arial"/>
          <w:sz w:val="24"/>
          <w:szCs w:val="24"/>
          <w:shd w:fill="auto" w:val="clear"/>
          <w:lang w:val="en-US"/>
        </w:rPr>
        <w:t>parallels</w:t>
      </w:r>
      <w:r>
        <w:rPr>
          <w:rFonts w:ascii="Arial" w:hAnsi="Arial"/>
          <w:sz w:val="24"/>
          <w:szCs w:val="24"/>
          <w:shd w:fill="auto" w:val="clear"/>
          <w:lang w:val="en-US"/>
        </w:rPr>
        <w:t xml:space="preserve"> </w:t>
      </w:r>
      <w:r>
        <w:rPr>
          <w:rFonts w:ascii="Arial" w:hAnsi="Arial"/>
          <w:sz w:val="24"/>
          <w:szCs w:val="24"/>
          <w:shd w:fill="auto" w:val="clear"/>
          <w:lang w:val="en-US"/>
        </w:rPr>
        <w:t xml:space="preserve">many aspects of </w:t>
      </w:r>
      <w:r>
        <w:rPr>
          <w:rFonts w:ascii="Arial" w:hAnsi="Arial"/>
          <w:sz w:val="24"/>
          <w:szCs w:val="24"/>
          <w:shd w:fill="auto" w:val="clear"/>
          <w:lang w:val="en-US"/>
        </w:rPr>
        <w:t>the perinatal period o</w:t>
      </w:r>
      <w:r>
        <w:rPr>
          <w:rFonts w:ascii="Arial" w:hAnsi="Arial"/>
          <w:sz w:val="24"/>
          <w:szCs w:val="24"/>
          <w:shd w:fill="auto" w:val="clear"/>
          <w:lang w:val="en-US"/>
        </w:rPr>
        <w:t>f</w:t>
      </w:r>
      <w:r>
        <w:rPr>
          <w:rFonts w:ascii="Arial" w:hAnsi="Arial"/>
          <w:sz w:val="24"/>
          <w:szCs w:val="24"/>
          <w:shd w:fill="auto" w:val="clear"/>
          <w:lang w:val="en-US"/>
        </w:rPr>
        <w:t xml:space="preserve"> mammals (</w:t>
      </w:r>
      <w:r>
        <w:rPr>
          <w:rFonts w:ascii="Arial" w:hAnsi="Arial"/>
          <w:sz w:val="24"/>
          <w:szCs w:val="24"/>
          <w:shd w:fill="auto" w:val="clear"/>
          <w:lang w:val="en-US"/>
        </w:rPr>
        <w:t xml:space="preserve">transition aquatic vs air breathing life style, </w:t>
      </w:r>
      <w:r>
        <w:rPr>
          <w:rFonts w:ascii="Arial" w:hAnsi="Arial"/>
          <w:sz w:val="24"/>
          <w:szCs w:val="24"/>
          <w:shd w:fill="auto" w:val="clear"/>
          <w:lang w:val="en-US"/>
        </w:rPr>
        <w:t xml:space="preserve">conserved </w:t>
      </w:r>
      <w:r>
        <w:rPr>
          <w:rFonts w:ascii="Arial" w:hAnsi="Arial"/>
          <w:sz w:val="24"/>
          <w:szCs w:val="24"/>
          <w:shd w:fill="auto" w:val="clear"/>
          <w:lang w:val="en-US"/>
        </w:rPr>
        <w:t xml:space="preserve">gene </w:t>
      </w:r>
      <w:r>
        <w:rPr>
          <w:rFonts w:ascii="Arial" w:hAnsi="Arial"/>
          <w:sz w:val="24"/>
          <w:szCs w:val="24"/>
          <w:shd w:fill="auto" w:val="clear"/>
          <w:lang w:val="en-US"/>
        </w:rPr>
        <w:t>regulatory network</w:t>
      </w:r>
      <w:r>
        <w:rPr>
          <w:rFonts w:ascii="Arial" w:hAnsi="Arial"/>
          <w:sz w:val="24"/>
          <w:szCs w:val="24"/>
          <w:shd w:fill="auto" w:val="clear"/>
          <w:lang w:val="en-US"/>
        </w:rPr>
        <w:t xml:space="preserve">s, tissue resorption...  </w:t>
      </w:r>
      <w:r>
        <w:rPr>
          <w:rStyle w:val="style26"/>
          <w:rFonts w:ascii="Arial" w:hAnsi="Arial"/>
          <w:sz w:val="24"/>
          <w:szCs w:val="24"/>
          <w:shd w:fill="auto" w:val="clear"/>
          <w:lang w:val="en-US"/>
        </w:rPr>
        <w:t>[13]</w:t>
      </w:r>
      <w:r>
        <w:rPr>
          <w:rFonts w:ascii="Arial" w:hAnsi="Arial"/>
          <w:sz w:val="24"/>
          <w:szCs w:val="24"/>
          <w:shd w:fill="auto" w:val="clear"/>
          <w:lang w:val="en-US"/>
        </w:rPr>
        <w:t>)</w:t>
      </w:r>
      <w:r>
        <w:rPr>
          <w:rFonts w:ascii="Arial" w:hAnsi="Arial"/>
          <w:sz w:val="24"/>
          <w:szCs w:val="24"/>
          <w:shd w:fill="auto" w:val="clear"/>
          <w:lang w:val="en-US"/>
        </w:rPr>
        <w:t xml:space="preserve">, including their strict control on regulation by TH. In fact, it has been proposed that </w:t>
      </w:r>
      <w:r>
        <w:rPr>
          <w:rFonts w:ascii="Arial" w:hAnsi="Arial"/>
          <w:sz w:val="24"/>
          <w:szCs w:val="24"/>
          <w:shd w:fill="auto" w:val="clear"/>
          <w:lang w:val="en-US"/>
        </w:rPr>
        <w:t xml:space="preserve">TH driven metamorphosis </w:t>
      </w:r>
      <w:r>
        <w:rPr>
          <w:rFonts w:ascii="Arial" w:hAnsi="Arial"/>
          <w:sz w:val="24"/>
          <w:szCs w:val="24"/>
          <w:shd w:fill="auto" w:val="clear"/>
          <w:lang w:val="en-US"/>
        </w:rPr>
        <w:t>would</w:t>
      </w:r>
      <w:r>
        <w:rPr>
          <w:rFonts w:ascii="Arial" w:hAnsi="Arial"/>
          <w:sz w:val="24"/>
          <w:szCs w:val="24"/>
          <w:shd w:fill="auto" w:val="clear"/>
          <w:lang w:val="en-US"/>
        </w:rPr>
        <w:t xml:space="preserve"> </w:t>
      </w:r>
      <w:r>
        <w:rPr>
          <w:rFonts w:ascii="Arial" w:hAnsi="Arial"/>
          <w:sz w:val="24"/>
          <w:szCs w:val="24"/>
          <w:shd w:fill="auto" w:val="clear"/>
          <w:lang w:val="en-US"/>
        </w:rPr>
        <w:t xml:space="preserve">be </w:t>
      </w:r>
      <w:r>
        <w:rPr>
          <w:rFonts w:ascii="Arial" w:hAnsi="Arial"/>
          <w:sz w:val="24"/>
          <w:szCs w:val="24"/>
          <w:shd w:fill="auto" w:val="clear"/>
          <w:lang w:val="en-US"/>
        </w:rPr>
        <w:t xml:space="preserve">an ancestral feature of vertebrates </w:t>
      </w:r>
      <w:r>
        <w:rPr>
          <w:rFonts w:ascii="Arial" w:hAnsi="Arial"/>
          <w:sz w:val="24"/>
          <w:szCs w:val="24"/>
          <w:shd w:fill="auto" w:val="clear"/>
          <w:lang w:val="en-US"/>
        </w:rPr>
        <w:t xml:space="preserve">and that </w:t>
      </w:r>
      <w:r>
        <w:rPr>
          <w:rFonts w:ascii="Arial" w:hAnsi="Arial"/>
          <w:sz w:val="24"/>
          <w:szCs w:val="24"/>
          <w:shd w:fill="auto" w:val="clear"/>
          <w:lang w:val="en-US"/>
        </w:rPr>
        <w:t>e</w:t>
      </w:r>
      <w:r>
        <w:rPr>
          <w:rFonts w:ascii="Arial" w:hAnsi="Arial"/>
          <w:sz w:val="24"/>
          <w:szCs w:val="24"/>
          <w:shd w:fill="auto" w:val="clear"/>
          <w:lang w:val="en-US"/>
        </w:rPr>
        <w:t xml:space="preserve">volutionary and ecological inputs </w:t>
      </w:r>
      <w:r>
        <w:rPr>
          <w:rFonts w:ascii="Arial" w:hAnsi="Arial"/>
          <w:sz w:val="24"/>
          <w:szCs w:val="24"/>
          <w:shd w:fill="auto" w:val="clear"/>
          <w:lang w:val="en-US"/>
        </w:rPr>
        <w:t xml:space="preserve">would </w:t>
      </w:r>
      <w:r>
        <w:rPr>
          <w:rFonts w:ascii="Arial" w:hAnsi="Arial"/>
          <w:sz w:val="24"/>
          <w:szCs w:val="24"/>
          <w:shd w:fill="auto" w:val="clear"/>
          <w:lang w:val="en-US"/>
        </w:rPr>
        <w:t xml:space="preserve">provide the basis of “variations on </w:t>
      </w:r>
      <w:r>
        <w:rPr>
          <w:rFonts w:ascii="Arial" w:hAnsi="Arial"/>
          <w:sz w:val="24"/>
          <w:szCs w:val="24"/>
          <w:shd w:fill="auto" w:val="clear"/>
          <w:lang w:val="en-US"/>
        </w:rPr>
        <w:t>a</w:t>
      </w:r>
      <w:r>
        <w:rPr>
          <w:rFonts w:ascii="Arial" w:hAnsi="Arial"/>
          <w:sz w:val="24"/>
          <w:szCs w:val="24"/>
          <w:shd w:fill="auto" w:val="clear"/>
          <w:lang w:val="en-US"/>
        </w:rPr>
        <w:t xml:space="preserve"> theme”, where </w:t>
      </w:r>
      <w:r>
        <w:rPr>
          <w:rFonts w:ascii="Arial" w:hAnsi="Arial"/>
          <w:sz w:val="24"/>
          <w:szCs w:val="24"/>
          <w:shd w:fill="auto" w:val="clear"/>
          <w:lang w:val="en-US"/>
        </w:rPr>
        <w:t>subtle variations in a core signaling pathway in a range of species translates into diverse post-embryonic developmental scenarios.</w:t>
      </w:r>
      <w:r>
        <w:rPr>
          <w:rFonts w:ascii="Arial" w:hAnsi="Arial"/>
          <w:sz w:val="24"/>
          <w:szCs w:val="24"/>
          <w:shd w:fill="auto" w:val="clear"/>
          <w:lang w:val="en-US"/>
        </w:rPr>
        <w:t xml:space="preserve"> During natural m</w:t>
      </w:r>
      <w:r>
        <w:rPr>
          <w:rFonts w:ascii="Arial" w:hAnsi="Arial"/>
          <w:sz w:val="24"/>
          <w:szCs w:val="24"/>
          <w:shd w:fill="auto" w:val="clear"/>
          <w:lang w:val="en-US"/>
        </w:rPr>
        <w:t xml:space="preserve">etamorphosis, </w:t>
      </w:r>
      <w:r>
        <w:rPr>
          <w:rFonts w:ascii="Arial" w:hAnsi="Arial"/>
          <w:sz w:val="24"/>
          <w:szCs w:val="24"/>
          <w:shd w:fill="auto" w:val="clear"/>
          <w:lang w:val="en-US"/>
        </w:rPr>
        <w:t>p</w:t>
      </w:r>
      <w:r>
        <w:rPr>
          <w:rFonts w:ascii="Arial" w:hAnsi="Arial"/>
          <w:sz w:val="24"/>
          <w:szCs w:val="24"/>
          <w:shd w:fill="auto" w:val="clear"/>
          <w:lang w:val="en-US"/>
        </w:rPr>
        <w:t xml:space="preserve">lasma GC </w:t>
      </w:r>
      <w:r>
        <w:rPr>
          <w:rFonts w:ascii="Arial" w:hAnsi="Arial"/>
          <w:sz w:val="24"/>
          <w:szCs w:val="24"/>
          <w:shd w:fill="auto" w:val="clear"/>
          <w:lang w:val="en-US"/>
        </w:rPr>
        <w:t>levels</w:t>
      </w:r>
      <w:r>
        <w:rPr>
          <w:rFonts w:ascii="Arial" w:hAnsi="Arial"/>
          <w:sz w:val="24"/>
          <w:szCs w:val="24"/>
          <w:shd w:fill="auto" w:val="clear"/>
          <w:lang w:val="en-US"/>
        </w:rPr>
        <w:t xml:space="preserve"> rise markedly </w:t>
      </w:r>
      <w:r>
        <w:rPr>
          <w:rFonts w:ascii="Arial" w:hAnsi="Arial"/>
          <w:sz w:val="24"/>
          <w:szCs w:val="24"/>
          <w:shd w:fill="auto" w:val="clear"/>
          <w:lang w:val="en-US"/>
        </w:rPr>
        <w:t>at</w:t>
      </w:r>
      <w:r>
        <w:rPr>
          <w:rFonts w:ascii="Arial" w:hAnsi="Arial"/>
          <w:sz w:val="24"/>
          <w:szCs w:val="24"/>
          <w:shd w:fill="auto" w:val="clear"/>
          <w:lang w:val="en-US"/>
        </w:rPr>
        <w:t xml:space="preserve"> metamorphic climax </w:t>
      </w:r>
      <w:r>
        <w:rPr>
          <w:rFonts w:ascii="Arial" w:hAnsi="Arial"/>
          <w:sz w:val="24"/>
          <w:szCs w:val="24"/>
          <w:shd w:fill="auto" w:val="clear"/>
          <w:lang w:val="en-US"/>
        </w:rPr>
        <w:t>and follow that of circulating</w:t>
      </w:r>
      <w:r>
        <w:rPr>
          <w:rFonts w:ascii="Arial" w:hAnsi="Arial"/>
          <w:sz w:val="24"/>
          <w:szCs w:val="24"/>
          <w:shd w:fill="auto" w:val="clear"/>
          <w:lang w:val="en-US"/>
        </w:rPr>
        <w:t xml:space="preserve"> TH. </w:t>
      </w:r>
      <w:r>
        <w:rPr>
          <w:rFonts w:ascii="Arial" w:hAnsi="Arial"/>
          <w:sz w:val="24"/>
          <w:szCs w:val="24"/>
          <w:shd w:fill="auto" w:val="clear"/>
          <w:lang w:val="en-US"/>
        </w:rPr>
        <w:t>Interestingly, t</w:t>
      </w:r>
      <w:r>
        <w:rPr>
          <w:rFonts w:ascii="Arial" w:hAnsi="Arial"/>
          <w:sz w:val="24"/>
          <w:szCs w:val="24"/>
          <w:shd w:fill="auto" w:val="clear"/>
          <w:lang w:val="en-US"/>
        </w:rPr>
        <w:t xml:space="preserve">he timing of </w:t>
      </w:r>
      <w:r>
        <w:rPr>
          <w:rFonts w:ascii="Arial" w:hAnsi="Arial"/>
          <w:sz w:val="24"/>
          <w:szCs w:val="24"/>
          <w:shd w:fill="auto" w:val="clear"/>
          <w:lang w:val="en-US"/>
        </w:rPr>
        <w:t xml:space="preserve">metamorphosis </w:t>
      </w:r>
      <w:r>
        <w:rPr>
          <w:rFonts w:ascii="Arial" w:hAnsi="Arial"/>
          <w:sz w:val="24"/>
          <w:szCs w:val="24"/>
          <w:shd w:fill="auto" w:val="clear"/>
          <w:lang w:val="en-US"/>
        </w:rPr>
        <w:t>is in part</w:t>
      </w:r>
      <w:r>
        <w:rPr>
          <w:rFonts w:ascii="Arial" w:hAnsi="Arial"/>
          <w:sz w:val="24"/>
          <w:szCs w:val="24"/>
          <w:shd w:fill="auto" w:val="clear"/>
          <w:lang w:val="en-US"/>
        </w:rPr>
        <w:t xml:space="preserve"> </w:t>
      </w:r>
      <w:r>
        <w:rPr>
          <w:rFonts w:ascii="Arial" w:hAnsi="Arial"/>
          <w:sz w:val="24"/>
          <w:szCs w:val="24"/>
          <w:shd w:fill="auto" w:val="clear"/>
          <w:lang w:val="en-US"/>
        </w:rPr>
        <w:t>mod</w:t>
      </w:r>
      <w:r>
        <w:rPr>
          <w:rFonts w:ascii="Arial" w:hAnsi="Arial"/>
          <w:sz w:val="24"/>
          <w:szCs w:val="24"/>
          <w:shd w:fill="auto" w:val="clear"/>
          <w:lang w:val="en-US"/>
        </w:rPr>
        <w:t>ulated</w:t>
      </w:r>
      <w:r>
        <w:rPr>
          <w:rFonts w:ascii="Arial" w:hAnsi="Arial"/>
          <w:sz w:val="24"/>
          <w:szCs w:val="24"/>
          <w:shd w:fill="auto" w:val="clear"/>
          <w:lang w:val="en-US"/>
        </w:rPr>
        <w:t xml:space="preserve"> </w:t>
      </w:r>
      <w:r>
        <w:rPr>
          <w:rFonts w:ascii="Arial" w:hAnsi="Arial"/>
          <w:sz w:val="24"/>
          <w:szCs w:val="24"/>
          <w:shd w:fill="auto" w:val="clear"/>
          <w:lang w:val="en-US"/>
        </w:rPr>
        <w:t xml:space="preserve">by </w:t>
      </w:r>
      <w:r>
        <w:rPr>
          <w:rFonts w:ascii="Arial" w:hAnsi="Arial"/>
          <w:sz w:val="24"/>
          <w:szCs w:val="24"/>
          <w:shd w:fill="auto" w:val="clear"/>
          <w:lang w:val="en-US"/>
        </w:rPr>
        <w:t>environment</w:t>
      </w:r>
      <w:r>
        <w:rPr>
          <w:rFonts w:ascii="Arial" w:hAnsi="Arial"/>
          <w:sz w:val="24"/>
          <w:szCs w:val="24"/>
          <w:shd w:fill="auto" w:val="clear"/>
          <w:lang w:val="en-US"/>
        </w:rPr>
        <w:t xml:space="preserve">al inputs </w:t>
      </w:r>
      <w:r>
        <w:rPr>
          <w:rFonts w:ascii="Arial" w:hAnsi="Arial"/>
          <w:sz w:val="24"/>
          <w:szCs w:val="24"/>
          <w:shd w:fill="auto" w:val="clear"/>
          <w:lang w:val="en-US"/>
        </w:rPr>
        <w:t xml:space="preserve">through </w:t>
      </w:r>
      <w:r>
        <w:rPr>
          <w:rFonts w:ascii="Arial" w:hAnsi="Arial"/>
          <w:sz w:val="24"/>
          <w:szCs w:val="24"/>
          <w:shd w:fill="auto" w:val="clear"/>
          <w:lang w:val="en-US"/>
        </w:rPr>
        <w:t xml:space="preserve">GC </w:t>
      </w:r>
      <w:r>
        <w:rPr>
          <w:rFonts w:ascii="Arial" w:hAnsi="Arial"/>
          <w:sz w:val="24"/>
          <w:szCs w:val="24"/>
          <w:shd w:fill="auto" w:val="clear"/>
          <w:lang w:val="en-US"/>
        </w:rPr>
        <w:t xml:space="preserve">signaling, which thus </w:t>
      </w:r>
      <w:r>
        <w:rPr>
          <w:rFonts w:ascii="Arial" w:hAnsi="Arial"/>
          <w:sz w:val="24"/>
          <w:szCs w:val="24"/>
          <w:shd w:fill="auto" w:val="clear"/>
          <w:lang w:val="en-US"/>
        </w:rPr>
        <w:t>act</w:t>
      </w:r>
      <w:r>
        <w:rPr>
          <w:rFonts w:ascii="Arial" w:hAnsi="Arial"/>
          <w:sz w:val="24"/>
          <w:szCs w:val="24"/>
          <w:shd w:fill="auto" w:val="clear"/>
          <w:lang w:val="en-US"/>
        </w:rPr>
        <w:t>s</w:t>
      </w:r>
      <w:r>
        <w:rPr>
          <w:rFonts w:ascii="Arial" w:hAnsi="Arial"/>
          <w:sz w:val="24"/>
          <w:szCs w:val="24"/>
          <w:shd w:fill="auto" w:val="clear"/>
          <w:lang w:val="en-US"/>
        </w:rPr>
        <w:t xml:space="preserve"> as a physiological interface</w:t>
      </w:r>
      <w:r>
        <w:rPr>
          <w:rFonts w:ascii="Arial" w:hAnsi="Arial"/>
          <w:sz w:val="24"/>
          <w:szCs w:val="24"/>
          <w:shd w:fill="auto" w:val="clear"/>
          <w:lang w:val="en-US"/>
        </w:rPr>
        <w:t xml:space="preserve"> </w:t>
      </w:r>
      <w:r>
        <w:rPr>
          <w:rFonts w:ascii="Arial" w:hAnsi="Arial"/>
          <w:sz w:val="24"/>
          <w:szCs w:val="24"/>
          <w:shd w:fill="auto" w:val="clear"/>
          <w:lang w:val="en-US"/>
        </w:rPr>
        <w:t>t</w:t>
      </w:r>
      <w:r>
        <w:rPr>
          <w:rFonts w:ascii="Arial" w:hAnsi="Arial"/>
          <w:sz w:val="24"/>
          <w:szCs w:val="24"/>
          <w:shd w:fill="auto" w:val="clear"/>
          <w:lang w:val="en-US"/>
        </w:rPr>
        <w:t>hat</w:t>
      </w:r>
      <w:r>
        <w:rPr>
          <w:rFonts w:ascii="Arial" w:hAnsi="Arial"/>
          <w:sz w:val="24"/>
          <w:szCs w:val="24"/>
          <w:shd w:fill="auto" w:val="clear"/>
          <w:lang w:val="en-US"/>
        </w:rPr>
        <w:t xml:space="preserve"> integrate</w:t>
      </w:r>
      <w:r>
        <w:rPr>
          <w:rFonts w:ascii="Arial" w:hAnsi="Arial"/>
          <w:sz w:val="24"/>
          <w:szCs w:val="24"/>
          <w:shd w:fill="auto" w:val="clear"/>
          <w:lang w:val="en-US"/>
        </w:rPr>
        <w:t>s</w:t>
      </w:r>
      <w:r>
        <w:rPr>
          <w:rFonts w:ascii="Arial" w:hAnsi="Arial"/>
          <w:sz w:val="24"/>
          <w:szCs w:val="24"/>
          <w:shd w:fill="auto" w:val="clear"/>
          <w:lang w:val="en-US"/>
        </w:rPr>
        <w:t xml:space="preserve"> environmental cues </w:t>
      </w:r>
      <w:r>
        <w:rPr>
          <w:rFonts w:ascii="Arial" w:hAnsi="Arial"/>
          <w:sz w:val="24"/>
          <w:szCs w:val="24"/>
          <w:shd w:fill="auto" w:val="clear"/>
          <w:lang w:val="en-US"/>
        </w:rPr>
        <w:t>in</w:t>
      </w:r>
      <w:r>
        <w:rPr>
          <w:rFonts w:ascii="Arial" w:hAnsi="Arial"/>
          <w:sz w:val="24"/>
          <w:szCs w:val="24"/>
          <w:shd w:fill="auto" w:val="clear"/>
          <w:lang w:val="en-US"/>
        </w:rPr>
        <w:t xml:space="preserve">to </w:t>
      </w:r>
      <w:r>
        <w:rPr>
          <w:rFonts w:ascii="Arial" w:hAnsi="Arial"/>
          <w:sz w:val="24"/>
          <w:szCs w:val="24"/>
          <w:shd w:fill="auto" w:val="clear"/>
          <w:lang w:val="en-US"/>
        </w:rPr>
        <w:t xml:space="preserve">regulatory networks. </w:t>
      </w:r>
      <w:r>
        <w:rPr>
          <w:rFonts w:ascii="Arial" w:hAnsi="Arial"/>
          <w:sz w:val="24"/>
          <w:szCs w:val="24"/>
          <w:shd w:fill="auto" w:val="clear"/>
          <w:lang w:val="en-US"/>
        </w:rPr>
        <w:t xml:space="preserve">The genomic effects of TH and GC signaling are mediated by their cognate receptors, which </w:t>
      </w:r>
      <w:r>
        <w:rPr>
          <w:rFonts w:ascii="Arial" w:hAnsi="Arial"/>
          <w:b w:val="false"/>
          <w:bCs w:val="false"/>
          <w:sz w:val="24"/>
          <w:szCs w:val="24"/>
          <w:shd w:fill="auto" w:val="clear"/>
          <w:lang w:val="en-US"/>
        </w:rPr>
        <w:t>are ligand-dependant transcription factors belonging to the super family of nuclear receptors.</w:t>
      </w:r>
    </w:p>
    <w:p>
      <w:pPr>
        <w:sectPr>
          <w:type w:val="nextPage"/>
          <w:pgSz w:h="15840" w:w="12240"/>
          <w:pgMar w:bottom="1134" w:footer="0" w:gutter="0" w:header="0" w:left="1134" w:right="1134" w:top="1134"/>
          <w:pgNumType w:fmt="decimal"/>
          <w:formProt w:val="false"/>
          <w:textDirection w:val="lrTb"/>
        </w:sectPr>
        <w:pStyle w:val="style31"/>
        <w:spacing w:line="360" w:lineRule="auto"/>
        <w:rPr>
          <w:rFonts w:ascii="Arial" w:hAnsi="Arial"/>
          <w:b w:val="false"/>
          <w:bCs w:val="false"/>
          <w:sz w:val="24"/>
          <w:szCs w:val="24"/>
          <w:shd w:fill="auto" w:val="clear"/>
          <w:lang w:val="en-US"/>
        </w:rPr>
      </w:pPr>
      <w:r>
        <w:rPr>
          <w:rFonts w:ascii="Arial" w:hAnsi="Arial"/>
          <w:b w:val="false"/>
          <w:bCs w:val="false"/>
          <w:sz w:val="24"/>
          <w:szCs w:val="24"/>
          <w:shd w:fill="auto" w:val="clear"/>
          <w:lang w:val="en-US"/>
        </w:rPr>
        <w:t xml:space="preserve">In </w:t>
      </w:r>
      <w:r>
        <w:rPr>
          <w:rFonts w:ascii="Arial" w:hAnsi="Arial"/>
          <w:b w:val="false"/>
          <w:bCs w:val="false"/>
          <w:sz w:val="24"/>
          <w:szCs w:val="24"/>
          <w:shd w:fill="auto" w:val="clear"/>
          <w:lang w:val="en-US"/>
        </w:rPr>
        <w:t>this paper, we</w:t>
      </w:r>
      <w:r>
        <w:rPr>
          <w:rFonts w:ascii="Arial" w:hAnsi="Arial"/>
          <w:b w:val="false"/>
          <w:bCs w:val="false"/>
          <w:sz w:val="24"/>
          <w:szCs w:val="24"/>
          <w:shd w:fill="auto" w:val="clear"/>
          <w:lang w:val="en-US"/>
        </w:rPr>
        <w:t xml:space="preserve"> probe the crosstalk between TH and GC</w:t>
      </w:r>
      <w:r>
        <w:rPr>
          <w:rFonts w:ascii="Arial" w:hAnsi="Arial"/>
          <w:b w:val="false"/>
          <w:bCs w:val="false"/>
          <w:sz w:val="24"/>
          <w:szCs w:val="24"/>
          <w:shd w:fill="auto" w:val="clear"/>
          <w:lang w:val="en-US"/>
        </w:rPr>
        <w:t xml:space="preserve"> at the onset of </w:t>
      </w:r>
      <w:r>
        <w:rPr>
          <w:rFonts w:ascii="Arial" w:hAnsi="Arial"/>
          <w:b w:val="false"/>
          <w:bCs w:val="false"/>
          <w:i/>
          <w:iCs/>
          <w:sz w:val="24"/>
          <w:szCs w:val="24"/>
          <w:shd w:fill="auto" w:val="clear"/>
          <w:lang w:val="en-US"/>
        </w:rPr>
        <w:t>Xenopus tropicalis</w:t>
      </w:r>
      <w:r>
        <w:rPr>
          <w:rFonts w:ascii="Arial" w:hAnsi="Arial"/>
          <w:b w:val="false"/>
          <w:bCs w:val="false"/>
          <w:sz w:val="24"/>
          <w:szCs w:val="24"/>
          <w:shd w:fill="auto" w:val="clear"/>
          <w:lang w:val="en-US"/>
        </w:rPr>
        <w:t xml:space="preserve"> metamorposis. To this end, we measured transcripts levels by RNA sequencing of developing limbs and we provide evidence of a crosstalk between TH and GC signaling. This crosstalk is quite general and is not limited to the regulation by GC of the TH metabolizing factors Dio2 and Dio3, as previously acknowledged. Strikingly, GC/TH crosstalk also impact the expression of many genes involved in skeletal development, which translate in early ossification of long bones. Given that some of these genes (REL, LEPR and Dio2) are known biomarkers of human bone pathologies, our work provide the scientific community with a set of novel candidates genes which might be of interest for the development of new molecular markers of bone pathologies.</w:t>
      </w:r>
    </w:p>
    <w:p>
      <w:pPr>
        <w:pStyle w:val="style1"/>
        <w:numPr>
          <w:ilvl w:val="8"/>
          <w:numId w:val="1"/>
        </w:numPr>
        <w:spacing w:line="360" w:lineRule="auto"/>
        <w:ind w:hanging="0" w:left="720" w:right="0"/>
        <w:rPr>
          <w:rFonts w:ascii="Arial" w:hAnsi="Arial"/>
          <w:lang w:val="en-US"/>
        </w:rPr>
      </w:pPr>
      <w:r>
        <w:rPr>
          <w:rFonts w:ascii="Arial" w:hAnsi="Arial"/>
          <w:lang w:val="en-US"/>
        </w:rPr>
        <w:t>Material and Methods</w:t>
      </w:r>
    </w:p>
    <w:p>
      <w:pPr>
        <w:pStyle w:val="style2"/>
        <w:numPr>
          <w:ilvl w:val="8"/>
          <w:numId w:val="1"/>
        </w:numPr>
        <w:spacing w:line="360" w:lineRule="auto"/>
        <w:rPr>
          <w:rFonts w:ascii="Arial" w:hAnsi="Arial"/>
          <w:lang w:val="en-US"/>
        </w:rPr>
      </w:pPr>
      <w:r>
        <w:rPr>
          <w:rFonts w:ascii="Arial" w:hAnsi="Arial"/>
          <w:lang w:val="en-US"/>
        </w:rPr>
        <w:t>Animal care</w:t>
      </w:r>
    </w:p>
    <w:p>
      <w:pPr>
        <w:pStyle w:val="style31"/>
        <w:spacing w:line="360" w:lineRule="auto"/>
        <w:rPr>
          <w:rFonts w:ascii="Arial" w:hAnsi="Arial"/>
          <w:lang w:val="en-US"/>
        </w:rPr>
      </w:pPr>
      <w:r>
        <w:rPr>
          <w:rFonts w:ascii="Arial" w:hAnsi="Arial"/>
          <w:i/>
          <w:iCs/>
          <w:lang w:val="en-US"/>
        </w:rPr>
        <w:t>X. tropicalis</w:t>
      </w:r>
      <w:r>
        <w:rPr>
          <w:rFonts w:ascii="Arial" w:hAnsi="Arial"/>
          <w:lang w:val="en-US"/>
        </w:rPr>
        <w:t xml:space="preserve"> adult frogs were obtained from NASCO (Fort Atkinson, WI) and maintained at </w:t>
      </w:r>
      <w:r>
        <w:rPr>
          <w:rFonts w:ascii="Arial" w:hAnsi="Arial"/>
          <w:lang w:val="en-US"/>
        </w:rPr>
        <w:t>24°C</w:t>
      </w:r>
      <w:r>
        <w:rPr>
          <w:rFonts w:ascii="Arial" w:hAnsi="Arial"/>
          <w:lang w:val="en-US"/>
        </w:rPr>
        <w:t xml:space="preserve"> in aquatic housing system (MPAquarien, Rockenhausen, Germany). Mating was induced by injection of 200 U of human chorionic gonadotropine for females and 100 U for males (Chorulon; Intervet, Beaucouze, France). Tadpoles were raised at 26</w:t>
      </w:r>
      <w:r>
        <w:rPr>
          <w:rFonts w:ascii="Arial" w:hAnsi="Arial"/>
          <w:lang w:val="en-US"/>
        </w:rPr>
        <w:t>°</w:t>
      </w:r>
      <w:r>
        <w:rPr>
          <w:rFonts w:ascii="Arial" w:hAnsi="Arial"/>
          <w:lang w:val="en-US"/>
        </w:rPr>
        <w:t>C.</w:t>
      </w:r>
      <w:r>
        <w:rPr>
          <w:rFonts w:ascii="Arial" w:hAnsi="Arial"/>
          <w:lang w:val="en-US"/>
        </w:rPr>
        <w:t>Animal care was in accordance with institutional and national guidelines (</w:t>
      </w:r>
      <w:r>
        <w:rPr>
          <w:rFonts w:ascii="Helvetica" w:hAnsi="Helvetica"/>
          <w:color w:val="000000"/>
          <w:sz w:val="24"/>
        </w:rPr>
        <w:t>ref: 68008, delivered by the Cuvier Ethic Committee</w:t>
      </w:r>
      <w:r>
        <w:rPr>
          <w:rFonts w:ascii="Arial" w:hAnsi="Arial"/>
          <w:lang w:val="en-US"/>
        </w:rPr>
        <w:t>).</w:t>
      </w:r>
    </w:p>
    <w:p>
      <w:pPr>
        <w:pStyle w:val="style2"/>
        <w:spacing w:line="360" w:lineRule="auto"/>
        <w:rPr>
          <w:rFonts w:ascii="Arial" w:hAnsi="Arial"/>
          <w:lang w:val="en-US"/>
        </w:rPr>
      </w:pPr>
      <w:r>
        <w:rPr>
          <w:rFonts w:ascii="Arial" w:hAnsi="Arial"/>
          <w:lang w:val="en-US"/>
        </w:rPr>
        <w:t>Hormonal treatments</w:t>
      </w:r>
    </w:p>
    <w:p>
      <w:pPr>
        <w:pStyle w:val="style31"/>
        <w:spacing w:line="360" w:lineRule="auto"/>
        <w:ind w:hanging="0" w:left="0" w:right="0"/>
        <w:rPr>
          <w:rFonts w:ascii="Arial" w:hAnsi="Arial"/>
          <w:lang w:val="en-US"/>
        </w:rPr>
      </w:pPr>
      <w:r>
        <w:rPr>
          <w:rFonts w:ascii="Arial" w:hAnsi="Arial"/>
          <w:lang w:val="en-US"/>
        </w:rPr>
        <w:t>T</w:t>
      </w:r>
      <w:r>
        <w:rPr>
          <w:rFonts w:ascii="Arial" w:hAnsi="Arial"/>
          <w:vertAlign w:val="subscript"/>
          <w:lang w:val="en-US"/>
        </w:rPr>
        <w:t xml:space="preserve">3 </w:t>
      </w:r>
      <w:r>
        <w:rPr>
          <w:rFonts w:ascii="Arial" w:hAnsi="Arial"/>
          <w:lang w:val="en-US"/>
        </w:rPr>
        <w:t>(</w:t>
      </w:r>
      <w:r>
        <w:rPr>
          <w:rStyle w:val="style18"/>
          <w:rFonts w:ascii="Helvetica" w:hAnsi="Helvetica"/>
          <w:color w:val="000000"/>
          <w:sz w:val="24"/>
          <w:shd w:fill="auto" w:val="clear"/>
          <w:lang w:val="en-US"/>
        </w:rPr>
        <w:t xml:space="preserve">T2752, </w:t>
      </w:r>
      <w:r>
        <w:rPr>
          <w:rStyle w:val="style18"/>
          <w:rFonts w:ascii="Helvetica" w:hAnsi="Helvetica"/>
          <w:color w:val="000000"/>
          <w:sz w:val="24"/>
          <w:shd w:fill="auto" w:val="clear"/>
          <w:lang w:val="en-US"/>
        </w:rPr>
        <w:t>SIGMA</w:t>
      </w:r>
      <w:r>
        <w:rPr>
          <w:rFonts w:ascii="Arial" w:hAnsi="Arial"/>
          <w:lang w:val="en-US"/>
        </w:rPr>
        <w:t xml:space="preserve">) </w:t>
      </w:r>
      <w:r>
        <w:rPr>
          <w:rFonts w:ascii="Arial" w:hAnsi="Arial"/>
          <w:lang w:val="en-US"/>
        </w:rPr>
        <w:t xml:space="preserve">was dissolved in 0.1N NaOH and added to the culture medium to a final concentration of 10 nM. CORT </w:t>
      </w:r>
      <w:r>
        <w:rPr>
          <w:rFonts w:ascii="Arial" w:hAnsi="Arial"/>
          <w:lang w:val="en-US"/>
        </w:rPr>
        <w:t>(C2505, SIGMA)</w:t>
      </w:r>
      <w:r>
        <w:rPr>
          <w:rFonts w:ascii="Arial" w:hAnsi="Arial"/>
          <w:lang w:val="en-US"/>
        </w:rPr>
        <w:t xml:space="preserve"> was dissolved in 100% DMSO </w:t>
      </w:r>
      <w:r>
        <w:rPr>
          <w:rFonts w:ascii="Arial" w:hAnsi="Arial"/>
          <w:lang w:val="en-US"/>
        </w:rPr>
        <w:t>(D8418, SIGMA)</w:t>
      </w:r>
      <w:r>
        <w:rPr>
          <w:rFonts w:ascii="Arial" w:hAnsi="Arial"/>
          <w:lang w:val="en-US"/>
        </w:rPr>
        <w:t xml:space="preserve">, and added to the culture medium </w:t>
      </w:r>
      <w:r>
        <w:rPr>
          <w:rFonts w:ascii="Arial" w:hAnsi="Arial"/>
          <w:lang w:val="en-US"/>
        </w:rPr>
        <w:t>or the tank</w:t>
      </w:r>
      <w:r>
        <w:rPr>
          <w:rFonts w:ascii="Arial" w:hAnsi="Arial"/>
          <w:lang w:val="en-US"/>
        </w:rPr>
        <w:t xml:space="preserve"> to a final concentration of 100 nM. All treatments received an equivalent amount of DMSO vehicle (0.001%).</w:t>
      </w:r>
    </w:p>
    <w:p>
      <w:pPr>
        <w:pStyle w:val="style2"/>
        <w:numPr>
          <w:ilvl w:val="8"/>
          <w:numId w:val="1"/>
        </w:numPr>
        <w:spacing w:line="360" w:lineRule="auto"/>
        <w:rPr>
          <w:rFonts w:ascii="Arial" w:hAnsi="Arial"/>
          <w:lang w:val="en-US"/>
        </w:rPr>
      </w:pPr>
      <w:bookmarkStart w:id="0" w:name="h.t8xw34t6tcl0"/>
      <w:bookmarkEnd w:id="0"/>
      <w:r>
        <w:rPr>
          <w:rFonts w:ascii="Arial" w:hAnsi="Arial"/>
          <w:lang w:val="en-US"/>
        </w:rPr>
        <w:t>Hindlimb culture</w:t>
      </w:r>
    </w:p>
    <w:p>
      <w:pPr>
        <w:pStyle w:val="style31"/>
        <w:spacing w:line="360" w:lineRule="auto"/>
        <w:rPr>
          <w:rFonts w:ascii="Arial" w:hAnsi="Arial"/>
          <w:lang w:val="en-US"/>
        </w:rPr>
      </w:pPr>
      <w:r>
        <w:rPr>
          <w:rFonts w:ascii="Arial" w:hAnsi="Arial"/>
          <w:lang w:val="en-US"/>
        </w:rPr>
        <w:t xml:space="preserve">Hindlimb explant cultures were carried out in order to investigate the peripheral effects of TH and GC on a developing tissue. We dissected Nieuwkoop-Faber stage 52-54 </w:t>
      </w:r>
      <w:r>
        <w:rPr>
          <w:rFonts w:ascii="Arial" w:hAnsi="Arial"/>
          <w:i/>
          <w:iCs/>
          <w:lang w:val="en-US"/>
        </w:rPr>
        <w:t>X. tropicalis</w:t>
      </w:r>
      <w:r>
        <w:rPr>
          <w:rFonts w:ascii="Arial" w:hAnsi="Arial"/>
          <w:lang w:val="en-US"/>
        </w:rPr>
        <w:t xml:space="preserve"> tadpoles anesthetized on ice. The hind limb buds were amputated just above the bud and separated from the tail by resection. Special care was taken not to separate the two buds or damage the tissue between them. The pairs of hind limb buds were then dipped in 100% ethanol and washed with 65% L15 </w:t>
      </w:r>
      <w:r>
        <w:rPr>
          <w:rFonts w:ascii="Arial" w:hAnsi="Arial"/>
          <w:lang w:val="en-US"/>
        </w:rPr>
        <w:t>(11415-049, GIBCO</w:t>
      </w:r>
      <w:r>
        <w:rPr>
          <w:rFonts w:ascii="Arial" w:hAnsi="Arial"/>
          <w:lang w:val="en-US"/>
        </w:rPr>
        <w:t xml:space="preserve">) + antibiotic/antimycotic </w:t>
      </w:r>
      <w:r>
        <w:rPr>
          <w:rFonts w:ascii="Arial" w:hAnsi="Arial"/>
          <w:lang w:val="en-US"/>
        </w:rPr>
        <w:t>(15240-96, GIBCO</w:t>
      </w:r>
      <w:r>
        <w:rPr>
          <w:rFonts w:ascii="Arial" w:hAnsi="Arial"/>
          <w:lang w:val="en-US"/>
        </w:rPr>
        <w:t xml:space="preserve">). Each pair of hindlimbs were then cultured in 24 wells culture plates </w:t>
      </w:r>
      <w:r>
        <w:rPr>
          <w:rFonts w:ascii="Arial" w:hAnsi="Arial"/>
          <w:lang w:val="en-US"/>
        </w:rPr>
        <w:t>(FALCON)</w:t>
      </w:r>
      <w:r>
        <w:rPr>
          <w:rFonts w:ascii="Arial" w:hAnsi="Arial"/>
          <w:lang w:val="en-US"/>
        </w:rPr>
        <w:t>, with 1 ml 65% L15 + antibiotic/antimycotic and T</w:t>
      </w:r>
      <w:r>
        <w:rPr>
          <w:rFonts w:ascii="Arial" w:hAnsi="Arial"/>
          <w:vertAlign w:val="subscript"/>
          <w:lang w:val="en-US"/>
        </w:rPr>
        <w:t>3</w:t>
      </w:r>
      <w:r>
        <w:rPr>
          <w:rFonts w:ascii="Arial" w:hAnsi="Arial"/>
          <w:lang w:val="en-US"/>
        </w:rPr>
        <w:t xml:space="preserve"> and/or CORT at 24</w:t>
      </w:r>
      <w:r>
        <w:rPr>
          <w:rFonts w:ascii="Arial" w:hAnsi="Arial"/>
          <w:lang w:val="en-US"/>
        </w:rPr>
        <w:t>°</w:t>
      </w:r>
      <w:r>
        <w:rPr>
          <w:rFonts w:ascii="Arial" w:hAnsi="Arial"/>
          <w:lang w:val="en-US"/>
        </w:rPr>
        <w:t xml:space="preserve">C, protected from light. For each treatment, 5 hind limb buds were used. After 24 hours, the hind limb buds were dissected from the mass of tissue, snap frozen in liquid nitrogen, and stored at -80C. Three independent biological replicates were used for </w:t>
      </w:r>
      <w:r>
        <w:rPr>
          <w:rFonts w:ascii="Arial" w:hAnsi="Arial"/>
          <w:lang w:val="en-US"/>
        </w:rPr>
        <w:t>the RNA-Seq and three independent replicates were used for RT-qPCR validations</w:t>
      </w:r>
      <w:r>
        <w:rPr>
          <w:rFonts w:ascii="Arial" w:hAnsi="Arial"/>
          <w:lang w:val="en-US"/>
        </w:rPr>
        <w:t>.</w:t>
      </w:r>
    </w:p>
    <w:p>
      <w:pPr>
        <w:pStyle w:val="style2"/>
        <w:numPr>
          <w:ilvl w:val="8"/>
          <w:numId w:val="1"/>
        </w:numPr>
        <w:spacing w:line="360" w:lineRule="auto"/>
        <w:rPr>
          <w:rFonts w:ascii="Arial" w:hAnsi="Arial"/>
          <w:lang w:val="en-US"/>
        </w:rPr>
      </w:pPr>
      <w:bookmarkStart w:id="1" w:name="h.xzpzvf2xkev"/>
      <w:bookmarkEnd w:id="1"/>
      <w:r>
        <w:rPr>
          <w:rFonts w:ascii="Arial" w:hAnsi="Arial"/>
          <w:lang w:val="en-US"/>
        </w:rPr>
        <w:t>RNA isolation and gene expression assessment</w:t>
      </w:r>
    </w:p>
    <w:p>
      <w:pPr>
        <w:pStyle w:val="style31"/>
        <w:spacing w:line="360" w:lineRule="auto"/>
        <w:rPr>
          <w:rFonts w:ascii="Arial" w:hAnsi="Arial"/>
          <w:lang w:val="en-US"/>
        </w:rPr>
      </w:pPr>
      <w:r>
        <w:rPr>
          <w:rFonts w:ascii="Arial" w:hAnsi="Arial"/>
          <w:lang w:val="en-US"/>
        </w:rPr>
        <w:t xml:space="preserve">The tissues from </w:t>
      </w:r>
      <w:r>
        <w:rPr>
          <w:rFonts w:ascii="Arial" w:hAnsi="Arial"/>
          <w:lang w:val="en-US"/>
        </w:rPr>
        <w:t>either</w:t>
      </w:r>
      <w:r>
        <w:rPr>
          <w:rFonts w:ascii="Arial" w:hAnsi="Arial"/>
          <w:lang w:val="en-US"/>
        </w:rPr>
        <w:t xml:space="preserve"> cultured hindlimb buds </w:t>
      </w:r>
      <w:r>
        <w:rPr>
          <w:rFonts w:ascii="Arial" w:hAnsi="Arial"/>
          <w:lang w:val="en-US"/>
        </w:rPr>
        <w:t>or whole tadpoles</w:t>
      </w:r>
      <w:r>
        <w:rPr>
          <w:rFonts w:ascii="Arial" w:hAnsi="Arial"/>
          <w:lang w:val="en-US"/>
        </w:rPr>
        <w:t xml:space="preserve"> were </w:t>
      </w:r>
      <w:r>
        <w:rPr>
          <w:rFonts w:ascii="Arial" w:hAnsi="Arial"/>
          <w:lang w:val="en-US"/>
        </w:rPr>
        <w:t xml:space="preserve">processed as described in </w:t>
      </w:r>
      <w:r>
        <w:rPr>
          <w:rStyle w:val="style26"/>
          <w:rFonts w:ascii="Arial" w:hAnsi="Arial"/>
          <w:lang w:val="en-US"/>
        </w:rPr>
        <w:t>[14]</w:t>
      </w:r>
      <w:r>
        <w:rPr>
          <w:rFonts w:ascii="Arial" w:hAnsi="Arial"/>
          <w:lang w:val="en-US"/>
        </w:rPr>
        <w:t>⁠</w:t>
      </w:r>
      <w:r>
        <w:rPr>
          <w:rFonts w:ascii="Arial" w:hAnsi="Arial"/>
          <w:lang w:val="en-US"/>
        </w:rPr>
        <w:t xml:space="preserve">. </w:t>
      </w:r>
      <w:r>
        <w:rPr>
          <w:rFonts w:ascii="Arial" w:hAnsi="Arial"/>
          <w:lang w:val="en-US"/>
        </w:rPr>
        <w:t xml:space="preserve">The endogenous control </w:t>
      </w:r>
      <w:r>
        <w:rPr>
          <w:rStyle w:val="style17"/>
          <w:rFonts w:ascii="Arial" w:hAnsi="Arial"/>
          <w:lang w:val="en-US"/>
        </w:rPr>
        <w:t>rpl8</w:t>
      </w:r>
      <w:r>
        <w:rPr>
          <w:rFonts w:ascii="Arial" w:hAnsi="Arial"/>
          <w:lang w:val="en-US"/>
        </w:rPr>
        <w:t xml:space="preserve"> was selected based on NormFinder </w:t>
      </w:r>
      <w:r>
        <w:rPr>
          <w:rStyle w:val="style26"/>
          <w:rFonts w:ascii="Arial" w:hAnsi="Arial"/>
          <w:shd w:fill="auto" w:val="clear"/>
          <w:lang w:val="en-US"/>
        </w:rPr>
        <w:t>[15]</w:t>
      </w:r>
      <w:r>
        <w:rPr>
          <w:rFonts w:ascii="Arial" w:hAnsi="Arial"/>
          <w:lang w:val="en-US"/>
        </w:rPr>
        <w:t>analysis of a panel of candidates genes.</w:t>
      </w:r>
      <w:r>
        <w:rPr>
          <w:rFonts w:ascii="Arial" w:hAnsi="Arial"/>
          <w:lang w:val="en-US"/>
        </w:rPr>
        <w:t xml:space="preserve"> </w:t>
      </w:r>
      <w:r>
        <w:rPr>
          <w:rFonts w:ascii="Arial" w:hAnsi="Arial"/>
          <w:lang w:val="en-US"/>
        </w:rPr>
        <w:t>R</w:t>
      </w:r>
      <w:r>
        <w:rPr>
          <w:rFonts w:ascii="Arial" w:hAnsi="Arial"/>
          <w:lang w:val="en-US"/>
        </w:rPr>
        <w:t>aw results were processed using the -2</w:t>
      </w:r>
      <w:r>
        <w:rPr>
          <w:rFonts w:ascii="Arial" w:cs="Droid Serif" w:eastAsia="Droid Serif" w:hAnsi="Arial"/>
          <w:vertAlign w:val="superscript"/>
          <w:lang w:val="en-US"/>
        </w:rPr>
        <w:t>ΔΔ</w:t>
      </w:r>
      <w:r>
        <w:rPr>
          <w:rFonts w:ascii="Arial" w:hAnsi="Arial"/>
          <w:vertAlign w:val="superscript"/>
          <w:lang w:val="en-US"/>
        </w:rPr>
        <w:t>Ct</w:t>
      </w:r>
      <w:r>
        <w:rPr>
          <w:rFonts w:ascii="Arial" w:hAnsi="Arial"/>
          <w:lang w:val="en-US"/>
        </w:rPr>
        <w:t xml:space="preserve"> method: </w:t>
      </w:r>
      <w:r>
        <w:rPr>
          <w:rFonts w:ascii="Arial" w:hAnsi="Arial"/>
          <w:lang w:val="en-US"/>
        </w:rPr>
        <w:t>D</w:t>
      </w:r>
      <w:r>
        <w:rPr>
          <w:rFonts w:ascii="Arial" w:hAnsi="Arial"/>
          <w:lang w:val="en-US"/>
        </w:rPr>
        <w:t xml:space="preserve">ata </w:t>
      </w:r>
      <w:r>
        <w:rPr>
          <w:rFonts w:ascii="Arial" w:hAnsi="Arial"/>
          <w:lang w:val="en-US"/>
        </w:rPr>
        <w:t>were</w:t>
      </w:r>
      <w:r>
        <w:rPr>
          <w:rFonts w:ascii="Arial" w:hAnsi="Arial"/>
          <w:lang w:val="en-US"/>
        </w:rPr>
        <w:t xml:space="preserve"> normalized on the endogenous control </w:t>
      </w:r>
      <w:r>
        <w:rPr>
          <w:rStyle w:val="style17"/>
          <w:rFonts w:ascii="Arial" w:hAnsi="Arial"/>
          <w:lang w:val="en-US"/>
        </w:rPr>
        <w:t xml:space="preserve">rpl8 </w:t>
      </w:r>
      <w:r>
        <w:rPr>
          <w:rFonts w:ascii="Arial" w:hAnsi="Arial"/>
          <w:lang w:val="en-US"/>
        </w:rPr>
        <w:t>(</w:t>
      </w:r>
      <w:r>
        <w:rPr>
          <w:rFonts w:ascii="Arial" w:cs="Droid Serif" w:eastAsia="Droid Serif" w:hAnsi="Arial"/>
          <w:lang w:val="en-US"/>
        </w:rPr>
        <w:t>Δ</w:t>
      </w:r>
      <w:r>
        <w:rPr>
          <w:rFonts w:ascii="Arial" w:hAnsi="Arial"/>
          <w:lang w:val="en-US"/>
        </w:rPr>
        <w:t>Ct)</w:t>
      </w:r>
      <w:r>
        <w:rPr>
          <w:rFonts w:ascii="Arial" w:hAnsi="Arial"/>
          <w:i/>
          <w:iCs/>
          <w:lang w:val="en-US"/>
        </w:rPr>
        <w:t>.</w:t>
      </w:r>
      <w:r>
        <w:rPr>
          <w:rFonts w:ascii="Arial" w:hAnsi="Arial"/>
          <w:lang w:val="en-US"/>
        </w:rPr>
        <w:t xml:space="preserve"> </w:t>
      </w:r>
      <w:r>
        <w:rPr>
          <w:rFonts w:ascii="Arial" w:hAnsi="Arial"/>
          <w:lang w:val="en-US"/>
        </w:rPr>
        <w:t>F</w:t>
      </w:r>
      <w:r>
        <w:rPr>
          <w:rFonts w:ascii="Arial" w:hAnsi="Arial"/>
          <w:lang w:val="en-US"/>
        </w:rPr>
        <w:t>or each treatment (T</w:t>
      </w:r>
      <w:r>
        <w:rPr>
          <w:rFonts w:ascii="Arial" w:hAnsi="Arial"/>
          <w:vertAlign w:val="subscript"/>
          <w:lang w:val="en-US"/>
        </w:rPr>
        <w:t>3</w:t>
      </w:r>
      <w:r>
        <w:rPr>
          <w:rFonts w:ascii="Arial" w:hAnsi="Arial"/>
          <w:lang w:val="en-US"/>
        </w:rPr>
        <w:t>, CORT, T</w:t>
      </w:r>
      <w:r>
        <w:rPr>
          <w:rFonts w:ascii="Arial" w:hAnsi="Arial"/>
          <w:vertAlign w:val="subscript"/>
          <w:lang w:val="en-US"/>
        </w:rPr>
        <w:t>3</w:t>
      </w:r>
      <w:r>
        <w:rPr>
          <w:rFonts w:ascii="Arial" w:hAnsi="Arial"/>
          <w:lang w:val="en-US"/>
        </w:rPr>
        <w:t xml:space="preserve">+CORT), </w:t>
      </w:r>
      <w:r>
        <w:rPr>
          <w:rFonts w:ascii="Arial" w:cs="Droid Serif" w:eastAsia="Droid Serif" w:hAnsi="Arial"/>
          <w:lang w:val="en-US"/>
        </w:rPr>
        <w:t>Δ</w:t>
      </w:r>
      <w:r>
        <w:rPr>
          <w:rFonts w:ascii="Arial" w:hAnsi="Arial"/>
          <w:lang w:val="en-US"/>
        </w:rPr>
        <w:t xml:space="preserve">Ct </w:t>
      </w:r>
      <w:r>
        <w:rPr>
          <w:rFonts w:ascii="Arial" w:hAnsi="Arial"/>
          <w:lang w:val="en-US"/>
        </w:rPr>
        <w:t>were</w:t>
      </w:r>
      <w:r>
        <w:rPr>
          <w:rFonts w:ascii="Arial" w:hAnsi="Arial"/>
          <w:lang w:val="en-US"/>
        </w:rPr>
        <w:t xml:space="preserve"> normalized on the non-treated control. </w:t>
      </w:r>
      <w:r>
        <w:rPr>
          <w:rFonts w:ascii="Arial" w:hAnsi="Arial"/>
          <w:lang w:val="en-US"/>
        </w:rPr>
        <w:t>R</w:t>
      </w:r>
      <w:r>
        <w:rPr>
          <w:rFonts w:ascii="Arial" w:hAnsi="Arial"/>
          <w:lang w:val="en-US"/>
        </w:rPr>
        <w:t>esulting value</w:t>
      </w:r>
      <w:r>
        <w:rPr>
          <w:rFonts w:ascii="Arial" w:hAnsi="Arial"/>
          <w:lang w:val="en-US"/>
        </w:rPr>
        <w:t>s</w:t>
      </w:r>
      <w:r>
        <w:rPr>
          <w:rFonts w:ascii="Arial" w:hAnsi="Arial"/>
          <w:lang w:val="en-US"/>
        </w:rPr>
        <w:t xml:space="preserve"> corresponds to </w:t>
      </w:r>
      <w:r>
        <w:rPr>
          <w:rFonts w:ascii="Arial" w:hAnsi="Arial"/>
          <w:lang w:val="en-US"/>
        </w:rPr>
        <w:t>the</w:t>
      </w:r>
      <w:r>
        <w:rPr>
          <w:rFonts w:ascii="Arial" w:hAnsi="Arial"/>
          <w:lang w:val="en-US"/>
        </w:rPr>
        <w:t xml:space="preserve"> expression fold-change compared to the non-treated control. </w:t>
      </w:r>
      <w:r>
        <w:rPr>
          <w:rFonts w:ascii="Arial" w:hAnsi="Arial"/>
          <w:lang w:val="en-US"/>
        </w:rPr>
        <w:t xml:space="preserve">Statistical significance was addressed with a two-tailed student </w:t>
      </w:r>
      <w:r>
        <w:rPr>
          <w:rFonts w:ascii="Arial" w:hAnsi="Arial"/>
          <w:i/>
          <w:iCs/>
          <w:lang w:val="en-US"/>
        </w:rPr>
        <w:t>t</w:t>
      </w:r>
      <w:r>
        <w:rPr>
          <w:rFonts w:ascii="Arial" w:hAnsi="Arial"/>
          <w:lang w:val="en-US"/>
        </w:rPr>
        <w:t>-test.</w:t>
      </w:r>
    </w:p>
    <w:p>
      <w:pPr>
        <w:pStyle w:val="style2"/>
        <w:numPr>
          <w:ilvl w:val="8"/>
          <w:numId w:val="1"/>
        </w:numPr>
        <w:spacing w:line="360" w:lineRule="auto"/>
        <w:rPr>
          <w:rFonts w:ascii="Arial" w:hAnsi="Arial"/>
          <w:lang w:val="en-US"/>
        </w:rPr>
      </w:pPr>
      <w:bookmarkStart w:id="2" w:name="h.sg6hdj86hcwx"/>
      <w:bookmarkEnd w:id="2"/>
      <w:r>
        <w:rPr>
          <w:rFonts w:ascii="Arial" w:hAnsi="Arial"/>
          <w:lang w:val="en-US"/>
        </w:rPr>
        <w:t>RNA-Seq data processing</w:t>
      </w:r>
    </w:p>
    <w:p>
      <w:pPr>
        <w:pStyle w:val="style31"/>
        <w:spacing w:line="360" w:lineRule="auto"/>
        <w:ind w:hanging="0" w:left="0" w:right="0"/>
        <w:rPr>
          <w:rFonts w:ascii="Arial" w:hAnsi="Arial"/>
          <w:lang w:val="en-US"/>
        </w:rPr>
      </w:pPr>
      <w:r>
        <w:rPr>
          <w:rFonts w:ascii="Arial" w:hAnsi="Arial"/>
          <w:lang w:val="en-US"/>
        </w:rPr>
        <w:t>S</w:t>
      </w:r>
      <w:r>
        <w:rPr>
          <w:rFonts w:ascii="Arial" w:hAnsi="Arial"/>
          <w:lang w:val="en-US"/>
        </w:rPr>
        <w:t xml:space="preserve">equencing runs </w:t>
      </w:r>
      <w:r>
        <w:rPr>
          <w:rFonts w:ascii="Arial" w:hAnsi="Arial"/>
          <w:lang w:val="en-US"/>
        </w:rPr>
        <w:t>quality</w:t>
      </w:r>
      <w:r>
        <w:rPr>
          <w:rFonts w:ascii="Arial" w:hAnsi="Arial"/>
          <w:lang w:val="en-US"/>
        </w:rPr>
        <w:t xml:space="preserve"> was assessed with the FASTQC toolkit </w:t>
      </w:r>
      <w:r>
        <w:rPr>
          <w:rFonts w:ascii="Arial" w:hAnsi="Arial"/>
          <w:lang w:val="en-US"/>
        </w:rPr>
        <w:t>(</w:t>
      </w:r>
      <w:hyperlink r:id="rId2">
        <w:r>
          <w:rPr>
            <w:rStyle w:val="style19"/>
          </w:rPr>
          <w:t>http://www.bioinformatics.babraham.ac.uk/projects/fastqc/</w:t>
        </w:r>
      </w:hyperlink>
      <w:hyperlink r:id="rId3">
        <w:r>
          <w:rPr>
            <w:rStyle w:val="style19"/>
          </w:rPr>
          <w:t>)</w:t>
        </w:r>
      </w:hyperlink>
      <w:r>
        <w:rPr>
          <w:rFonts w:ascii="Arial" w:hAnsi="Arial"/>
          <w:lang w:val="en-US"/>
        </w:rPr>
        <w:t xml:space="preserve">. </w:t>
      </w:r>
      <w:r>
        <w:rPr>
          <w:rFonts w:ascii="Arial" w:hAnsi="Arial"/>
          <w:lang w:val="en-US"/>
        </w:rPr>
        <w:t>R</w:t>
      </w:r>
      <w:r>
        <w:rPr>
          <w:rFonts w:ascii="Arial" w:hAnsi="Arial"/>
          <w:lang w:val="en-US"/>
        </w:rPr>
        <w:t>edundan</w:t>
      </w:r>
      <w:r>
        <w:rPr>
          <w:rFonts w:ascii="Arial" w:hAnsi="Arial"/>
          <w:lang w:val="en-US"/>
        </w:rPr>
        <w:t>t reads</w:t>
      </w:r>
      <w:r>
        <w:rPr>
          <w:rFonts w:ascii="Arial" w:hAnsi="Arial"/>
          <w:lang w:val="en-US"/>
        </w:rPr>
        <w:t xml:space="preserve"> w</w:t>
      </w:r>
      <w:r>
        <w:rPr>
          <w:rFonts w:ascii="Arial" w:hAnsi="Arial"/>
          <w:lang w:val="en-US"/>
        </w:rPr>
        <w:t>ere</w:t>
      </w:r>
      <w:r>
        <w:rPr>
          <w:rFonts w:ascii="Arial" w:hAnsi="Arial"/>
          <w:lang w:val="en-US"/>
        </w:rPr>
        <w:t xml:space="preserve"> </w:t>
      </w:r>
      <w:r>
        <w:rPr>
          <w:rFonts w:ascii="Arial" w:hAnsi="Arial"/>
          <w:lang w:val="en-US"/>
        </w:rPr>
        <w:t>filtered</w:t>
      </w:r>
      <w:r>
        <w:rPr>
          <w:rFonts w:ascii="Arial" w:hAnsi="Arial"/>
          <w:lang w:val="en-US"/>
        </w:rPr>
        <w:t xml:space="preserve"> by keeping the </w:t>
      </w:r>
      <w:r>
        <w:rPr>
          <w:rFonts w:ascii="Arial" w:hAnsi="Arial"/>
          <w:lang w:val="en-US"/>
        </w:rPr>
        <w:t>read with the best quality score</w:t>
      </w:r>
      <w:r>
        <w:rPr>
          <w:rFonts w:ascii="Arial" w:hAnsi="Arial"/>
          <w:lang w:val="en-US"/>
        </w:rPr>
        <w:t xml:space="preserve">.  </w:t>
      </w:r>
      <w:r>
        <w:rPr>
          <w:rFonts w:ascii="Arial" w:hAnsi="Arial"/>
          <w:lang w:val="en-US"/>
        </w:rPr>
        <w:t xml:space="preserve">We used </w:t>
      </w:r>
      <w:r>
        <w:rPr>
          <w:rFonts w:ascii="Arial" w:hAnsi="Arial"/>
          <w:i/>
          <w:iCs/>
          <w:lang w:val="en-US"/>
        </w:rPr>
        <w:t xml:space="preserve">fastx </w:t>
      </w:r>
      <w:r>
        <w:rPr>
          <w:rFonts w:ascii="Arial" w:hAnsi="Arial"/>
          <w:lang w:val="en-US"/>
        </w:rPr>
        <w:t>toolkit (v 0.0.13) to clip the 3' end of reads when score dropped below 30 on the Sanger scale (Phred+33).</w:t>
      </w:r>
      <w:r>
        <w:rPr>
          <w:rFonts w:ascii="Arial" w:hAnsi="Arial"/>
          <w:lang w:val="en-US"/>
        </w:rPr>
        <w:t xml:space="preserve"> Preprocessed reads wer</w:t>
      </w:r>
      <w:r>
        <w:rPr>
          <w:rFonts w:ascii="Arial" w:hAnsi="Arial"/>
          <w:lang w:val="en-US"/>
        </w:rPr>
        <w:t>e</w:t>
      </w:r>
      <w:r>
        <w:rPr>
          <w:rFonts w:ascii="Arial" w:hAnsi="Arial"/>
          <w:lang w:val="en-US"/>
        </w:rPr>
        <w:t xml:space="preserve"> mapped on the version 4.1 of the </w:t>
      </w:r>
      <w:r>
        <w:rPr>
          <w:rFonts w:ascii="Arial" w:hAnsi="Arial"/>
          <w:i/>
          <w:iCs/>
          <w:lang w:val="en-US"/>
        </w:rPr>
        <w:t>X. tropicalis</w:t>
      </w:r>
      <w:r>
        <w:rPr>
          <w:rFonts w:ascii="Arial" w:hAnsi="Arial"/>
          <w:lang w:val="en-US"/>
        </w:rPr>
        <w:t xml:space="preserve"> genome</w:t>
      </w:r>
      <w:r>
        <w:rPr>
          <w:rFonts w:ascii="Arial" w:hAnsi="Arial"/>
          <w:shd w:fill="auto" w:val="clear"/>
          <w:lang w:val="en-US"/>
        </w:rPr>
        <w:t xml:space="preserve"> </w:t>
      </w:r>
      <w:r>
        <w:rPr>
          <w:rFonts w:ascii="Arial" w:hAnsi="Arial"/>
          <w:position w:val="0"/>
          <w:sz w:val="24"/>
          <w:shd w:fill="auto" w:val="clear"/>
          <w:vertAlign w:val="baseline"/>
          <w:lang w:val="en-US"/>
        </w:rPr>
        <w:t>(</w:t>
      </w:r>
      <w:r>
        <w:rPr>
          <w:rStyle w:val="style26"/>
          <w:rFonts w:ascii="Arial" w:hAnsi="Arial"/>
          <w:shd w:fill="auto" w:val="clear"/>
          <w:lang w:val="en-US"/>
        </w:rPr>
        <w:t>[16]</w:t>
      </w:r>
      <w:r>
        <w:rPr>
          <w:rFonts w:ascii="Arial" w:hAnsi="Arial"/>
          <w:position w:val="0"/>
          <w:sz w:val="24"/>
          <w:shd w:fill="auto" w:val="clear"/>
          <w:vertAlign w:val="baseline"/>
          <w:lang w:val="en-US"/>
        </w:rPr>
        <w:t>)</w:t>
      </w:r>
      <w:r>
        <w:rPr>
          <w:rFonts w:ascii="Arial" w:hAnsi="Arial"/>
          <w:shd w:fill="auto" w:val="clear"/>
          <w:lang w:val="en-US"/>
        </w:rPr>
        <w:t>⁠</w:t>
      </w:r>
      <w:r>
        <w:rPr>
          <w:rFonts w:ascii="Arial" w:hAnsi="Arial"/>
          <w:lang w:val="en-US"/>
        </w:rPr>
        <w:t xml:space="preserve"> using bowtie 0.12.3 </w:t>
      </w:r>
      <w:r>
        <w:rPr>
          <w:rFonts w:ascii="Arial" w:hAnsi="Arial"/>
          <w:position w:val="0"/>
          <w:sz w:val="24"/>
          <w:vertAlign w:val="baseline"/>
          <w:lang w:val="en-US"/>
        </w:rPr>
        <w:t>(</w:t>
      </w:r>
      <w:r>
        <w:rPr>
          <w:rStyle w:val="style26"/>
          <w:rFonts w:ascii="Arial" w:hAnsi="Arial"/>
          <w:lang w:val="en-US"/>
        </w:rPr>
        <w:t>[17]</w:t>
      </w:r>
      <w:r>
        <w:rPr>
          <w:rFonts w:ascii="Arial" w:hAnsi="Arial"/>
          <w:position w:val="0"/>
          <w:sz w:val="24"/>
          <w:vertAlign w:val="baseline"/>
          <w:lang w:val="en-US"/>
        </w:rPr>
        <w:t>)</w:t>
      </w:r>
      <w:r>
        <w:rPr>
          <w:rFonts w:ascii="Arial" w:hAnsi="Arial"/>
          <w:lang w:val="en-US"/>
        </w:rPr>
        <w:t xml:space="preserve">⁠ with the following parameters: </w:t>
      </w:r>
      <w:r>
        <w:rPr>
          <w:rFonts w:ascii="Arial" w:hAnsi="Arial"/>
          <w:i/>
          <w:iCs/>
          <w:lang w:val="en-US"/>
        </w:rPr>
        <w:t>“-5 10 -m1 -n2 -l28”.</w:t>
      </w:r>
      <w:r>
        <w:rPr>
          <w:rFonts w:ascii="Arial" w:hAnsi="Arial"/>
          <w:i w:val="false"/>
          <w:iCs w:val="false"/>
          <w:lang w:val="en-US"/>
        </w:rPr>
        <w:t xml:space="preserve"> </w:t>
      </w:r>
      <w:r>
        <w:rPr>
          <w:rFonts w:ascii="Arial" w:hAnsi="Arial"/>
          <w:i w:val="false"/>
          <w:iCs w:val="false"/>
          <w:lang w:val="en-US"/>
        </w:rPr>
        <w:t>Gene expression call is based on</w:t>
      </w:r>
      <w:r>
        <w:rPr>
          <w:rFonts w:ascii="Arial" w:hAnsi="Arial"/>
          <w:i/>
          <w:iCs/>
          <w:lang w:val="en-US"/>
        </w:rPr>
        <w:t xml:space="preserve"> </w:t>
      </w:r>
      <w:r>
        <w:rPr>
          <w:rFonts w:ascii="Arial" w:hAnsi="Arial"/>
          <w:lang w:val="en-US"/>
        </w:rPr>
        <w:t xml:space="preserve">models aggregated from </w:t>
      </w:r>
      <w:r>
        <w:rPr>
          <w:rFonts w:ascii="Arial" w:hAnsi="Arial"/>
          <w:lang w:val="en-US"/>
        </w:rPr>
        <w:t>E</w:t>
      </w:r>
      <w:r>
        <w:rPr>
          <w:rFonts w:ascii="Arial" w:hAnsi="Arial"/>
          <w:lang w:val="en-US"/>
        </w:rPr>
        <w:t>nsembl (</w:t>
      </w:r>
      <w:r>
        <w:rPr>
          <w:rFonts w:ascii="Arial" w:hAnsi="Arial"/>
          <w:lang w:val="en-US"/>
        </w:rPr>
        <w:t>version</w:t>
      </w:r>
      <w:r>
        <w:rPr>
          <w:rFonts w:ascii="Arial" w:hAnsi="Arial"/>
          <w:shd w:fill="auto" w:val="clear"/>
          <w:lang w:val="en-US"/>
        </w:rPr>
        <w:t xml:space="preserve"> 61</w:t>
      </w:r>
      <w:r>
        <w:rPr>
          <w:rFonts w:ascii="Arial" w:hAnsi="Arial"/>
          <w:lang w:val="en-US"/>
        </w:rPr>
        <w:t xml:space="preserve">) </w:t>
      </w:r>
      <w:r>
        <w:rPr>
          <w:rFonts w:ascii="Arial" w:hAnsi="Arial"/>
          <w:position w:val="0"/>
          <w:sz w:val="24"/>
          <w:vertAlign w:val="baseline"/>
          <w:lang w:val="en-US"/>
        </w:rPr>
        <w:t>(</w:t>
      </w:r>
      <w:r>
        <w:rPr>
          <w:rStyle w:val="style26"/>
          <w:rFonts w:ascii="Arial" w:hAnsi="Arial"/>
          <w:lang w:val="en-US"/>
        </w:rPr>
        <w:t>[18]</w:t>
      </w:r>
      <w:r>
        <w:rPr>
          <w:rFonts w:ascii="Arial" w:hAnsi="Arial"/>
          <w:position w:val="0"/>
          <w:sz w:val="24"/>
          <w:vertAlign w:val="baseline"/>
          <w:lang w:val="en-US"/>
        </w:rPr>
        <w:t>)</w:t>
      </w:r>
      <w:r>
        <w:rPr>
          <w:rFonts w:ascii="Arial" w:hAnsi="Arial"/>
          <w:lang w:val="en-US"/>
        </w:rPr>
        <w:t xml:space="preserve">⁠ and </w:t>
      </w:r>
      <w:r>
        <w:rPr>
          <w:rFonts w:ascii="Arial" w:hAnsi="Arial"/>
          <w:lang w:val="en-US"/>
        </w:rPr>
        <w:t>X</w:t>
      </w:r>
      <w:r>
        <w:rPr>
          <w:rFonts w:ascii="Arial" w:hAnsi="Arial"/>
          <w:lang w:val="en-US"/>
        </w:rPr>
        <w:t xml:space="preserve">enbase </w:t>
      </w:r>
      <w:r>
        <w:rPr>
          <w:rStyle w:val="style26"/>
          <w:rFonts w:ascii="Arial" w:hAnsi="Arial"/>
          <w:lang w:val="en-US"/>
        </w:rPr>
        <w:t>[19]</w:t>
      </w:r>
      <w:r>
        <w:rPr>
          <w:rFonts w:ascii="Arial" w:hAnsi="Arial"/>
          <w:lang w:val="en-US"/>
        </w:rPr>
        <w:t xml:space="preserve">. Consistency between each replicate was assessed by Principal Component Analysis (PCA): raw read counts were subjected to a variance-stabilization transformation as </w:t>
      </w:r>
      <w:r>
        <w:rPr>
          <w:rFonts w:ascii="Arial" w:hAnsi="Arial"/>
          <w:lang w:val="en-US"/>
        </w:rPr>
        <w:t xml:space="preserve">described in </w:t>
      </w:r>
      <w:r>
        <w:rPr>
          <w:rFonts w:ascii="Arial" w:hAnsi="Arial"/>
          <w:position w:val="0"/>
          <w:sz w:val="24"/>
          <w:vertAlign w:val="baseline"/>
          <w:lang w:val="en-US"/>
        </w:rPr>
        <w:t>(</w:t>
      </w:r>
      <w:r>
        <w:rPr>
          <w:rStyle w:val="style26"/>
          <w:rFonts w:ascii="Arial" w:hAnsi="Arial"/>
          <w:lang w:val="en-US"/>
        </w:rPr>
        <w:t>[20]</w:t>
      </w:r>
      <w:r>
        <w:rPr>
          <w:rFonts w:ascii="Arial" w:hAnsi="Arial"/>
          <w:position w:val="0"/>
          <w:sz w:val="24"/>
          <w:vertAlign w:val="baseline"/>
          <w:lang w:val="en-US"/>
        </w:rPr>
        <w:t>)</w:t>
      </w:r>
      <w:r>
        <w:rPr>
          <w:rFonts w:ascii="Arial" w:hAnsi="Arial"/>
          <w:lang w:val="en-US"/>
        </w:rPr>
        <w:t>⁠</w:t>
      </w:r>
      <w:r>
        <w:rPr>
          <w:rFonts w:ascii="Arial" w:hAnsi="Arial"/>
          <w:lang w:val="en-US"/>
        </w:rPr>
        <w:t xml:space="preserve">, and PCA was applied on the top 1000 most variable genes. </w:t>
      </w:r>
      <w:r>
        <w:rPr>
          <w:rFonts w:ascii="Arial" w:hAnsi="Arial"/>
          <w:lang w:val="en-US"/>
        </w:rPr>
        <w:t>The eigen vector of the c</w:t>
      </w:r>
      <w:r>
        <w:rPr>
          <w:rFonts w:ascii="Arial" w:hAnsi="Arial"/>
          <w:lang w:val="en-US"/>
        </w:rPr>
        <w:t xml:space="preserve">omponent </w:t>
      </w:r>
      <w:r>
        <w:rPr>
          <w:rFonts w:ascii="Arial" w:hAnsi="Arial"/>
          <w:lang w:val="en-US"/>
        </w:rPr>
        <w:t>corresponding to</w:t>
      </w:r>
      <w:r>
        <w:rPr>
          <w:rFonts w:ascii="Arial" w:hAnsi="Arial"/>
          <w:lang w:val="en-US"/>
        </w:rPr>
        <w:t xml:space="preserve"> batch effects (consistent variability between replicates instead of treatments) </w:t>
      </w:r>
      <w:r>
        <w:rPr>
          <w:rFonts w:ascii="Arial" w:hAnsi="Arial"/>
          <w:lang w:val="en-US"/>
        </w:rPr>
        <w:t>was</w:t>
      </w:r>
      <w:r>
        <w:rPr>
          <w:rFonts w:ascii="Arial" w:hAnsi="Arial"/>
          <w:lang w:val="en-US"/>
        </w:rPr>
        <w:t xml:space="preserve"> set to 0 and the dataset reconstructed, resulting in a denoised version of the data. Differential expression between treatments was performed with DESeq </w:t>
      </w:r>
      <w:r>
        <w:rPr>
          <w:rFonts w:ascii="Arial" w:hAnsi="Arial"/>
          <w:position w:val="0"/>
          <w:sz w:val="24"/>
          <w:vertAlign w:val="baseline"/>
          <w:lang w:val="en-US"/>
        </w:rPr>
        <w:t>(</w:t>
      </w:r>
      <w:r>
        <w:rPr>
          <w:rStyle w:val="style26"/>
          <w:rFonts w:ascii="Arial" w:hAnsi="Arial"/>
          <w:i w:val="false"/>
          <w:iCs w:val="false"/>
          <w:lang w:val="en-US"/>
        </w:rPr>
        <w:t>[20]</w:t>
      </w:r>
      <w:r>
        <w:rPr>
          <w:rFonts w:ascii="Arial" w:hAnsi="Arial"/>
          <w:position w:val="0"/>
          <w:sz w:val="24"/>
          <w:vertAlign w:val="baseline"/>
          <w:lang w:val="en-US"/>
        </w:rPr>
        <w:t>)</w:t>
      </w:r>
      <w:r>
        <w:rPr>
          <w:rFonts w:ascii="Arial" w:hAnsi="Arial"/>
          <w:lang w:val="en-US"/>
        </w:rPr>
        <w:t xml:space="preserve">⁠ version 1.12 with the following parameters: </w:t>
      </w:r>
      <w:r>
        <w:rPr>
          <w:rFonts w:ascii="Arial" w:hAnsi="Arial"/>
          <w:i/>
          <w:iCs/>
          <w:lang w:val="en-US"/>
        </w:rPr>
        <w:t>method=”pooled”; sharing-mode=”maximum”; fit-type=”parametric”</w:t>
      </w:r>
      <w:r>
        <w:rPr>
          <w:rFonts w:ascii="Arial" w:hAnsi="Arial"/>
          <w:lang w:val="en-US"/>
        </w:rPr>
        <w:t xml:space="preserve">. </w:t>
      </w:r>
      <w:r>
        <w:rPr>
          <w:rFonts w:ascii="Arial" w:hAnsi="Arial"/>
          <w:lang w:val="en-US"/>
        </w:rPr>
        <w:t>G</w:t>
      </w:r>
      <w:r>
        <w:rPr>
          <w:rFonts w:ascii="Arial" w:hAnsi="Arial"/>
          <w:lang w:val="en-US"/>
        </w:rPr>
        <w:t xml:space="preserve">enes </w:t>
      </w:r>
      <w:r>
        <w:rPr>
          <w:rFonts w:ascii="Arial" w:hAnsi="Arial"/>
          <w:lang w:val="en-US"/>
        </w:rPr>
        <w:t>with low expression value</w:t>
      </w:r>
      <w:r>
        <w:rPr>
          <w:rFonts w:ascii="Arial" w:hAnsi="Arial"/>
          <w:lang w:val="en-US"/>
        </w:rPr>
        <w:t xml:space="preserve"> were </w:t>
      </w:r>
      <w:r>
        <w:rPr>
          <w:rFonts w:ascii="Arial" w:hAnsi="Arial"/>
          <w:lang w:val="en-US"/>
        </w:rPr>
        <w:t>discarded</w:t>
      </w:r>
      <w:r>
        <w:rPr>
          <w:rFonts w:ascii="Arial" w:hAnsi="Arial"/>
          <w:lang w:val="en-US"/>
        </w:rPr>
        <w:t xml:space="preserve"> as described in the DESeq, with </w:t>
      </w:r>
      <w:r>
        <w:rPr>
          <w:rFonts w:ascii="Arial" w:cs="Droid Serif" w:eastAsia="Droid Serif" w:hAnsi="Arial"/>
          <w:i/>
          <w:iCs/>
          <w:lang w:val="en-US"/>
        </w:rPr>
        <w:t>θ</w:t>
      </w:r>
      <w:r>
        <w:rPr>
          <w:rFonts w:ascii="Arial" w:hAnsi="Arial"/>
          <w:lang w:val="en-US"/>
        </w:rPr>
        <w:t xml:space="preserve">=0.4. Genes statistically differentially expressed were called at an FDR of 5%. </w:t>
      </w:r>
      <w:r>
        <w:rPr>
          <w:rFonts w:ascii="Arial" w:hAnsi="Arial"/>
          <w:lang w:val="en-US"/>
        </w:rPr>
        <w:t>G</w:t>
      </w:r>
      <w:r>
        <w:rPr>
          <w:rFonts w:ascii="Arial" w:hAnsi="Arial"/>
          <w:lang w:val="en-US"/>
        </w:rPr>
        <w:t xml:space="preserve">enes </w:t>
      </w:r>
      <w:r>
        <w:rPr>
          <w:rFonts w:ascii="Arial" w:hAnsi="Arial"/>
          <w:lang w:val="en-US"/>
        </w:rPr>
        <w:t>were grouped in 81 clusters according to their expression profiles.</w:t>
      </w:r>
      <w:r>
        <w:rPr>
          <w:rFonts w:ascii="Arial" w:hAnsi="Arial"/>
          <w:lang w:val="en-US"/>
        </w:rPr>
        <w:t xml:space="preserve"> </w:t>
      </w:r>
      <w:r>
        <w:rPr>
          <w:rFonts w:ascii="Arial" w:hAnsi="Arial"/>
          <w:lang w:val="en-US"/>
        </w:rPr>
        <w:t>We used</w:t>
      </w:r>
      <w:r>
        <w:rPr>
          <w:rFonts w:ascii="Arial" w:hAnsi="Arial"/>
          <w:lang w:val="en-US"/>
        </w:rPr>
        <w:t xml:space="preserve"> fuzzy c-mean clustering, a method akin to k-mean clustering but less sensitive to noise, using the mfuzz package </w:t>
      </w:r>
      <w:r>
        <w:rPr>
          <w:rFonts w:ascii="Arial" w:hAnsi="Arial"/>
          <w:position w:val="0"/>
          <w:sz w:val="24"/>
          <w:vertAlign w:val="baseline"/>
          <w:lang w:val="en-US"/>
        </w:rPr>
        <w:t>(</w:t>
      </w:r>
      <w:r>
        <w:rPr>
          <w:rStyle w:val="style26"/>
          <w:rFonts w:ascii="Arial" w:hAnsi="Arial"/>
          <w:lang w:val="en-US"/>
        </w:rPr>
        <w:t>[21]</w:t>
      </w:r>
      <w:r>
        <w:rPr>
          <w:rFonts w:ascii="Arial" w:hAnsi="Arial"/>
          <w:position w:val="0"/>
          <w:sz w:val="24"/>
          <w:vertAlign w:val="baseline"/>
          <w:lang w:val="en-US"/>
        </w:rPr>
        <w:t>)</w:t>
      </w:r>
      <w:r>
        <w:rPr>
          <w:rFonts w:ascii="Arial" w:hAnsi="Arial"/>
          <w:lang w:val="en-US"/>
        </w:rPr>
        <w:t xml:space="preserve">⁠. </w:t>
      </w:r>
      <w:r>
        <w:rPr>
          <w:rFonts w:ascii="Arial" w:hAnsi="Arial"/>
          <w:lang w:val="en-US"/>
        </w:rPr>
        <w:t>We kept clusters corresponding to interactions between T</w:t>
      </w:r>
      <w:r>
        <w:rPr>
          <w:rFonts w:ascii="Arial" w:hAnsi="Arial"/>
          <w:vertAlign w:val="subscript"/>
          <w:lang w:val="en-US"/>
        </w:rPr>
        <w:t>3</w:t>
      </w:r>
      <w:r>
        <w:rPr>
          <w:rFonts w:ascii="Arial" w:hAnsi="Arial"/>
          <w:lang w:val="en-US"/>
        </w:rPr>
        <w:t xml:space="preserve"> and CORT, and discarded the others.</w:t>
      </w:r>
      <w:r>
        <w:rPr>
          <w:rFonts w:ascii="Arial" w:hAnsi="Arial"/>
          <w:lang w:val="en-US"/>
        </w:rPr>
        <w:t xml:space="preserve"> “</w:t>
      </w:r>
      <w:r>
        <w:rPr>
          <w:rFonts w:ascii="Arial" w:hAnsi="Arial"/>
          <w:lang w:val="en-US"/>
        </w:rPr>
        <w:t>A</w:t>
      </w:r>
      <w:r>
        <w:rPr>
          <w:rFonts w:ascii="Arial" w:hAnsi="Arial"/>
          <w:lang w:val="en-US"/>
        </w:rPr>
        <w:t>ntagonistic” genes and “potentiat</w:t>
      </w:r>
      <w:r>
        <w:rPr>
          <w:rFonts w:ascii="Arial" w:hAnsi="Arial"/>
          <w:lang w:val="en-US"/>
        </w:rPr>
        <w:t>ed</w:t>
      </w:r>
      <w:r>
        <w:rPr>
          <w:rFonts w:ascii="Arial" w:hAnsi="Arial"/>
          <w:lang w:val="en-US"/>
        </w:rPr>
        <w:t xml:space="preserve">” genes were distinguished in two lists, and subjected to a final round of clustering </w:t>
      </w:r>
      <w:r>
        <w:rPr>
          <w:rFonts w:ascii="Arial" w:hAnsi="Arial"/>
          <w:lang w:val="en-US"/>
        </w:rPr>
        <w:t>to cancel out over-clustering</w:t>
      </w:r>
      <w:r>
        <w:rPr>
          <w:rFonts w:ascii="Arial" w:hAnsi="Arial"/>
          <w:lang w:val="en-US"/>
        </w:rPr>
        <w:t xml:space="preserve">. </w:t>
      </w:r>
      <w:r>
        <w:rPr>
          <w:rFonts w:ascii="Arial" w:hAnsi="Arial"/>
          <w:lang w:val="en-US"/>
        </w:rPr>
        <w:t>Culture effects were removed by</w:t>
      </w:r>
      <w:r>
        <w:rPr>
          <w:rFonts w:ascii="Arial" w:hAnsi="Arial"/>
          <w:lang w:val="en-US"/>
        </w:rPr>
        <w:t xml:space="preserve"> </w:t>
      </w:r>
      <w:r>
        <w:rPr>
          <w:rFonts w:ascii="Arial" w:hAnsi="Arial"/>
          <w:lang w:val="en-US"/>
        </w:rPr>
        <w:t>filtering out</w:t>
      </w:r>
      <w:r>
        <w:rPr>
          <w:rFonts w:ascii="Arial" w:hAnsi="Arial"/>
          <w:lang w:val="en-US"/>
        </w:rPr>
        <w:t xml:space="preserve"> </w:t>
      </w:r>
      <w:r>
        <w:rPr>
          <w:rFonts w:ascii="Arial" w:hAnsi="Arial"/>
          <w:lang w:val="en-US"/>
        </w:rPr>
        <w:t>genes</w:t>
      </w:r>
      <w:r>
        <w:rPr>
          <w:rFonts w:ascii="Arial" w:hAnsi="Arial"/>
          <w:lang w:val="en-US"/>
        </w:rPr>
        <w:t xml:space="preserve"> </w:t>
      </w:r>
      <w:r>
        <w:rPr>
          <w:rFonts w:ascii="Arial" w:hAnsi="Arial"/>
          <w:lang w:val="en-US"/>
        </w:rPr>
        <w:t xml:space="preserve">with similar </w:t>
      </w:r>
      <w:r>
        <w:rPr>
          <w:rFonts w:ascii="Arial" w:hAnsi="Arial"/>
          <w:lang w:val="en-US"/>
        </w:rPr>
        <w:t xml:space="preserve">expression </w:t>
      </w:r>
      <w:r>
        <w:rPr>
          <w:rFonts w:ascii="Arial" w:hAnsi="Arial"/>
          <w:lang w:val="en-US"/>
        </w:rPr>
        <w:t>profiles</w:t>
      </w:r>
      <w:r>
        <w:rPr>
          <w:rFonts w:ascii="Arial" w:hAnsi="Arial"/>
          <w:lang w:val="en-US"/>
        </w:rPr>
        <w:t xml:space="preserve"> in hindlimb buds </w:t>
      </w:r>
      <w:r>
        <w:rPr>
          <w:rFonts w:ascii="Arial" w:hAnsi="Arial"/>
          <w:lang w:val="en-US"/>
        </w:rPr>
        <w:t>and</w:t>
      </w:r>
      <w:r>
        <w:rPr>
          <w:rFonts w:ascii="Arial" w:hAnsi="Arial"/>
          <w:lang w:val="en-US"/>
        </w:rPr>
        <w:t xml:space="preserve"> whole tadpoles. </w:t>
      </w:r>
      <w:r>
        <w:rPr>
          <w:rFonts w:ascii="Arial" w:hAnsi="Arial"/>
          <w:lang w:val="en-US"/>
        </w:rPr>
        <w:t>Functional annotation and</w:t>
      </w:r>
      <w:r>
        <w:rPr>
          <w:rFonts w:ascii="Arial" w:hAnsi="Arial"/>
          <w:lang w:val="en-US"/>
        </w:rPr>
        <w:t xml:space="preserve"> biological “contexts” (tissues, pathologies, biological processes) </w:t>
      </w:r>
      <w:r>
        <w:rPr>
          <w:rFonts w:ascii="Arial" w:hAnsi="Arial"/>
          <w:lang w:val="en-US"/>
        </w:rPr>
        <w:t>are</w:t>
      </w:r>
      <w:r>
        <w:rPr>
          <w:rFonts w:ascii="Arial" w:hAnsi="Arial"/>
          <w:lang w:val="en-US"/>
        </w:rPr>
        <w:t xml:space="preserve"> based on manual curation of NCBI gene database (</w:t>
      </w:r>
      <w:hyperlink r:id="rId4">
        <w:r>
          <w:rPr>
            <w:rStyle w:val="style19"/>
            <w:rFonts w:ascii="Arial" w:hAnsi="Arial"/>
            <w:shd w:fill="auto" w:val="clear"/>
            <w:lang w:val="en-US"/>
          </w:rPr>
          <w:t>http://www.ncbi.nlm.nih.gov/gene</w:t>
        </w:r>
      </w:hyperlink>
      <w:r>
        <w:rPr>
          <w:rFonts w:ascii="Arial" w:hAnsi="Arial"/>
          <w:lang w:val="en-US"/>
        </w:rPr>
        <w:t xml:space="preserve">), the HuGe Navigator database </w:t>
      </w:r>
      <w:r>
        <w:rPr>
          <w:rFonts w:ascii="Arial" w:hAnsi="Arial"/>
          <w:position w:val="0"/>
          <w:sz w:val="24"/>
          <w:vertAlign w:val="baseline"/>
          <w:lang w:val="en-US"/>
        </w:rPr>
        <w:t>(</w:t>
      </w:r>
      <w:r>
        <w:rPr>
          <w:rStyle w:val="style26"/>
          <w:rFonts w:ascii="Arial" w:hAnsi="Arial"/>
          <w:lang w:val="en-US"/>
        </w:rPr>
        <w:t>[22]</w:t>
      </w:r>
      <w:r>
        <w:rPr>
          <w:rFonts w:ascii="Arial" w:hAnsi="Arial"/>
          <w:position w:val="0"/>
          <w:sz w:val="24"/>
          <w:vertAlign w:val="baseline"/>
          <w:lang w:val="en-US"/>
        </w:rPr>
        <w:t>)</w:t>
      </w:r>
      <w:r>
        <w:rPr>
          <w:rFonts w:ascii="Arial" w:hAnsi="Arial"/>
          <w:lang w:val="en-US"/>
        </w:rPr>
        <w:t xml:space="preserve">⁠, and </w:t>
      </w:r>
      <w:r>
        <w:rPr>
          <w:rFonts w:ascii="Arial" w:hAnsi="Arial"/>
          <w:lang w:val="en-US"/>
        </w:rPr>
        <w:t>literature.</w:t>
      </w:r>
      <w:r>
        <w:rPr>
          <w:rFonts w:ascii="Arial" w:hAnsi="Arial"/>
          <w:lang w:val="en-US"/>
        </w:rPr>
        <w:t xml:space="preserve"> Functional interactions between genes were </w:t>
      </w:r>
      <w:r>
        <w:rPr>
          <w:rFonts w:ascii="Arial" w:hAnsi="Arial"/>
          <w:lang w:val="en-US"/>
        </w:rPr>
        <w:t>collected</w:t>
      </w:r>
      <w:r>
        <w:rPr>
          <w:rFonts w:ascii="Arial" w:hAnsi="Arial"/>
          <w:lang w:val="en-US"/>
        </w:rPr>
        <w:t xml:space="preserve"> from BioGrid </w:t>
      </w:r>
      <w:r>
        <w:rPr>
          <w:rFonts w:ascii="Arial" w:hAnsi="Arial"/>
          <w:position w:val="0"/>
          <w:sz w:val="24"/>
          <w:vertAlign w:val="baseline"/>
          <w:lang w:val="en-US"/>
        </w:rPr>
        <w:t>(</w:t>
      </w:r>
      <w:r>
        <w:rPr>
          <w:rStyle w:val="style26"/>
          <w:rFonts w:ascii="Arial" w:hAnsi="Arial"/>
          <w:lang w:val="en-US"/>
        </w:rPr>
        <w:t>[23]</w:t>
      </w:r>
      <w:r>
        <w:rPr>
          <w:rFonts w:ascii="Arial" w:hAnsi="Arial"/>
          <w:position w:val="0"/>
          <w:sz w:val="24"/>
          <w:vertAlign w:val="baseline"/>
          <w:lang w:val="en-US"/>
        </w:rPr>
        <w:t>)</w:t>
      </w:r>
      <w:r>
        <w:rPr>
          <w:rFonts w:ascii="Arial" w:hAnsi="Arial"/>
          <w:lang w:val="en-US"/>
        </w:rPr>
        <w:t xml:space="preserve">⁠. Automated functional annotation was done using the g:Profiler suite of tools </w:t>
      </w:r>
      <w:r>
        <w:rPr>
          <w:rFonts w:ascii="Arial" w:hAnsi="Arial"/>
          <w:position w:val="0"/>
          <w:sz w:val="24"/>
          <w:vertAlign w:val="baseline"/>
          <w:lang w:val="en-US"/>
        </w:rPr>
        <w:t>(</w:t>
      </w:r>
      <w:r>
        <w:rPr>
          <w:rStyle w:val="style26"/>
          <w:rFonts w:ascii="Arial" w:hAnsi="Arial"/>
          <w:lang w:val="en-US"/>
        </w:rPr>
        <w:t>[24]</w:t>
      </w:r>
      <w:r>
        <w:rPr>
          <w:rFonts w:ascii="Arial" w:hAnsi="Arial"/>
          <w:position w:val="0"/>
          <w:sz w:val="24"/>
          <w:vertAlign w:val="baseline"/>
          <w:lang w:val="en-US"/>
        </w:rPr>
        <w:t>)</w:t>
      </w:r>
      <w:r>
        <w:rPr>
          <w:rFonts w:ascii="Arial" w:hAnsi="Arial"/>
          <w:lang w:val="en-US"/>
        </w:rPr>
        <w:t>⁠.</w:t>
      </w:r>
    </w:p>
    <w:p>
      <w:pPr>
        <w:pStyle w:val="style2"/>
        <w:spacing w:line="360" w:lineRule="auto"/>
        <w:ind w:hanging="0" w:left="0" w:right="0"/>
        <w:rPr>
          <w:rFonts w:ascii="Arial" w:hAnsi="Arial"/>
          <w:lang w:val="en-US"/>
        </w:rPr>
      </w:pPr>
      <w:r>
        <w:rPr>
          <w:rFonts w:ascii="Arial" w:hAnsi="Arial"/>
          <w:lang w:val="en-US"/>
        </w:rPr>
        <w:t>Skeletal preparations on tadpoles</w:t>
      </w:r>
    </w:p>
    <w:p>
      <w:pPr>
        <w:pStyle w:val="style31"/>
        <w:spacing w:line="360" w:lineRule="auto"/>
        <w:ind w:hanging="0" w:left="0" w:right="0"/>
        <w:rPr>
          <w:rFonts w:ascii="Arial" w:hAnsi="Arial"/>
          <w:lang w:val="en-US"/>
        </w:rPr>
      </w:pPr>
      <w:r>
        <w:rPr>
          <w:rFonts w:ascii="Arial" w:hAnsi="Arial"/>
          <w:lang w:val="en-US"/>
        </w:rPr>
        <w:t>Tadpoles stage NF54 were treated as previously described and sacrificed 24 hours after the end of the treatment. After eyes and viscera removal, tadpoles were washed for 15 min in ethanol baths of increasing concentration (25%, 50%, 75%, 100%) and stored at -20 C. Cartilage staining was carried out by incubation with Alcian Blue (A3157, SIGMA) 0.05% in a 4:1 EtOH 100% / glacial acetic acid solution overnight at 4°C and light agitation. After 2 EtOH 70% washes (2h each), progressive rehydration and tissue maceration in 0.5% KOH / 3% H</w:t>
      </w:r>
      <w:r>
        <w:rPr>
          <w:rFonts w:ascii="Arial" w:hAnsi="Arial"/>
          <w:vertAlign w:val="subscript"/>
          <w:lang w:val="en-US"/>
        </w:rPr>
        <w:t>2</w:t>
      </w:r>
      <w:r>
        <w:rPr>
          <w:rFonts w:ascii="Arial" w:hAnsi="Arial"/>
          <w:lang w:val="en-US"/>
        </w:rPr>
        <w:t>O</w:t>
      </w:r>
      <w:r>
        <w:rPr>
          <w:rFonts w:ascii="Arial" w:hAnsi="Arial"/>
          <w:vertAlign w:val="subscript"/>
          <w:lang w:val="en-US"/>
        </w:rPr>
        <w:t>2</w:t>
      </w:r>
      <w:r>
        <w:rPr>
          <w:rFonts w:ascii="Arial" w:hAnsi="Arial"/>
          <w:lang w:val="en-US"/>
        </w:rPr>
        <w:t>, bones were stained in 0.05% Alizarin Red (A5533, SIGMA) in KOH 1% for 3 hours. After thorough washing, stained tadpoles are stored in glycerol 100% at 4°C. Pictures were taken on a MZ16F (LEICA), and aquired thanks to a Retiga SRV (QIMAGING) coupled to an RGB-HM-S-IR filter (QIMAGING).</w:t>
      </w:r>
    </w:p>
    <w:p>
      <w:pPr>
        <w:pStyle w:val="style31"/>
        <w:spacing w:line="360" w:lineRule="auto"/>
        <w:ind w:hanging="0" w:left="0" w:right="0"/>
        <w:rPr>
          <w:rFonts w:ascii="Arial" w:hAnsi="Arial"/>
          <w:sz w:val="24"/>
          <w:szCs w:val="24"/>
          <w:lang w:val="en-US"/>
        </w:rPr>
      </w:pPr>
      <w:r>
        <w:rPr>
          <w:rFonts w:ascii="Arial" w:hAnsi="Arial"/>
          <w:sz w:val="24"/>
          <w:szCs w:val="24"/>
          <w:lang w:val="en-US"/>
        </w:rPr>
      </w:r>
    </w:p>
    <w:p>
      <w:pPr>
        <w:pStyle w:val="style1"/>
        <w:pageBreakBefore/>
        <w:spacing w:line="360" w:lineRule="auto"/>
        <w:ind w:hanging="0" w:left="0" w:right="0"/>
        <w:rPr>
          <w:rFonts w:ascii="Arial" w:hAnsi="Arial"/>
          <w:lang w:val="en-US"/>
        </w:rPr>
      </w:pPr>
      <w:r>
        <w:rPr>
          <w:rFonts w:ascii="Arial" w:hAnsi="Arial"/>
          <w:lang w:val="en-US"/>
        </w:rPr>
        <w:t>Results</w:t>
      </w:r>
    </w:p>
    <w:p>
      <w:pPr>
        <w:pStyle w:val="style2"/>
        <w:spacing w:line="360" w:lineRule="auto"/>
        <w:ind w:hanging="0" w:left="0" w:right="0"/>
        <w:rPr>
          <w:rFonts w:ascii="Arial" w:hAnsi="Arial"/>
          <w:lang w:val="en-US"/>
        </w:rPr>
      </w:pPr>
      <w:bookmarkStart w:id="3" w:name="h.dtozjsh8gni3"/>
      <w:bookmarkEnd w:id="3"/>
      <w:r>
        <w:rPr>
          <w:rFonts w:ascii="Arial" w:hAnsi="Arial"/>
          <w:lang w:val="en-US"/>
        </w:rPr>
        <w:t>Characteri</w:t>
      </w:r>
      <w:r>
        <w:rPr>
          <w:rFonts w:ascii="Arial" w:hAnsi="Arial"/>
          <w:lang w:val="en-US"/>
        </w:rPr>
        <w:t>z</w:t>
      </w:r>
      <w:r>
        <w:rPr>
          <w:rFonts w:ascii="Arial" w:hAnsi="Arial"/>
          <w:lang w:val="en-US"/>
        </w:rPr>
        <w:t>ation of hindlimb bud transcriptome by RNA-Seq</w:t>
      </w:r>
    </w:p>
    <w:p>
      <w:pPr>
        <w:pStyle w:val="style31"/>
        <w:spacing w:line="360" w:lineRule="auto"/>
        <w:rPr>
          <w:rFonts w:ascii="Arial" w:hAnsi="Arial"/>
          <w:shd w:fill="auto" w:val="clear"/>
          <w:lang w:val="en-US"/>
        </w:rPr>
      </w:pPr>
      <w:r>
        <w:rPr>
          <w:rFonts w:ascii="Arial" w:hAnsi="Arial"/>
          <w:lang w:val="en-US"/>
        </w:rPr>
        <w:t xml:space="preserve">In order to address the interactions between TH and GC signaling pathways at the transcript level without the confounding central effects, we cultured pre-metamorphic </w:t>
      </w:r>
      <w:r>
        <w:rPr>
          <w:rFonts w:ascii="Arial" w:hAnsi="Arial"/>
          <w:i/>
          <w:iCs/>
          <w:lang w:val="en-US"/>
        </w:rPr>
        <w:t>X. tropicalis</w:t>
      </w:r>
      <w:r>
        <w:rPr>
          <w:rFonts w:ascii="Arial" w:hAnsi="Arial"/>
          <w:lang w:val="en-US"/>
        </w:rPr>
        <w:t xml:space="preserve"> hindlimb buds treated or </w:t>
      </w:r>
      <w:r>
        <w:rPr>
          <w:rFonts w:ascii="Arial" w:hAnsi="Arial"/>
          <w:shd w:fill="auto" w:val="clear"/>
          <w:lang w:val="en-US"/>
        </w:rPr>
        <w:t>not with T</w:t>
      </w:r>
      <w:r>
        <w:rPr>
          <w:rFonts w:ascii="Arial" w:hAnsi="Arial"/>
          <w:shd w:fill="auto" w:val="clear"/>
          <w:vertAlign w:val="subscript"/>
          <w:lang w:val="en-US"/>
        </w:rPr>
        <w:t>3</w:t>
      </w:r>
      <w:r>
        <w:rPr>
          <w:rFonts w:ascii="Arial" w:hAnsi="Arial"/>
          <w:shd w:fill="auto" w:val="clear"/>
          <w:lang w:val="en-US"/>
        </w:rPr>
        <w:t xml:space="preserve"> and / or CORT. Total RNA were extracted after 24h and subjected to quality controls (</w:t>
      </w:r>
      <w:r>
        <w:rPr>
          <w:rStyle w:val="style16"/>
          <w:rFonts w:ascii="Arial" w:hAnsi="Arial"/>
          <w:shd w:fill="auto" w:val="clear"/>
          <w:lang w:val="en-US"/>
        </w:rPr>
        <w:t>Fig S1</w:t>
      </w:r>
      <w:r>
        <w:rPr>
          <w:rFonts w:ascii="Arial" w:hAnsi="Arial"/>
          <w:shd w:fill="auto" w:val="clear"/>
          <w:lang w:val="en-US"/>
        </w:rPr>
        <w:t>, “</w:t>
      </w:r>
      <w:r>
        <w:rPr>
          <w:rFonts w:ascii="Arial" w:hAnsi="Arial"/>
          <w:shd w:fill="auto" w:val="clear"/>
          <w:lang w:val="en-US"/>
        </w:rPr>
        <w:t>Biological sample collection and processing</w:t>
      </w:r>
      <w:r>
        <w:rPr>
          <w:rFonts w:ascii="Arial" w:hAnsi="Arial"/>
          <w:shd w:fill="auto" w:val="clear"/>
          <w:lang w:val="en-US"/>
        </w:rPr>
        <w:t>”</w:t>
      </w:r>
      <w:r>
        <w:rPr>
          <w:rFonts w:ascii="Arial" w:hAnsi="Arial"/>
          <w:shd w:fill="auto" w:val="clear"/>
          <w:lang w:val="en-US"/>
        </w:rPr>
        <w:t xml:space="preserve">). Proper biological response to hormonal treatments was assessed prior to sequencing by measuring transcript levels of </w:t>
      </w:r>
      <w:r>
        <w:rPr>
          <w:rStyle w:val="style17"/>
          <w:rFonts w:ascii="Arial" w:hAnsi="Arial"/>
          <w:shd w:fill="auto" w:val="clear"/>
          <w:lang w:val="en-US"/>
        </w:rPr>
        <w:t>klf9</w:t>
      </w:r>
      <w:r>
        <w:rPr>
          <w:rFonts w:ascii="Arial" w:hAnsi="Arial"/>
          <w:shd w:fill="auto" w:val="clear"/>
          <w:lang w:val="en-US"/>
        </w:rPr>
        <w:t xml:space="preserve">, </w:t>
      </w:r>
      <w:r>
        <w:rPr>
          <w:rFonts w:ascii="Arial" w:hAnsi="Arial"/>
          <w:shd w:fill="auto" w:val="clear"/>
          <w:lang w:val="en-US"/>
        </w:rPr>
        <w:t>a well known CORT and T</w:t>
      </w:r>
      <w:r>
        <w:rPr>
          <w:rFonts w:ascii="Arial" w:hAnsi="Arial"/>
          <w:shd w:fill="auto" w:val="clear"/>
          <w:vertAlign w:val="subscript"/>
          <w:lang w:val="en-US"/>
        </w:rPr>
        <w:t>3</w:t>
      </w:r>
      <w:r>
        <w:rPr>
          <w:rFonts w:ascii="Arial" w:hAnsi="Arial"/>
          <w:shd w:fill="auto" w:val="clear"/>
          <w:lang w:val="en-US"/>
        </w:rPr>
        <w:t xml:space="preserve"> target (</w:t>
      </w:r>
      <w:r>
        <w:rPr>
          <w:rStyle w:val="style16"/>
          <w:rFonts w:ascii="Arial" w:hAnsi="Arial"/>
          <w:shd w:fill="auto" w:val="clear"/>
          <w:lang w:val="en-US"/>
        </w:rPr>
        <w:t xml:space="preserve">Fig </w:t>
      </w:r>
      <w:r>
        <w:rPr>
          <w:rStyle w:val="style16"/>
          <w:rFonts w:ascii="Arial" w:hAnsi="Arial"/>
          <w:shd w:fill="auto" w:val="clear"/>
          <w:lang w:val="en-US"/>
        </w:rPr>
        <w:t>S2</w:t>
      </w:r>
      <w:r>
        <w:rPr>
          <w:rFonts w:ascii="Arial" w:hAnsi="Arial"/>
          <w:shd w:fill="auto" w:val="clear"/>
          <w:lang w:val="en-US"/>
        </w:rPr>
        <w:t>). Transcript abundance was strongly induced following T</w:t>
      </w:r>
      <w:r>
        <w:rPr>
          <w:rFonts w:ascii="Arial" w:hAnsi="Arial"/>
          <w:shd w:fill="auto" w:val="clear"/>
          <w:vertAlign w:val="subscript"/>
          <w:lang w:val="en-US"/>
        </w:rPr>
        <w:t>3</w:t>
      </w:r>
      <w:r>
        <w:rPr>
          <w:rFonts w:ascii="Arial" w:hAnsi="Arial"/>
          <w:shd w:fill="auto" w:val="clear"/>
          <w:lang w:val="en-US"/>
        </w:rPr>
        <w:t xml:space="preserve"> and CORT treatment. The simultaneous treatment with </w:t>
      </w:r>
      <w:r>
        <w:rPr>
          <w:rFonts w:ascii="Arial" w:hAnsi="Arial"/>
          <w:lang w:val="en-US"/>
        </w:rPr>
        <w:t xml:space="preserve">both hormones resulted in higher transcript level compared to each treatment alone. These results agree well with previous reports </w:t>
      </w:r>
      <w:r>
        <w:rPr>
          <w:rFonts w:ascii="Arial" w:hAnsi="Arial"/>
          <w:position w:val="0"/>
          <w:sz w:val="24"/>
          <w:vertAlign w:val="baseline"/>
          <w:lang w:val="en-US"/>
        </w:rPr>
        <w:t>(</w:t>
      </w:r>
      <w:r>
        <w:rPr>
          <w:rStyle w:val="style26"/>
          <w:rFonts w:ascii="Arial" w:hAnsi="Arial"/>
          <w:lang w:val="en-US"/>
        </w:rPr>
        <w:t>[25]</w:t>
      </w:r>
      <w:r>
        <w:rPr>
          <w:rFonts w:ascii="Arial" w:hAnsi="Arial"/>
          <w:position w:val="0"/>
          <w:sz w:val="24"/>
          <w:vertAlign w:val="baseline"/>
          <w:lang w:val="en-US"/>
        </w:rPr>
        <w:t>)</w:t>
      </w:r>
      <w:r>
        <w:rPr>
          <w:rFonts w:ascii="Arial" w:hAnsi="Arial"/>
          <w:lang w:val="en-US"/>
        </w:rPr>
        <w:t xml:space="preserve">⁠, and further confirm the </w:t>
      </w:r>
      <w:r>
        <w:rPr>
          <w:rFonts w:ascii="Arial" w:hAnsi="Arial"/>
          <w:shd w:fill="auto" w:val="clear"/>
          <w:lang w:val="en-US"/>
        </w:rPr>
        <w:t>combined effects of both T</w:t>
      </w:r>
      <w:r>
        <w:rPr>
          <w:rFonts w:ascii="Arial" w:hAnsi="Arial"/>
          <w:shd w:fill="auto" w:val="clear"/>
          <w:vertAlign w:val="subscript"/>
          <w:lang w:val="en-US"/>
        </w:rPr>
        <w:t>3</w:t>
      </w:r>
      <w:r>
        <w:rPr>
          <w:rFonts w:ascii="Arial" w:hAnsi="Arial"/>
          <w:shd w:fill="auto" w:val="clear"/>
          <w:lang w:val="en-US"/>
        </w:rPr>
        <w:t xml:space="preserve"> and CORT in our experiment.</w:t>
      </w:r>
    </w:p>
    <w:p>
      <w:pPr>
        <w:pStyle w:val="style31"/>
        <w:spacing w:line="360" w:lineRule="auto"/>
        <w:rPr>
          <w:rFonts w:ascii="Arial" w:hAnsi="Arial"/>
          <w:shd w:fill="auto" w:val="clear"/>
          <w:lang w:val="en-US"/>
        </w:rPr>
      </w:pPr>
      <w:r>
        <w:rPr>
          <w:rFonts w:ascii="Arial" w:hAnsi="Arial"/>
          <w:shd w:fill="auto" w:val="clear"/>
          <w:lang w:val="en-US"/>
        </w:rPr>
        <w:t xml:space="preserve">After deep sequencing, raw data were subject to standard RNA-Seq processing procedures (“low level processing” </w:t>
      </w:r>
      <w:r>
        <w:rPr>
          <w:rStyle w:val="style16"/>
          <w:rFonts w:ascii="Arial" w:hAnsi="Arial"/>
          <w:shd w:fill="auto" w:val="clear"/>
          <w:lang w:val="en-US"/>
        </w:rPr>
        <w:t>Fig S1</w:t>
      </w:r>
      <w:r>
        <w:rPr>
          <w:rFonts w:ascii="Arial" w:hAnsi="Arial"/>
          <w:shd w:fill="auto" w:val="clear"/>
          <w:lang w:val="en-US"/>
        </w:rPr>
        <w:t xml:space="preserve">) with quality controls. Mapping statistics are shown in </w:t>
      </w:r>
      <w:r>
        <w:rPr>
          <w:rStyle w:val="style16"/>
          <w:rFonts w:ascii="Arial" w:hAnsi="Arial"/>
          <w:shd w:fill="auto" w:val="clear"/>
          <w:lang w:val="en-US"/>
        </w:rPr>
        <w:t>Table S1</w:t>
      </w:r>
      <w:r>
        <w:rPr>
          <w:rFonts w:ascii="Arial" w:hAnsi="Arial"/>
          <w:shd w:fill="auto" w:val="clear"/>
          <w:lang w:val="en-US"/>
        </w:rPr>
        <w:t>. Importantly, w</w:t>
      </w:r>
      <w:r>
        <w:rPr>
          <w:rFonts w:ascii="Arial" w:hAnsi="Arial"/>
          <w:shd w:fill="auto" w:val="clear"/>
          <w:lang w:val="en-US"/>
        </w:rPr>
        <w:t xml:space="preserve">e confirmed </w:t>
      </w:r>
      <w:r>
        <w:rPr>
          <w:rFonts w:ascii="Arial" w:hAnsi="Arial"/>
          <w:shd w:fill="auto" w:val="clear"/>
          <w:lang w:val="en-US"/>
        </w:rPr>
        <w:t>that sequencing</w:t>
      </w:r>
      <w:r>
        <w:rPr>
          <w:rFonts w:ascii="Arial" w:hAnsi="Arial"/>
          <w:shd w:fill="auto" w:val="clear"/>
          <w:lang w:val="en-US"/>
        </w:rPr>
        <w:t xml:space="preserve"> </w:t>
      </w:r>
      <w:r>
        <w:rPr>
          <w:rFonts w:ascii="Arial" w:hAnsi="Arial"/>
          <w:shd w:fill="auto" w:val="clear"/>
          <w:lang w:val="en-US"/>
        </w:rPr>
        <w:t xml:space="preserve">depth was high enough and resulted in about 73% of gene detection </w:t>
      </w:r>
      <w:r>
        <w:rPr>
          <w:rFonts w:ascii="Arial" w:hAnsi="Arial"/>
          <w:shd w:fill="auto" w:val="clear"/>
          <w:lang w:val="en-US"/>
        </w:rPr>
        <w:t>(</w:t>
      </w:r>
      <w:r>
        <w:rPr>
          <w:rStyle w:val="style16"/>
          <w:rFonts w:ascii="Arial" w:hAnsi="Arial"/>
          <w:shd w:fill="auto" w:val="clear"/>
          <w:lang w:val="en-US"/>
        </w:rPr>
        <w:t>Fig S</w:t>
      </w:r>
      <w:r>
        <w:rPr>
          <w:rStyle w:val="style16"/>
          <w:rFonts w:ascii="Arial" w:hAnsi="Arial"/>
          <w:shd w:fill="auto" w:val="clear"/>
          <w:lang w:val="en-US"/>
        </w:rPr>
        <w:t>3</w:t>
      </w:r>
      <w:r>
        <w:rPr>
          <w:rFonts w:ascii="Arial" w:hAnsi="Arial"/>
          <w:shd w:fill="auto" w:val="clear"/>
          <w:lang w:val="en-US"/>
        </w:rPr>
        <w:t xml:space="preserve">). </w:t>
      </w:r>
      <w:r>
        <w:rPr>
          <w:rFonts w:ascii="Arial" w:hAnsi="Arial"/>
          <w:shd w:fill="auto" w:val="clear"/>
          <w:lang w:val="en-US"/>
        </w:rPr>
        <w:t xml:space="preserve">One library (CORT treatment, replicate 3, </w:t>
      </w:r>
      <w:r>
        <w:rPr>
          <w:rStyle w:val="style16"/>
          <w:rFonts w:ascii="Arial" w:hAnsi="Arial"/>
          <w:shd w:fill="auto" w:val="clear"/>
          <w:lang w:val="en-US"/>
        </w:rPr>
        <w:t>Table S1</w:t>
      </w:r>
      <w:r>
        <w:rPr>
          <w:rFonts w:ascii="Arial" w:hAnsi="Arial"/>
          <w:shd w:fill="auto" w:val="clear"/>
          <w:lang w:val="en-US"/>
        </w:rPr>
        <w:t xml:space="preserve">) was sequenced at a much higher depth, which marginally affected the detection of expressed genes (bottom panel </w:t>
      </w:r>
      <w:r>
        <w:rPr>
          <w:rStyle w:val="style16"/>
          <w:rFonts w:ascii="Arial" w:hAnsi="Arial"/>
          <w:shd w:fill="auto" w:val="clear"/>
          <w:lang w:val="en-US"/>
        </w:rPr>
        <w:t>Fig S3</w:t>
      </w:r>
      <w:r>
        <w:rPr>
          <w:rFonts w:ascii="Arial" w:hAnsi="Arial"/>
          <w:shd w:fill="auto" w:val="clear"/>
          <w:lang w:val="en-US"/>
        </w:rPr>
        <w:t>).</w:t>
      </w:r>
      <w:r>
        <w:rPr>
          <w:rFonts w:ascii="Arial" w:hAnsi="Arial"/>
          <w:shd w:fill="auto" w:val="clear"/>
          <w:lang w:val="en-US"/>
        </w:rPr>
        <w:t xml:space="preserve"> </w:t>
      </w:r>
      <w:r>
        <w:rPr>
          <w:rFonts w:ascii="Arial" w:hAnsi="Arial"/>
          <w:shd w:fill="auto" w:val="clear"/>
          <w:lang w:val="en-US"/>
        </w:rPr>
        <w:t>Also, we corrected for batch effects after principal component analysis (PCA) by removing the corresponding principal component (</w:t>
      </w:r>
      <w:r>
        <w:rPr>
          <w:rStyle w:val="style16"/>
          <w:rFonts w:ascii="Arial" w:hAnsi="Arial"/>
          <w:shd w:fill="auto" w:val="clear"/>
          <w:lang w:val="en-US"/>
        </w:rPr>
        <w:t>Fig S4A</w:t>
      </w:r>
      <w:r>
        <w:rPr>
          <w:rFonts w:ascii="Arial" w:hAnsi="Arial"/>
          <w:shd w:fill="auto" w:val="clear"/>
          <w:lang w:val="en-US"/>
        </w:rPr>
        <w:t xml:space="preserve"> before batch effect removal, </w:t>
      </w:r>
      <w:r>
        <w:rPr>
          <w:rStyle w:val="style16"/>
          <w:rFonts w:ascii="Arial" w:hAnsi="Arial"/>
          <w:shd w:fill="auto" w:val="clear"/>
          <w:lang w:val="en-US"/>
        </w:rPr>
        <w:t>Fig S4B</w:t>
      </w:r>
      <w:r>
        <w:rPr>
          <w:rFonts w:ascii="Arial" w:hAnsi="Arial"/>
          <w:shd w:fill="auto" w:val="clear"/>
          <w:lang w:val="en-US"/>
        </w:rPr>
        <w:t xml:space="preserve"> after batch effect removal).</w:t>
      </w:r>
    </w:p>
    <w:p>
      <w:pPr>
        <w:pStyle w:val="style31"/>
        <w:spacing w:line="360" w:lineRule="auto"/>
        <w:rPr>
          <w:rFonts w:ascii="Arial" w:hAnsi="Arial"/>
          <w:shd w:fill="auto" w:val="clear"/>
          <w:lang w:val="en-US"/>
        </w:rPr>
      </w:pPr>
      <w:r>
        <w:rPr>
          <w:rFonts w:ascii="Arial" w:hAnsi="Arial"/>
          <w:shd w:fill="auto" w:val="clear"/>
          <w:lang w:val="en-US"/>
        </w:rPr>
        <w:t>Overall, we found 3,793, 29 and 4,367 genes differentially expressed in T</w:t>
      </w:r>
      <w:r>
        <w:rPr>
          <w:rFonts w:ascii="Arial" w:hAnsi="Arial"/>
          <w:shd w:fill="auto" w:val="clear"/>
          <w:vertAlign w:val="subscript"/>
          <w:lang w:val="en-US"/>
        </w:rPr>
        <w:t>3</w:t>
      </w:r>
      <w:r>
        <w:rPr>
          <w:rFonts w:ascii="Arial" w:hAnsi="Arial"/>
          <w:shd w:fill="auto" w:val="clear"/>
          <w:lang w:val="en-US"/>
        </w:rPr>
        <w:t>, CORT and T</w:t>
      </w:r>
      <w:r>
        <w:rPr>
          <w:rFonts w:ascii="Arial" w:hAnsi="Arial"/>
          <w:shd w:fill="auto" w:val="clear"/>
          <w:vertAlign w:val="subscript"/>
          <w:lang w:val="en-US"/>
        </w:rPr>
        <w:t>3</w:t>
      </w:r>
      <w:r>
        <w:rPr>
          <w:rFonts w:ascii="Arial" w:hAnsi="Arial"/>
          <w:shd w:fill="auto" w:val="clear"/>
          <w:lang w:val="en-US"/>
        </w:rPr>
        <w:t>+CORT treatments respectively (</w:t>
      </w:r>
      <w:r>
        <w:rPr>
          <w:rStyle w:val="style15"/>
          <w:rFonts w:ascii="Arial" w:hAnsi="Arial"/>
          <w:shd w:fill="auto" w:val="clear"/>
          <w:lang w:val="en-US"/>
        </w:rPr>
        <w:t>Fig 1</w:t>
      </w:r>
      <w:r>
        <w:rPr>
          <w:rFonts w:ascii="Arial" w:hAnsi="Arial"/>
          <w:shd w:fill="auto" w:val="clear"/>
          <w:lang w:val="en-US"/>
        </w:rPr>
        <w:t xml:space="preserve">, </w:t>
      </w:r>
      <w:r>
        <w:rPr>
          <w:rStyle w:val="style16"/>
          <w:rFonts w:ascii="Arial" w:hAnsi="Arial"/>
          <w:shd w:fill="auto" w:val="clear"/>
          <w:lang w:val="en-US"/>
        </w:rPr>
        <w:t>Table S2</w:t>
      </w:r>
      <w:r>
        <w:rPr>
          <w:rFonts w:ascii="Arial" w:hAnsi="Arial"/>
          <w:shd w:fill="auto" w:val="clear"/>
          <w:lang w:val="en-US"/>
        </w:rPr>
        <w:t>), for a total of 4,741 genes differentially</w:t>
      </w:r>
      <w:r>
        <w:rPr>
          <w:rFonts w:ascii="Arial" w:hAnsi="Arial"/>
          <w:lang w:val="en-US"/>
        </w:rPr>
        <w:t xml:space="preserve"> expressed in at least one treatment compared to the control. Induction folds (in log2) varied o</w:t>
      </w:r>
      <w:r>
        <w:rPr>
          <w:rFonts w:ascii="Arial" w:hAnsi="Arial"/>
          <w:shd w:fill="auto" w:val="clear"/>
          <w:lang w:val="en-US"/>
        </w:rPr>
        <w:t>ver a large dynamic range: between -6.33 and 7.52 for T</w:t>
      </w:r>
      <w:r>
        <w:rPr>
          <w:rFonts w:ascii="Arial" w:hAnsi="Arial"/>
          <w:shd w:fill="auto" w:val="clear"/>
          <w:vertAlign w:val="subscript"/>
          <w:lang w:val="en-US"/>
        </w:rPr>
        <w:t xml:space="preserve">3 </w:t>
      </w:r>
      <w:r>
        <w:rPr>
          <w:rFonts w:ascii="Arial" w:hAnsi="Arial"/>
          <w:position w:val="0"/>
          <w:sz w:val="24"/>
          <w:shd w:fill="auto" w:val="clear"/>
          <w:vertAlign w:val="baseline"/>
          <w:lang w:val="en-US"/>
        </w:rPr>
        <w:t>treatment</w:t>
      </w:r>
      <w:r>
        <w:rPr>
          <w:rFonts w:ascii="Arial" w:hAnsi="Arial"/>
          <w:shd w:fill="auto" w:val="clear"/>
          <w:lang w:val="en-US"/>
        </w:rPr>
        <w:t>, -2.48 and 3.74 for CORT, and -4.53 and 8.19 for T</w:t>
      </w:r>
      <w:r>
        <w:rPr>
          <w:rFonts w:ascii="Arial" w:hAnsi="Arial"/>
          <w:shd w:fill="auto" w:val="clear"/>
          <w:vertAlign w:val="subscript"/>
          <w:lang w:val="en-US"/>
        </w:rPr>
        <w:t>3</w:t>
      </w:r>
      <w:r>
        <w:rPr>
          <w:rFonts w:ascii="Arial" w:hAnsi="Arial"/>
          <w:shd w:fill="auto" w:val="clear"/>
          <w:lang w:val="en-US"/>
        </w:rPr>
        <w:t>+CORT.</w:t>
      </w:r>
    </w:p>
    <w:p>
      <w:pPr>
        <w:pStyle w:val="style31"/>
        <w:spacing w:line="360" w:lineRule="auto"/>
        <w:rPr>
          <w:rFonts w:ascii="Arial" w:hAnsi="Arial"/>
          <w:shd w:fill="auto" w:val="clear"/>
          <w:lang w:val="en-US"/>
        </w:rPr>
      </w:pPr>
      <w:r>
        <w:rPr>
          <w:rFonts w:ascii="Arial" w:hAnsi="Arial"/>
          <w:shd w:fill="auto" w:val="clear"/>
          <w:lang w:val="en-US"/>
        </w:rPr>
        <w:t>The technical validation of RNA-Seq data was carried out by RT-qPCR on a number of genes selected over a wide range of expression levels and induction folds (</w:t>
      </w:r>
      <w:r>
        <w:rPr>
          <w:rStyle w:val="style16"/>
          <w:rFonts w:ascii="Arial" w:hAnsi="Arial"/>
          <w:shd w:fill="auto" w:val="clear"/>
          <w:lang w:val="en-US"/>
        </w:rPr>
        <w:t>Fig S5A</w:t>
      </w:r>
      <w:r>
        <w:rPr>
          <w:rFonts w:ascii="Arial" w:hAnsi="Arial"/>
          <w:shd w:fill="auto" w:val="clear"/>
          <w:lang w:val="en-US"/>
        </w:rPr>
        <w:t>). We found a good  correlation (</w:t>
      </w:r>
      <w:r>
        <w:rPr>
          <w:rFonts w:ascii="Arial" w:hAnsi="Arial"/>
          <w:i/>
          <w:iCs/>
          <w:shd w:fill="auto" w:val="clear"/>
          <w:lang w:val="en-US"/>
        </w:rPr>
        <w:t xml:space="preserve">r </w:t>
      </w:r>
      <w:r>
        <w:rPr>
          <w:rFonts w:ascii="Arial" w:hAnsi="Arial"/>
          <w:i w:val="false"/>
          <w:iCs w:val="false"/>
          <w:shd w:fill="auto" w:val="clear"/>
          <w:lang w:val="en-US"/>
        </w:rPr>
        <w:t>= 0.847</w:t>
      </w:r>
      <w:r>
        <w:rPr>
          <w:rFonts w:ascii="Arial" w:hAnsi="Arial"/>
          <w:shd w:fill="auto" w:val="clear"/>
          <w:lang w:val="en-US"/>
        </w:rPr>
        <w:t>) between RT-qPCR and RNA-Seq measures of gene expression (</w:t>
      </w:r>
      <w:r>
        <w:rPr>
          <w:rStyle w:val="style16"/>
          <w:rFonts w:ascii="Arial" w:hAnsi="Arial"/>
          <w:shd w:fill="auto" w:val="clear"/>
          <w:lang w:val="en-US"/>
        </w:rPr>
        <w:t>Fig S5B</w:t>
      </w:r>
      <w:r>
        <w:rPr>
          <w:rFonts w:ascii="Arial" w:hAnsi="Arial"/>
          <w:shd w:fill="auto" w:val="clear"/>
          <w:lang w:val="en-US"/>
        </w:rPr>
        <w:t>).</w:t>
      </w:r>
    </w:p>
    <w:p>
      <w:pPr>
        <w:pStyle w:val="style2"/>
        <w:spacing w:line="360" w:lineRule="auto"/>
        <w:ind w:hanging="0" w:left="0" w:right="0"/>
        <w:rPr>
          <w:rFonts w:ascii="Arial" w:hAnsi="Arial"/>
          <w:lang w:val="en-US"/>
        </w:rPr>
      </w:pPr>
      <w:bookmarkStart w:id="4" w:name="h.67tbxyhb2pls"/>
      <w:bookmarkEnd w:id="4"/>
      <w:r>
        <w:rPr>
          <w:rFonts w:ascii="Arial" w:hAnsi="Arial"/>
          <w:lang w:val="en-US"/>
        </w:rPr>
        <w:t xml:space="preserve">Glucocorticoids interfere with thyroid hormone </w:t>
      </w:r>
      <w:r>
        <w:rPr>
          <w:rFonts w:ascii="Arial" w:hAnsi="Arial"/>
          <w:lang w:val="en-US"/>
        </w:rPr>
        <w:t>signaling</w:t>
      </w:r>
    </w:p>
    <w:p>
      <w:pPr>
        <w:pStyle w:val="style31"/>
        <w:spacing w:line="360" w:lineRule="auto"/>
        <w:ind w:hanging="0" w:left="0" w:right="0"/>
        <w:rPr>
          <w:rFonts w:ascii="Arial" w:hAnsi="Arial"/>
          <w:shd w:fill="auto" w:val="clear"/>
          <w:lang w:val="en-US"/>
        </w:rPr>
      </w:pPr>
      <w:r>
        <w:rPr>
          <w:rFonts w:ascii="Arial" w:hAnsi="Arial"/>
          <w:lang w:val="en-US"/>
        </w:rPr>
        <w:t>Interactions between TH and GC signaling can result in two different expression profiles: “antagonistic” (where the effect of one hormone decreased the effect of the other) and “potentiated” (where the effect of one hormone incre</w:t>
      </w:r>
      <w:r>
        <w:rPr>
          <w:rFonts w:ascii="Arial" w:hAnsi="Arial"/>
          <w:shd w:fill="auto" w:val="clear"/>
          <w:lang w:val="en-US"/>
        </w:rPr>
        <w:t xml:space="preserve">ased the effect of the other). To isolate “potentiated” and “antagonistic” genes, we carried out </w:t>
      </w:r>
      <w:r>
        <w:rPr>
          <w:rFonts w:ascii="Arial" w:hAnsi="Arial"/>
          <w:shd w:fill="auto" w:val="clear"/>
          <w:lang w:val="en-US"/>
        </w:rPr>
        <w:t>expression profile-</w:t>
      </w:r>
      <w:r>
        <w:rPr>
          <w:rFonts w:ascii="Arial" w:hAnsi="Arial"/>
          <w:shd w:fill="auto" w:val="clear"/>
          <w:lang w:val="en-US"/>
        </w:rPr>
        <w:t xml:space="preserve">based </w:t>
      </w:r>
      <w:r>
        <w:rPr>
          <w:rFonts w:ascii="Arial" w:hAnsi="Arial"/>
          <w:shd w:fill="auto" w:val="clear"/>
          <w:lang w:val="en-US"/>
        </w:rPr>
        <w:t xml:space="preserve">clustering on genes that were differentially expressed in at least one treatment </w:t>
      </w:r>
      <w:r>
        <w:rPr>
          <w:rFonts w:ascii="Arial" w:hAnsi="Arial"/>
          <w:shd w:fill="auto" w:val="clear"/>
          <w:lang w:val="en-US"/>
        </w:rPr>
        <w:t>(</w:t>
      </w:r>
      <w:r>
        <w:rPr>
          <w:rStyle w:val="style16"/>
          <w:rFonts w:ascii="Arial" w:hAnsi="Arial"/>
          <w:shd w:fill="auto" w:val="clear"/>
          <w:lang w:val="en-US"/>
        </w:rPr>
        <w:t>Fig S1</w:t>
      </w:r>
      <w:r>
        <w:rPr>
          <w:rFonts w:ascii="Arial" w:hAnsi="Arial"/>
          <w:shd w:fill="auto" w:val="clear"/>
          <w:lang w:val="en-US"/>
        </w:rPr>
        <w:t>, “</w:t>
      </w:r>
      <w:r>
        <w:rPr>
          <w:rFonts w:ascii="Arial" w:hAnsi="Arial"/>
          <w:shd w:fill="auto" w:val="clear"/>
          <w:lang w:val="en-US"/>
        </w:rPr>
        <w:t>clustering</w:t>
      </w:r>
      <w:r>
        <w:rPr>
          <w:rFonts w:ascii="Arial" w:hAnsi="Arial"/>
          <w:shd w:fill="auto" w:val="clear"/>
          <w:lang w:val="en-US"/>
        </w:rPr>
        <w:t>”</w:t>
      </w:r>
      <w:r>
        <w:rPr>
          <w:rFonts w:ascii="Arial" w:hAnsi="Arial"/>
          <w:shd w:fill="auto" w:val="clear"/>
          <w:lang w:val="en-US"/>
        </w:rPr>
        <w:t>)</w:t>
      </w:r>
      <w:r>
        <w:rPr>
          <w:rFonts w:ascii="Arial" w:hAnsi="Arial"/>
          <w:shd w:fill="auto" w:val="clear"/>
          <w:lang w:val="en-US"/>
        </w:rPr>
        <w:t xml:space="preserve">. </w:t>
      </w:r>
      <w:r>
        <w:rPr>
          <w:rFonts w:ascii="Arial" w:hAnsi="Arial"/>
          <w:shd w:fill="auto" w:val="clear"/>
          <w:lang w:val="en-US"/>
        </w:rPr>
        <w:t xml:space="preserve">This has the benefit of better controlling the level of false negatives relative to approaches purely based on </w:t>
      </w:r>
      <w:r>
        <w:rPr>
          <w:rFonts w:ascii="Arial" w:hAnsi="Arial"/>
          <w:i/>
          <w:iCs/>
          <w:shd w:fill="auto" w:val="clear"/>
          <w:lang w:val="en-US"/>
        </w:rPr>
        <w:t>p-</w:t>
      </w:r>
      <w:r>
        <w:rPr>
          <w:rFonts w:ascii="Arial" w:hAnsi="Arial"/>
          <w:shd w:fill="auto" w:val="clear"/>
          <w:lang w:val="en-US"/>
        </w:rPr>
        <w:t xml:space="preserve">values. This may have important biological consequences since many </w:t>
      </w:r>
      <w:r>
        <w:rPr>
          <w:rFonts w:ascii="Arial" w:hAnsi="Arial"/>
          <w:lang w:val="en-US"/>
        </w:rPr>
        <w:t>genes may be assigned to incorrect categories.</w:t>
      </w:r>
      <w:r>
        <w:rPr>
          <w:rFonts w:ascii="Arial" w:hAnsi="Arial"/>
          <w:lang w:val="en-US"/>
        </w:rPr>
        <w:t xml:space="preserve"> </w:t>
      </w:r>
      <w:r>
        <w:rPr>
          <w:rFonts w:ascii="Arial" w:hAnsi="Arial"/>
          <w:lang w:val="en-US"/>
        </w:rPr>
        <w:t>We could classify genes into the two categories of expression profiles:</w:t>
      </w:r>
      <w:r>
        <w:rPr>
          <w:rFonts w:ascii="Arial" w:hAnsi="Arial"/>
          <w:lang w:val="en-US"/>
        </w:rPr>
        <w:t xml:space="preserve"> </w:t>
      </w:r>
      <w:r>
        <w:rPr>
          <w:rFonts w:ascii="Arial" w:hAnsi="Arial"/>
          <w:lang w:val="en-US"/>
        </w:rPr>
        <w:t xml:space="preserve">203 </w:t>
      </w:r>
      <w:r>
        <w:rPr>
          <w:rFonts w:ascii="Arial" w:hAnsi="Arial"/>
          <w:lang w:val="en-US"/>
        </w:rPr>
        <w:t xml:space="preserve">“antagonistic” genes  and </w:t>
      </w:r>
      <w:r>
        <w:rPr>
          <w:rFonts w:ascii="Arial" w:hAnsi="Arial"/>
          <w:lang w:val="en-US"/>
        </w:rPr>
        <w:t>440</w:t>
      </w:r>
      <w:r>
        <w:rPr>
          <w:rFonts w:ascii="Arial" w:hAnsi="Arial"/>
          <w:lang w:val="en-US"/>
        </w:rPr>
        <w:t xml:space="preserve"> “potentiat</w:t>
      </w:r>
      <w:r>
        <w:rPr>
          <w:rFonts w:ascii="Arial" w:hAnsi="Arial"/>
          <w:lang w:val="en-US"/>
        </w:rPr>
        <w:t>ed</w:t>
      </w:r>
      <w:r>
        <w:rPr>
          <w:rFonts w:ascii="Arial" w:hAnsi="Arial"/>
          <w:lang w:val="en-US"/>
        </w:rPr>
        <w:t xml:space="preserve">” genes. </w:t>
      </w:r>
      <w:r>
        <w:rPr>
          <w:rFonts w:ascii="Arial" w:hAnsi="Arial"/>
          <w:lang w:val="en-US"/>
        </w:rPr>
        <w:t xml:space="preserve">We further filtered these gene lists </w:t>
      </w:r>
      <w:r>
        <w:rPr>
          <w:rFonts w:ascii="Arial" w:hAnsi="Arial"/>
          <w:shd w:fill="auto" w:val="clear"/>
          <w:lang w:val="en-US"/>
        </w:rPr>
        <w:t>to remove</w:t>
      </w:r>
      <w:r>
        <w:rPr>
          <w:rFonts w:ascii="Arial" w:hAnsi="Arial"/>
          <w:shd w:fill="auto" w:val="clear"/>
          <w:lang w:val="en-US"/>
        </w:rPr>
        <w:t xml:space="preserve"> </w:t>
      </w:r>
      <w:r>
        <w:rPr>
          <w:rFonts w:ascii="Arial" w:hAnsi="Arial"/>
          <w:shd w:fill="auto" w:val="clear"/>
          <w:lang w:val="en-US"/>
        </w:rPr>
        <w:t>culture effects. To this end, we kept genes for which the expression profile was consistent in both cultured hindlimb buds and hindlimb buds isolated from whole treated tadpoles (</w:t>
      </w:r>
      <w:r>
        <w:rPr>
          <w:rStyle w:val="style16"/>
          <w:rFonts w:ascii="Arial" w:hAnsi="Arial"/>
          <w:shd w:fill="auto" w:val="clear"/>
          <w:lang w:val="en-US"/>
        </w:rPr>
        <w:t>Fig S1</w:t>
      </w:r>
      <w:r>
        <w:rPr>
          <w:rFonts w:ascii="Arial" w:hAnsi="Arial"/>
          <w:shd w:fill="auto" w:val="clear"/>
          <w:lang w:val="en-US"/>
        </w:rPr>
        <w:t>). This resulted in a final dataset of 11 clusters composed of 112 “antagonistic” (</w:t>
      </w:r>
      <w:r>
        <w:rPr>
          <w:rStyle w:val="style15"/>
          <w:rFonts w:ascii="Arial" w:hAnsi="Arial"/>
          <w:shd w:fill="auto" w:val="clear"/>
          <w:lang w:val="en-US"/>
        </w:rPr>
        <w:t xml:space="preserve">Fig </w:t>
      </w:r>
      <w:r>
        <w:rPr>
          <w:rStyle w:val="style15"/>
          <w:rFonts w:ascii="Arial" w:hAnsi="Arial"/>
          <w:shd w:fill="auto" w:val="clear"/>
          <w:lang w:val="en-US"/>
        </w:rPr>
        <w:t>2</w:t>
      </w:r>
      <w:r>
        <w:rPr>
          <w:rStyle w:val="style15"/>
          <w:rFonts w:ascii="Arial" w:hAnsi="Arial"/>
          <w:shd w:fill="auto" w:val="clear"/>
          <w:lang w:val="en-US"/>
        </w:rPr>
        <w:t>A,</w:t>
      </w:r>
      <w:r>
        <w:rPr>
          <w:rStyle w:val="style15"/>
          <w:rFonts w:ascii="Arial" w:hAnsi="Arial"/>
          <w:shd w:fill="auto" w:val="clear"/>
          <w:lang w:val="en-US"/>
        </w:rPr>
        <w:t>B</w:t>
      </w:r>
      <w:r>
        <w:rPr>
          <w:rFonts w:ascii="Arial" w:hAnsi="Arial"/>
          <w:shd w:fill="auto" w:val="clear"/>
          <w:lang w:val="en-US"/>
        </w:rPr>
        <w:t>) and 206 “potentiated” genes (</w:t>
      </w:r>
      <w:r>
        <w:rPr>
          <w:rStyle w:val="style15"/>
          <w:rFonts w:ascii="Arial" w:hAnsi="Arial"/>
          <w:shd w:fill="auto" w:val="clear"/>
          <w:lang w:val="en-US"/>
        </w:rPr>
        <w:t xml:space="preserve">Fig </w:t>
      </w:r>
      <w:r>
        <w:rPr>
          <w:rStyle w:val="style15"/>
          <w:rFonts w:ascii="Arial" w:hAnsi="Arial"/>
          <w:shd w:fill="auto" w:val="clear"/>
          <w:lang w:val="en-US"/>
        </w:rPr>
        <w:t>2C,D</w:t>
      </w:r>
      <w:r>
        <w:rPr>
          <w:rFonts w:ascii="Arial" w:hAnsi="Arial"/>
          <w:shd w:fill="auto" w:val="clear"/>
          <w:lang w:val="en-US"/>
        </w:rPr>
        <w:t xml:space="preserve">), </w:t>
      </w:r>
      <w:r>
        <w:rPr>
          <w:rStyle w:val="style16"/>
          <w:rFonts w:ascii="Arial" w:hAnsi="Arial"/>
          <w:shd w:fill="auto" w:val="clear"/>
          <w:lang w:val="en-US"/>
        </w:rPr>
        <w:t>Table S3</w:t>
      </w:r>
      <w:r>
        <w:rPr>
          <w:rFonts w:ascii="Arial" w:hAnsi="Arial"/>
          <w:shd w:fill="auto" w:val="clear"/>
          <w:lang w:val="en-US"/>
        </w:rPr>
        <w:t xml:space="preserve">. </w:t>
      </w:r>
      <w:r>
        <w:rPr>
          <w:rFonts w:ascii="Arial" w:hAnsi="Arial"/>
          <w:shd w:fill="auto" w:val="clear"/>
          <w:lang w:val="en-US"/>
        </w:rPr>
        <w:t>For most clusters,  the T</w:t>
      </w:r>
      <w:r>
        <w:rPr>
          <w:rFonts w:ascii="Arial" w:hAnsi="Arial"/>
          <w:shd w:fill="auto" w:val="clear"/>
          <w:vertAlign w:val="subscript"/>
          <w:lang w:val="en-US"/>
        </w:rPr>
        <w:t>3</w:t>
      </w:r>
      <w:r>
        <w:rPr>
          <w:rFonts w:ascii="Arial" w:hAnsi="Arial"/>
          <w:shd w:fill="auto" w:val="clear"/>
          <w:lang w:val="en-US"/>
        </w:rPr>
        <w:t xml:space="preserve"> effect is altered in T</w:t>
      </w:r>
      <w:r>
        <w:rPr>
          <w:rFonts w:ascii="Arial" w:hAnsi="Arial"/>
          <w:shd w:fill="auto" w:val="clear"/>
          <w:vertAlign w:val="subscript"/>
          <w:lang w:val="en-US"/>
        </w:rPr>
        <w:t>3</w:t>
      </w:r>
      <w:r>
        <w:rPr>
          <w:rFonts w:ascii="Arial" w:hAnsi="Arial"/>
          <w:shd w:fill="auto" w:val="clear"/>
          <w:lang w:val="en-US"/>
        </w:rPr>
        <w:t xml:space="preserve"> and CORT co-treatment (</w:t>
      </w:r>
      <w:r>
        <w:rPr>
          <w:rStyle w:val="style15"/>
          <w:rFonts w:ascii="Arial" w:hAnsi="Arial"/>
          <w:shd w:fill="auto" w:val="clear"/>
          <w:lang w:val="en-US"/>
        </w:rPr>
        <w:t>Fig 2A,C</w:t>
      </w:r>
      <w:r>
        <w:rPr>
          <w:rFonts w:ascii="Arial" w:hAnsi="Arial"/>
          <w:shd w:fill="auto" w:val="clear"/>
          <w:lang w:val="en-US"/>
        </w:rPr>
        <w:t>). A modulation of the CORT effect by T</w:t>
      </w:r>
      <w:r>
        <w:rPr>
          <w:rFonts w:ascii="Arial" w:hAnsi="Arial"/>
          <w:shd w:fill="auto" w:val="clear"/>
          <w:vertAlign w:val="subscript"/>
          <w:lang w:val="en-US"/>
        </w:rPr>
        <w:t>3</w:t>
      </w:r>
      <w:r>
        <w:rPr>
          <w:rFonts w:ascii="Arial" w:hAnsi="Arial"/>
          <w:shd w:fill="auto" w:val="clear"/>
          <w:lang w:val="en-US"/>
        </w:rPr>
        <w:t xml:space="preserve"> is found in only two clusters (</w:t>
      </w:r>
      <w:r>
        <w:rPr>
          <w:rStyle w:val="style15"/>
          <w:rFonts w:ascii="Arial" w:hAnsi="Arial"/>
          <w:shd w:fill="auto" w:val="clear"/>
          <w:lang w:val="en-US"/>
        </w:rPr>
        <w:t>Fig 2B,D</w:t>
      </w:r>
      <w:r>
        <w:rPr>
          <w:rFonts w:ascii="Arial" w:hAnsi="Arial"/>
          <w:shd w:fill="auto" w:val="clear"/>
          <w:lang w:val="en-US"/>
        </w:rPr>
        <w:t>)</w:t>
      </w:r>
      <w:r>
        <w:rPr>
          <w:rFonts w:ascii="Arial" w:hAnsi="Arial"/>
          <w:shd w:fill="auto" w:val="clear"/>
          <w:lang w:val="en-US"/>
        </w:rPr>
        <w:t>.</w:t>
      </w:r>
    </w:p>
    <w:p>
      <w:pPr>
        <w:pStyle w:val="style31"/>
        <w:spacing w:line="360" w:lineRule="auto"/>
        <w:ind w:hanging="0" w:left="0" w:right="0"/>
        <w:rPr>
          <w:rFonts w:ascii="Arial" w:hAnsi="Arial"/>
          <w:shd w:fill="auto" w:val="clear"/>
          <w:lang w:val="en-US"/>
        </w:rPr>
      </w:pPr>
      <w:r>
        <w:rPr>
          <w:rFonts w:ascii="Arial" w:hAnsi="Arial"/>
          <w:shd w:fill="auto" w:val="clear"/>
          <w:lang w:val="en-US"/>
        </w:rPr>
        <w:t>The number of genes per cluster ranged from 3 (cluster 3) to 70 (cluster 11). For antagonistic profiles, 30% of the genes (34/112) correspond to a decrease of the T3-m</w:t>
      </w:r>
      <w:r>
        <w:rPr>
          <w:rFonts w:ascii="Arial" w:hAnsi="Arial"/>
          <w:lang w:val="en-US"/>
        </w:rPr>
        <w:t>ediated induction by CORT, while of 70% of the genes (78/112) correspond to a decrease of the T</w:t>
      </w:r>
      <w:r>
        <w:rPr>
          <w:rFonts w:ascii="Arial" w:hAnsi="Arial"/>
          <w:vertAlign w:val="subscript"/>
          <w:lang w:val="en-US"/>
        </w:rPr>
        <w:t>3</w:t>
      </w:r>
      <w:r>
        <w:rPr>
          <w:rFonts w:ascii="Arial" w:hAnsi="Arial"/>
          <w:lang w:val="en-US"/>
        </w:rPr>
        <w:t>-mediated repression</w:t>
      </w:r>
      <w:r>
        <w:rPr>
          <w:rFonts w:ascii="Arial" w:hAnsi="Arial"/>
          <w:lang w:val="en-US"/>
        </w:rPr>
        <w:t>.</w:t>
      </w:r>
      <w:r>
        <w:rPr>
          <w:rFonts w:ascii="Arial" w:hAnsi="Arial"/>
          <w:shd w:fill="auto" w:val="clear"/>
          <w:lang w:val="en-US"/>
        </w:rPr>
        <w:t xml:space="preserve"> </w:t>
      </w:r>
      <w:r>
        <w:rPr>
          <w:rFonts w:ascii="Arial" w:hAnsi="Arial"/>
          <w:shd w:fill="auto" w:val="clear"/>
          <w:lang w:val="en-US"/>
        </w:rPr>
        <w:t>For “potentiated” genes, this situation is less contrasted, with 42% of the genes corresponding to a “potentiated” T</w:t>
      </w:r>
      <w:r>
        <w:rPr>
          <w:rFonts w:ascii="Arial" w:hAnsi="Arial"/>
          <w:shd w:fill="auto" w:val="clear"/>
          <w:vertAlign w:val="subscript"/>
          <w:lang w:val="en-US"/>
        </w:rPr>
        <w:t>3</w:t>
      </w:r>
      <w:r>
        <w:rPr>
          <w:rFonts w:ascii="Arial" w:hAnsi="Arial"/>
          <w:shd w:fill="auto" w:val="clear"/>
          <w:lang w:val="en-US"/>
        </w:rPr>
        <w:t xml:space="preserve"> effect are upregulated and 58% downregulated.</w:t>
      </w:r>
    </w:p>
    <w:p>
      <w:pPr>
        <w:pStyle w:val="style31"/>
        <w:spacing w:line="360" w:lineRule="auto"/>
        <w:ind w:hanging="0" w:left="0" w:right="0"/>
        <w:rPr>
          <w:rFonts w:ascii="Arial" w:hAnsi="Arial"/>
          <w:shd w:fill="auto" w:val="clear"/>
          <w:lang w:val="en-US"/>
        </w:rPr>
      </w:pPr>
      <w:r>
        <w:rPr>
          <w:rFonts w:ascii="Arial" w:hAnsi="Arial"/>
          <w:shd w:fill="auto" w:val="clear"/>
          <w:lang w:val="en-US"/>
        </w:rPr>
        <w:t>Interestingly, in co-treatment, antagonism of T</w:t>
      </w:r>
      <w:r>
        <w:rPr>
          <w:rFonts w:ascii="Arial" w:hAnsi="Arial"/>
          <w:shd w:fill="auto" w:val="clear"/>
          <w:vertAlign w:val="subscript"/>
          <w:lang w:val="en-US"/>
        </w:rPr>
        <w:t>3</w:t>
      </w:r>
      <w:r>
        <w:rPr>
          <w:rFonts w:ascii="Arial" w:hAnsi="Arial"/>
          <w:shd w:fill="auto" w:val="clear"/>
          <w:lang w:val="en-US"/>
        </w:rPr>
        <w:t xml:space="preserve"> effects (</w:t>
      </w:r>
      <w:r>
        <w:rPr>
          <w:rStyle w:val="style15"/>
          <w:rFonts w:ascii="Arial" w:hAnsi="Arial"/>
          <w:shd w:fill="auto" w:val="clear"/>
          <w:lang w:val="en-US"/>
        </w:rPr>
        <w:t xml:space="preserve">Fig </w:t>
      </w:r>
      <w:r>
        <w:rPr>
          <w:rStyle w:val="style15"/>
          <w:rFonts w:ascii="Arial" w:hAnsi="Arial"/>
          <w:shd w:fill="auto" w:val="clear"/>
          <w:lang w:val="en-US"/>
        </w:rPr>
        <w:t>2</w:t>
      </w:r>
      <w:r>
        <w:rPr>
          <w:rStyle w:val="style15"/>
          <w:rFonts w:ascii="Arial" w:hAnsi="Arial"/>
          <w:shd w:fill="auto" w:val="clear"/>
          <w:lang w:val="en-US"/>
        </w:rPr>
        <w:t>A</w:t>
      </w:r>
      <w:r>
        <w:rPr>
          <w:rFonts w:ascii="Arial" w:hAnsi="Arial"/>
          <w:shd w:fill="auto" w:val="clear"/>
          <w:lang w:val="en-US"/>
        </w:rPr>
        <w:t>) arises irrespectively of the CORT effects alone. Indeed, clusters 1, 2 and 4 show little or no CORT effect alone, while the T</w:t>
      </w:r>
      <w:r>
        <w:rPr>
          <w:rFonts w:ascii="Arial" w:hAnsi="Arial"/>
          <w:shd w:fill="auto" w:val="clear"/>
          <w:vertAlign w:val="subscript"/>
          <w:lang w:val="en-US"/>
        </w:rPr>
        <w:t>3</w:t>
      </w:r>
      <w:r>
        <w:rPr>
          <w:rFonts w:ascii="Arial" w:hAnsi="Arial"/>
          <w:shd w:fill="auto" w:val="clear"/>
          <w:lang w:val="en-US"/>
        </w:rPr>
        <w:t xml:space="preserve"> effect is strongly affected in co-treatment. A similar conclusion can be drawn for cluster 3 and clusters 5, with a small to strong induction or repression in CORT treatment alone. In cluster 6, the strong CORT effect is weakened by T</w:t>
      </w:r>
      <w:r>
        <w:rPr>
          <w:rFonts w:ascii="Arial" w:hAnsi="Arial"/>
          <w:shd w:fill="auto" w:val="clear"/>
          <w:vertAlign w:val="subscript"/>
          <w:lang w:val="en-US"/>
        </w:rPr>
        <w:t>3</w:t>
      </w:r>
      <w:r>
        <w:rPr>
          <w:rFonts w:ascii="Arial" w:hAnsi="Arial"/>
          <w:shd w:fill="auto" w:val="clear"/>
          <w:lang w:val="en-US"/>
        </w:rPr>
        <w:t>, although T</w:t>
      </w:r>
      <w:r>
        <w:rPr>
          <w:rFonts w:ascii="Arial" w:hAnsi="Arial"/>
          <w:shd w:fill="auto" w:val="clear"/>
          <w:vertAlign w:val="subscript"/>
          <w:lang w:val="en-US"/>
        </w:rPr>
        <w:t>3</w:t>
      </w:r>
      <w:r>
        <w:rPr>
          <w:rFonts w:ascii="Arial" w:hAnsi="Arial"/>
          <w:shd w:fill="auto" w:val="clear"/>
          <w:lang w:val="en-US"/>
        </w:rPr>
        <w:t xml:space="preserve"> alone has no effect (</w:t>
      </w:r>
      <w:r>
        <w:rPr>
          <w:rStyle w:val="style15"/>
          <w:rFonts w:ascii="Arial" w:hAnsi="Arial"/>
          <w:shd w:fill="auto" w:val="clear"/>
          <w:lang w:val="en-US"/>
        </w:rPr>
        <w:t>Fig 2B</w:t>
      </w:r>
      <w:r>
        <w:rPr>
          <w:rFonts w:ascii="Arial" w:hAnsi="Arial"/>
          <w:shd w:fill="auto" w:val="clear"/>
          <w:lang w:val="en-US"/>
        </w:rPr>
        <w:t>). “Potentiated” effects (i.e. CORT driven increase of T</w:t>
      </w:r>
      <w:r>
        <w:rPr>
          <w:rFonts w:ascii="Arial" w:hAnsi="Arial"/>
          <w:shd w:fill="auto" w:val="clear"/>
          <w:vertAlign w:val="subscript"/>
          <w:lang w:val="en-US"/>
        </w:rPr>
        <w:t>3</w:t>
      </w:r>
      <w:r>
        <w:rPr>
          <w:rFonts w:ascii="Arial" w:hAnsi="Arial"/>
          <w:shd w:fill="auto" w:val="clear"/>
          <w:lang w:val="en-US"/>
        </w:rPr>
        <w:t xml:space="preserve"> effect, </w:t>
      </w:r>
      <w:r>
        <w:rPr>
          <w:rStyle w:val="style15"/>
          <w:rFonts w:ascii="Arial" w:hAnsi="Arial"/>
          <w:shd w:fill="auto" w:val="clear"/>
          <w:lang w:val="en-US"/>
        </w:rPr>
        <w:t xml:space="preserve">Fig </w:t>
      </w:r>
      <w:r>
        <w:rPr>
          <w:rStyle w:val="style15"/>
          <w:rFonts w:ascii="Arial" w:hAnsi="Arial"/>
          <w:shd w:fill="auto" w:val="clear"/>
          <w:lang w:val="en-US"/>
        </w:rPr>
        <w:t>2C</w:t>
      </w:r>
      <w:r>
        <w:rPr>
          <w:rFonts w:ascii="Arial" w:hAnsi="Arial"/>
          <w:shd w:fill="auto" w:val="clear"/>
          <w:lang w:val="en-US"/>
        </w:rPr>
        <w:t>) occur only when the CORT and T</w:t>
      </w:r>
      <w:r>
        <w:rPr>
          <w:rFonts w:ascii="Arial" w:hAnsi="Arial"/>
          <w:shd w:fill="auto" w:val="clear"/>
          <w:vertAlign w:val="subscript"/>
          <w:lang w:val="en-US"/>
        </w:rPr>
        <w:t>3</w:t>
      </w:r>
      <w:r>
        <w:rPr>
          <w:rFonts w:ascii="Arial" w:hAnsi="Arial"/>
          <w:shd w:fill="auto" w:val="clear"/>
          <w:lang w:val="en-US"/>
        </w:rPr>
        <w:t xml:space="preserve"> effects both correspond to an induction or a repression of gene expression. This is also true for cluster 11, where T</w:t>
      </w:r>
      <w:r>
        <w:rPr>
          <w:rFonts w:ascii="Arial" w:hAnsi="Arial"/>
          <w:shd w:fill="auto" w:val="clear"/>
          <w:vertAlign w:val="subscript"/>
          <w:lang w:val="en-US"/>
        </w:rPr>
        <w:t>3</w:t>
      </w:r>
      <w:r>
        <w:rPr>
          <w:rFonts w:ascii="Arial" w:hAnsi="Arial"/>
          <w:shd w:fill="auto" w:val="clear"/>
          <w:lang w:val="en-US"/>
        </w:rPr>
        <w:t xml:space="preserve"> and CORT co-treatment increases the CORT effect, although T</w:t>
      </w:r>
      <w:r>
        <w:rPr>
          <w:rFonts w:ascii="Arial" w:hAnsi="Arial"/>
          <w:shd w:fill="auto" w:val="clear"/>
          <w:vertAlign w:val="subscript"/>
          <w:lang w:val="en-US"/>
        </w:rPr>
        <w:t>3</w:t>
      </w:r>
      <w:r>
        <w:rPr>
          <w:rFonts w:ascii="Arial" w:hAnsi="Arial"/>
          <w:shd w:fill="auto" w:val="clear"/>
          <w:lang w:val="en-US"/>
        </w:rPr>
        <w:t xml:space="preserve"> alone has no effect (</w:t>
      </w:r>
      <w:r>
        <w:rPr>
          <w:rStyle w:val="style15"/>
          <w:rFonts w:ascii="Arial" w:hAnsi="Arial"/>
          <w:shd w:fill="auto" w:val="clear"/>
          <w:lang w:val="en-US"/>
        </w:rPr>
        <w:t>Fig 2D</w:t>
      </w:r>
      <w:r>
        <w:rPr>
          <w:rFonts w:ascii="Arial" w:hAnsi="Arial"/>
          <w:shd w:fill="auto" w:val="clear"/>
          <w:lang w:val="en-US"/>
        </w:rPr>
        <w:t>).</w:t>
      </w:r>
    </w:p>
    <w:p>
      <w:pPr>
        <w:pStyle w:val="style2"/>
        <w:spacing w:line="360" w:lineRule="auto"/>
        <w:rPr>
          <w:rFonts w:ascii="Arial" w:hAnsi="Arial"/>
          <w:lang w:val="en-US"/>
        </w:rPr>
      </w:pPr>
      <w:r>
        <w:rPr>
          <w:rFonts w:ascii="Arial" w:hAnsi="Arial"/>
          <w:lang w:val="en-US"/>
        </w:rPr>
        <w:t>Glucocorticoid affect TH driven expression of genes involved in skeletal establishment and maintenance</w:t>
      </w:r>
    </w:p>
    <w:p>
      <w:pPr>
        <w:pStyle w:val="style31"/>
        <w:spacing w:line="360" w:lineRule="auto"/>
        <w:rPr>
          <w:rFonts w:ascii="Arial" w:hAnsi="Arial"/>
          <w:lang w:val="en-US"/>
        </w:rPr>
      </w:pPr>
      <w:r>
        <w:rPr>
          <w:rFonts w:ascii="Arial" w:hAnsi="Arial"/>
          <w:lang w:val="en-US"/>
        </w:rPr>
        <w:t>Gene ontology analysis on the final datasets revealed enrichment in terms typically associated with response to TH and GC: inflammation, immune system, metabolism and cell cycle. Comparision with KEGG pathways and the REACTOME database lead to a similar conclusion. These categories are consistent with known biology of TH and GC at a physiological, cellular and molecular level. We then set out to further characterize the function of the genes composing our final dataset, and completed these analyses with a systematic and manual review of the biological functions and pathologies associated to these genes (bibli</w:t>
      </w:r>
      <w:r>
        <w:rPr>
          <w:rFonts w:ascii="Arial" w:hAnsi="Arial"/>
          <w:shd w:fill="auto" w:val="clear"/>
          <w:lang w:val="en-US"/>
        </w:rPr>
        <w:t>ography and NCBI gene pages). We then derived a map connecting each gene to biological functions / pathologies (</w:t>
      </w:r>
      <w:r>
        <w:rPr>
          <w:rStyle w:val="style16"/>
          <w:rFonts w:ascii="Arial" w:hAnsi="Arial"/>
          <w:shd w:fill="auto" w:val="clear"/>
          <w:lang w:val="en-US"/>
        </w:rPr>
        <w:t>Fig S6</w:t>
      </w:r>
      <w:r>
        <w:rPr>
          <w:rFonts w:ascii="Arial" w:hAnsi="Arial"/>
          <w:shd w:fill="auto" w:val="clear"/>
          <w:lang w:val="en-US"/>
        </w:rPr>
        <w:t xml:space="preserve">, black links). We also included the functional interaction map from the BioGrid database </w:t>
      </w:r>
      <w:r>
        <w:rPr>
          <w:rFonts w:ascii="Arial" w:hAnsi="Arial"/>
          <w:position w:val="0"/>
          <w:sz w:val="24"/>
          <w:shd w:fill="auto" w:val="clear"/>
          <w:vertAlign w:val="baseline"/>
          <w:lang w:val="en-US"/>
        </w:rPr>
        <w:t>(</w:t>
      </w:r>
      <w:r>
        <w:rPr>
          <w:rStyle w:val="style26"/>
          <w:rFonts w:ascii="Arial" w:hAnsi="Arial"/>
          <w:shd w:fill="auto" w:val="clear"/>
          <w:lang w:val="en-US"/>
        </w:rPr>
        <w:t>[23]</w:t>
      </w:r>
      <w:r>
        <w:rPr>
          <w:rFonts w:ascii="Arial" w:hAnsi="Arial"/>
          <w:position w:val="0"/>
          <w:sz w:val="24"/>
          <w:shd w:fill="auto" w:val="clear"/>
          <w:vertAlign w:val="baseline"/>
          <w:lang w:val="en-US"/>
        </w:rPr>
        <w:t>)</w:t>
      </w:r>
      <w:r>
        <w:rPr>
          <w:rFonts w:ascii="Arial" w:hAnsi="Arial"/>
          <w:shd w:fill="auto" w:val="clear"/>
          <w:lang w:val="en-US"/>
        </w:rPr>
        <w:t>⁠ (</w:t>
      </w:r>
      <w:r>
        <w:rPr>
          <w:rStyle w:val="style16"/>
          <w:rFonts w:ascii="Arial" w:hAnsi="Arial"/>
          <w:shd w:fill="auto" w:val="clear"/>
          <w:lang w:val="en-US"/>
        </w:rPr>
        <w:t>Fig S6</w:t>
      </w:r>
      <w:r>
        <w:rPr>
          <w:rFonts w:ascii="Arial" w:hAnsi="Arial"/>
          <w:shd w:fill="auto" w:val="clear"/>
          <w:lang w:val="en-US"/>
        </w:rPr>
        <w:t>, magenta links). Strikingly, we found strong connections with skeletal development, maintenance and the associated pathologies (</w:t>
      </w:r>
      <w:r>
        <w:rPr>
          <w:rStyle w:val="style15"/>
          <w:rFonts w:ascii="Arial" w:hAnsi="Arial"/>
          <w:shd w:fill="auto" w:val="clear"/>
          <w:lang w:val="en-US"/>
        </w:rPr>
        <w:t>Fig 3A</w:t>
      </w:r>
      <w:r>
        <w:rPr>
          <w:rFonts w:ascii="Arial" w:hAnsi="Arial"/>
          <w:shd w:fill="auto" w:val="clear"/>
          <w:lang w:val="en-US"/>
        </w:rPr>
        <w:t xml:space="preserve">). A summary of these interactions is shown </w:t>
      </w:r>
      <w:r>
        <w:rPr>
          <w:rStyle w:val="style15"/>
          <w:rFonts w:ascii="Arial" w:hAnsi="Arial"/>
          <w:shd w:fill="auto" w:val="clear"/>
          <w:lang w:val="en-US"/>
        </w:rPr>
        <w:t xml:space="preserve">Fig </w:t>
      </w:r>
      <w:r>
        <w:rPr>
          <w:rStyle w:val="style15"/>
          <w:rFonts w:ascii="Arial" w:hAnsi="Arial"/>
          <w:shd w:fill="auto" w:val="clear"/>
          <w:lang w:val="en-US"/>
        </w:rPr>
        <w:t>3B</w:t>
      </w:r>
      <w:r>
        <w:rPr>
          <w:rFonts w:ascii="Arial" w:hAnsi="Arial"/>
          <w:shd w:fill="auto" w:val="clear"/>
          <w:lang w:val="en-US"/>
        </w:rPr>
        <w:t>, where the dataset is restricted to the categories related to skeletal structure, development and maintenance (“matrix”, “bone”, “cartilage”)</w:t>
      </w:r>
      <w:r>
        <w:rPr>
          <w:rFonts w:ascii="Arial" w:hAnsi="Arial"/>
          <w:shd w:fill="auto" w:val="clear"/>
          <w:lang w:val="en-US"/>
        </w:rPr>
        <w:t xml:space="preserve"> </w:t>
      </w:r>
      <w:r>
        <w:rPr>
          <w:rFonts w:ascii="Arial" w:hAnsi="Arial"/>
          <w:shd w:fill="auto" w:val="clear"/>
          <w:lang w:val="en-US"/>
        </w:rPr>
        <w:t>and</w:t>
      </w:r>
      <w:r>
        <w:rPr>
          <w:rFonts w:ascii="Arial" w:hAnsi="Arial"/>
          <w:shd w:fill="auto" w:val="clear"/>
          <w:lang w:val="en-US"/>
        </w:rPr>
        <w:t xml:space="preserve"> pathological </w:t>
      </w:r>
      <w:r>
        <w:rPr>
          <w:rFonts w:ascii="Arial" w:hAnsi="Arial"/>
          <w:shd w:fill="auto" w:val="clear"/>
          <w:lang w:val="en-US"/>
        </w:rPr>
        <w:t>contexts</w:t>
      </w:r>
      <w:r>
        <w:rPr>
          <w:rFonts w:ascii="Arial" w:hAnsi="Arial"/>
          <w:shd w:fill="auto" w:val="clear"/>
          <w:lang w:val="en-US"/>
        </w:rPr>
        <w:t xml:space="preserve"> (“rheumatoid arthritis</w:t>
      </w:r>
      <w:r>
        <w:rPr>
          <w:rFonts w:ascii="Arial" w:hAnsi="Arial"/>
          <w:lang w:val="en-US"/>
        </w:rPr>
        <w:t xml:space="preserve">”, “osteoarthritis”, “osteoporosis”, and “spondylitis ankylosis”). </w:t>
      </w:r>
      <w:r>
        <w:rPr>
          <w:rFonts w:ascii="Arial" w:hAnsi="Arial"/>
          <w:lang w:val="en-US"/>
        </w:rPr>
        <w:t>We could confirm RNA-Seq results by RT-qPCR (</w:t>
      </w:r>
      <w:r>
        <w:rPr>
          <w:rFonts w:ascii="Arial" w:hAnsi="Arial"/>
          <w:shd w:fill="auto" w:val="clear"/>
          <w:lang w:val="en-US"/>
        </w:rPr>
        <w:t>Fig S</w:t>
      </w:r>
      <w:r>
        <w:rPr>
          <w:rFonts w:ascii="Arial" w:hAnsi="Arial"/>
          <w:shd w:fill="auto" w:val="clear"/>
          <w:lang w:val="en-US"/>
        </w:rPr>
        <w:t>7</w:t>
      </w:r>
      <w:r>
        <w:rPr>
          <w:rFonts w:ascii="Arial" w:hAnsi="Arial"/>
          <w:lang w:val="en-US"/>
        </w:rPr>
        <w:t>).</w:t>
      </w:r>
    </w:p>
    <w:p>
      <w:pPr>
        <w:pStyle w:val="style31"/>
        <w:spacing w:line="360" w:lineRule="auto"/>
        <w:ind w:hanging="0" w:left="0" w:right="0"/>
        <w:rPr>
          <w:rFonts w:ascii="Arial" w:hAnsi="Arial"/>
          <w:lang w:val="en-US"/>
        </w:rPr>
      </w:pPr>
      <w:r>
        <w:rPr>
          <w:rFonts w:ascii="Arial" w:hAnsi="Arial"/>
          <w:lang w:val="en-US"/>
        </w:rPr>
        <w:t xml:space="preserve">Almost half of the genes (24/53) are involved in limb development and skeletal structure establishment, while 35/53 are linked to pathologies. We found a limited number of functional interactions between genes. In fact, with the exception of </w:t>
      </w:r>
      <w:r>
        <w:rPr>
          <w:rStyle w:val="style17"/>
          <w:rFonts w:ascii="Arial" w:hAnsi="Arial"/>
          <w:lang w:val="en-US"/>
        </w:rPr>
        <w:t>capn1-sh3bgr</w:t>
      </w:r>
      <w:r>
        <w:rPr>
          <w:rFonts w:ascii="Arial" w:hAnsi="Arial"/>
          <w:lang w:val="en-US"/>
        </w:rPr>
        <w:t xml:space="preserve">, all interactions connect together </w:t>
      </w:r>
      <w:r>
        <w:rPr>
          <w:rStyle w:val="style17"/>
          <w:rFonts w:ascii="Arial" w:hAnsi="Arial"/>
          <w:lang w:val="en-US"/>
        </w:rPr>
        <w:t>kif22</w:t>
      </w:r>
      <w:r>
        <w:rPr>
          <w:rStyle w:val="style17"/>
          <w:rFonts w:ascii="Arial" w:hAnsi="Arial"/>
          <w:i/>
          <w:iCs/>
          <w:lang w:val="en-US"/>
        </w:rPr>
        <w:t xml:space="preserve">, </w:t>
      </w:r>
      <w:r>
        <w:rPr>
          <w:rStyle w:val="style17"/>
          <w:rFonts w:ascii="Arial" w:hAnsi="Arial"/>
          <w:lang w:val="en-US"/>
        </w:rPr>
        <w:t>tat</w:t>
      </w:r>
      <w:r>
        <w:rPr>
          <w:rStyle w:val="style17"/>
          <w:rFonts w:ascii="Arial" w:hAnsi="Arial"/>
          <w:i/>
          <w:iCs/>
          <w:lang w:val="en-US"/>
        </w:rPr>
        <w:t xml:space="preserve">, </w:t>
      </w:r>
      <w:r>
        <w:rPr>
          <w:rStyle w:val="style17"/>
          <w:rFonts w:ascii="Arial" w:hAnsi="Arial"/>
          <w:lang w:val="en-US"/>
        </w:rPr>
        <w:t>il8, txnip</w:t>
      </w:r>
      <w:r>
        <w:rPr>
          <w:rStyle w:val="style17"/>
          <w:rFonts w:ascii="Arial" w:hAnsi="Arial"/>
          <w:i/>
          <w:iCs/>
          <w:lang w:val="en-US"/>
        </w:rPr>
        <w:t xml:space="preserve">, </w:t>
      </w:r>
      <w:r>
        <w:rPr>
          <w:rStyle w:val="style17"/>
          <w:rFonts w:ascii="Arial" w:hAnsi="Arial"/>
          <w:lang w:val="en-US"/>
        </w:rPr>
        <w:t>txn, cd40</w:t>
      </w:r>
      <w:r>
        <w:rPr>
          <w:rStyle w:val="style17"/>
          <w:rFonts w:ascii="Arial" w:hAnsi="Arial"/>
          <w:i/>
          <w:iCs/>
          <w:lang w:val="en-US"/>
        </w:rPr>
        <w:t xml:space="preserve">, </w:t>
      </w:r>
      <w:r>
        <w:rPr>
          <w:rStyle w:val="style17"/>
          <w:rFonts w:ascii="Arial" w:hAnsi="Arial"/>
          <w:lang w:val="en-US"/>
        </w:rPr>
        <w:t>tank</w:t>
      </w:r>
      <w:r>
        <w:rPr>
          <w:rStyle w:val="style17"/>
          <w:rFonts w:ascii="Arial" w:hAnsi="Arial"/>
          <w:i/>
          <w:iCs/>
          <w:lang w:val="en-US"/>
        </w:rPr>
        <w:t xml:space="preserve">, </w:t>
      </w:r>
      <w:r>
        <w:rPr>
          <w:rStyle w:val="style17"/>
          <w:rFonts w:ascii="Arial" w:hAnsi="Arial"/>
          <w:lang w:val="en-US"/>
        </w:rPr>
        <w:t>traf3</w:t>
      </w:r>
      <w:r>
        <w:rPr>
          <w:rStyle w:val="style17"/>
          <w:rFonts w:ascii="Arial" w:hAnsi="Arial"/>
          <w:lang w:val="en-US"/>
        </w:rPr>
        <w:t xml:space="preserve">m, </w:t>
      </w:r>
      <w:r>
        <w:rPr>
          <w:rStyle w:val="style17"/>
          <w:rFonts w:ascii="Arial" w:hAnsi="Arial"/>
          <w:lang w:val="en-US"/>
        </w:rPr>
        <w:t>pik3r1</w:t>
      </w:r>
      <w:r>
        <w:rPr>
          <w:rStyle w:val="style17"/>
          <w:rFonts w:ascii="Arial" w:hAnsi="Arial"/>
          <w:i/>
          <w:iCs/>
          <w:lang w:val="en-US"/>
        </w:rPr>
        <w:t xml:space="preserve">, </w:t>
      </w:r>
      <w:r>
        <w:rPr>
          <w:rStyle w:val="style17"/>
          <w:rFonts w:ascii="Arial" w:hAnsi="Arial"/>
          <w:lang w:val="en-US"/>
        </w:rPr>
        <w:t xml:space="preserve">dlx2, </w:t>
      </w:r>
      <w:r>
        <w:rPr>
          <w:rStyle w:val="style17"/>
          <w:rFonts w:ascii="Arial" w:hAnsi="Arial"/>
          <w:lang w:val="en-US"/>
        </w:rPr>
        <w:t>sco1</w:t>
      </w:r>
      <w:r>
        <w:rPr>
          <w:rFonts w:ascii="Arial" w:hAnsi="Arial"/>
          <w:lang w:val="en-US"/>
        </w:rPr>
        <w:t>, most of which are connected to various skeletal pathologies (7/11). Only two genes (tat and sco1) are not connected either to structural or to pathological components. Genes are mostly connected to osteoarthritis and rheumatoid arthritis (53%, 28/53). Interestingly, 31% (12/39) of genes connected to pathologies are known to be involved in the genesis of skeletal alterations and disorders.</w:t>
      </w:r>
    </w:p>
    <w:p>
      <w:pPr>
        <w:pStyle w:val="style2"/>
        <w:spacing w:line="360" w:lineRule="auto"/>
        <w:rPr>
          <w:rFonts w:ascii="Arial" w:hAnsi="Arial"/>
          <w:lang w:val="en-US"/>
        </w:rPr>
      </w:pPr>
      <w:r>
        <w:rPr>
          <w:rFonts w:ascii="Arial" w:hAnsi="Arial"/>
          <w:lang w:val="en-US"/>
        </w:rPr>
        <w:t xml:space="preserve">Crosstalk between GC and </w:t>
      </w:r>
      <w:r>
        <w:rPr>
          <w:rFonts w:ascii="Arial" w:hAnsi="Arial"/>
          <w:lang w:val="en-US"/>
        </w:rPr>
        <w:t xml:space="preserve">TH </w:t>
      </w:r>
      <w:r>
        <w:rPr>
          <w:rFonts w:ascii="Arial" w:hAnsi="Arial"/>
          <w:lang w:val="en-US"/>
        </w:rPr>
        <w:t>affects</w:t>
      </w:r>
      <w:r>
        <w:rPr>
          <w:rFonts w:ascii="Arial" w:hAnsi="Arial"/>
          <w:lang w:val="en-US"/>
        </w:rPr>
        <w:t xml:space="preserve"> skeletal development </w:t>
      </w:r>
      <w:r>
        <w:rPr>
          <w:rFonts w:ascii="Arial" w:hAnsi="Arial"/>
          <w:lang w:val="en-US"/>
        </w:rPr>
        <w:t>during metamorphosis</w:t>
      </w:r>
    </w:p>
    <w:p>
      <w:pPr>
        <w:pStyle w:val="style31"/>
        <w:spacing w:line="360" w:lineRule="auto"/>
        <w:ind w:hanging="0" w:left="0" w:right="0"/>
        <w:rPr>
          <w:rFonts w:ascii="Arial" w:hAnsi="Arial"/>
          <w:shd w:fill="auto" w:val="clear"/>
          <w:lang w:val="en-US"/>
        </w:rPr>
      </w:pPr>
      <w:r>
        <w:rPr>
          <w:rFonts w:ascii="Arial" w:hAnsi="Arial"/>
          <w:lang w:val="en-US"/>
        </w:rPr>
        <w:t>We next addressed whether the interaction between TH and GC at the transcriptomic level translates into morphological changes during hindlimb development. To this end, we treated premetamorphic NF54 tadpoles with a 24h pulse of 10 nM T</w:t>
      </w:r>
      <w:r>
        <w:rPr>
          <w:rFonts w:ascii="Arial" w:hAnsi="Arial"/>
          <w:vertAlign w:val="subscript"/>
          <w:lang w:val="en-US"/>
        </w:rPr>
        <w:t>3</w:t>
      </w:r>
      <w:r>
        <w:rPr>
          <w:rFonts w:ascii="Arial" w:hAnsi="Arial"/>
          <w:lang w:val="en-US"/>
        </w:rPr>
        <w:t xml:space="preserve"> and/or 100 nM CORT, and carried out bone and cartilage staining after 48h (no difference was observed just after the treatment). For the control experiment as well as the T</w:t>
      </w:r>
      <w:r>
        <w:rPr>
          <w:rFonts w:ascii="Arial" w:hAnsi="Arial"/>
          <w:vertAlign w:val="subscript"/>
          <w:lang w:val="en-US"/>
        </w:rPr>
        <w:t>3</w:t>
      </w:r>
      <w:r>
        <w:rPr>
          <w:rFonts w:ascii="Arial" w:hAnsi="Arial"/>
          <w:lang w:val="en-US"/>
        </w:rPr>
        <w:t xml:space="preserve"> and CORT treatment, the developing hindlimb a showed strong and uniform blue staining corresponding to cartilage. Strikingly, after co-treatment with T</w:t>
      </w:r>
      <w:r>
        <w:rPr>
          <w:rFonts w:ascii="Arial" w:hAnsi="Arial"/>
          <w:vertAlign w:val="subscript"/>
          <w:lang w:val="en-US"/>
        </w:rPr>
        <w:t>3</w:t>
      </w:r>
      <w:r>
        <w:rPr>
          <w:rFonts w:ascii="Arial" w:hAnsi="Arial"/>
          <w:lang w:val="en-US"/>
        </w:rPr>
        <w:t xml:space="preserve"> and CORT, limb showed a strong and localized red staining at the </w:t>
      </w:r>
      <w:r>
        <w:rPr>
          <w:rFonts w:ascii="Arial" w:hAnsi="Arial"/>
          <w:shd w:fill="auto" w:val="clear"/>
          <w:lang w:val="en-US"/>
        </w:rPr>
        <w:t>center of the long bones, indicative of early ossification (</w:t>
      </w:r>
      <w:r>
        <w:rPr>
          <w:rStyle w:val="style15"/>
          <w:rFonts w:ascii="Arial" w:hAnsi="Arial"/>
          <w:shd w:fill="auto" w:val="clear"/>
          <w:lang w:val="en-US"/>
        </w:rPr>
        <w:t>Fig 4A</w:t>
      </w:r>
      <w:r>
        <w:rPr>
          <w:rFonts w:ascii="Arial" w:hAnsi="Arial"/>
          <w:shd w:fill="auto" w:val="clear"/>
          <w:lang w:val="en-US"/>
        </w:rPr>
        <w:t>).</w:t>
      </w:r>
    </w:p>
    <w:p>
      <w:pPr>
        <w:pStyle w:val="style0"/>
        <w:spacing w:line="360" w:lineRule="auto"/>
        <w:rPr>
          <w:rFonts w:ascii="Arial" w:hAnsi="Arial"/>
          <w:b/>
          <w:bCs/>
          <w:sz w:val="28"/>
          <w:szCs w:val="28"/>
          <w:lang w:val="en-US"/>
        </w:rPr>
      </w:pPr>
      <w:r>
        <w:rPr>
          <w:rFonts w:ascii="Arial" w:hAnsi="Arial"/>
          <w:b/>
          <w:bCs/>
          <w:sz w:val="28"/>
          <w:szCs w:val="28"/>
          <w:lang w:val="en-US"/>
        </w:rPr>
      </w:r>
    </w:p>
    <w:p>
      <w:pPr>
        <w:pStyle w:val="style0"/>
        <w:spacing w:line="360" w:lineRule="auto"/>
        <w:rPr>
          <w:rFonts w:ascii="Arial" w:hAnsi="Arial"/>
          <w:b/>
          <w:bCs/>
          <w:sz w:val="28"/>
          <w:szCs w:val="28"/>
          <w:lang w:val="en-US"/>
        </w:rPr>
      </w:pPr>
      <w:r>
        <w:rPr>
          <w:rFonts w:ascii="Arial" w:hAnsi="Arial"/>
          <w:b/>
          <w:bCs/>
          <w:sz w:val="28"/>
          <w:szCs w:val="28"/>
          <w:lang w:val="en-US"/>
        </w:rPr>
        <w:t>Discussion</w:t>
      </w:r>
    </w:p>
    <w:p>
      <w:pPr>
        <w:pStyle w:val="style0"/>
        <w:spacing w:line="360" w:lineRule="auto"/>
        <w:rPr>
          <w:rFonts w:ascii="Arial" w:hAnsi="Arial"/>
          <w:lang w:val="en-US"/>
        </w:rPr>
      </w:pPr>
      <w:r>
        <w:rPr>
          <w:rFonts w:ascii="Arial" w:hAnsi="Arial"/>
          <w:lang w:val="en-US"/>
        </w:rPr>
      </w:r>
    </w:p>
    <w:p>
      <w:pPr>
        <w:pStyle w:val="style0"/>
        <w:spacing w:line="360" w:lineRule="auto"/>
        <w:rPr>
          <w:rFonts w:ascii="Arial" w:hAnsi="Arial"/>
          <w:lang w:val="en-US"/>
        </w:rPr>
      </w:pPr>
      <w:r>
        <w:rPr>
          <w:rFonts w:ascii="Arial" w:hAnsi="Arial"/>
          <w:lang w:val="en-US"/>
        </w:rPr>
        <w:t xml:space="preserve">In this paper, we show that GC and TH pathways interact at </w:t>
      </w:r>
      <w:r>
        <w:rPr>
          <w:rFonts w:ascii="Arial" w:hAnsi="Arial"/>
          <w:lang w:val="en-US"/>
        </w:rPr>
        <w:t xml:space="preserve">the post-embryonic transition. The importance of TH and GC signaling as integral components of the functional relays coordinating developmental processes </w:t>
      </w:r>
      <w:r>
        <w:rPr>
          <w:rFonts w:ascii="Arial" w:hAnsi="Arial"/>
          <w:lang w:val="en-US"/>
        </w:rPr>
        <w:t>is well</w:t>
      </w:r>
      <w:r>
        <w:rPr>
          <w:rFonts w:ascii="Arial" w:hAnsi="Arial"/>
          <w:lang w:val="en-US"/>
        </w:rPr>
        <w:t xml:space="preserve"> described</w:t>
      </w:r>
      <w:r>
        <w:rPr>
          <w:rFonts w:ascii="Arial" w:hAnsi="Arial"/>
          <w:shd w:fill="auto" w:val="clear"/>
          <w:lang w:val="en-US"/>
        </w:rPr>
        <w:t xml:space="preserve"> (</w:t>
      </w:r>
      <w:r>
        <w:rPr>
          <w:rStyle w:val="style26"/>
          <w:rFonts w:ascii="Arial" w:hAnsi="Arial"/>
          <w:shd w:fill="auto" w:val="clear"/>
          <w:lang w:val="en-US"/>
        </w:rPr>
        <w:t>[26]</w:t>
      </w:r>
      <w:r>
        <w:rPr>
          <w:rFonts w:ascii="Arial" w:hAnsi="Arial"/>
          <w:lang w:val="en-US"/>
        </w:rPr>
        <w:t>). In addition to their role in development and the control of homeostatis, perturbations of these two pathways are also linked to a number of human diseases and pathologies. The GC pathway is of special interest because of the popular use of GC-based anti-inflammatory therapies, for example in provoking lung maturation in newborns. Little is known about the crosstalks between TH and GC pathways at this post-embryonic transition and their potential effects later in life.</w:t>
      </w:r>
    </w:p>
    <w:p>
      <w:pPr>
        <w:pStyle w:val="style0"/>
        <w:spacing w:line="360" w:lineRule="auto"/>
        <w:rPr>
          <w:rFonts w:ascii="Arial" w:hAnsi="Arial"/>
          <w:b/>
          <w:bCs/>
          <w:color w:val="auto"/>
          <w:lang w:val="en-US"/>
        </w:rPr>
      </w:pPr>
      <w:r>
        <w:rPr>
          <w:rFonts w:ascii="Arial" w:hAnsi="Arial"/>
          <w:b/>
          <w:bCs/>
          <w:color w:val="auto"/>
          <w:lang w:val="en-US"/>
        </w:rPr>
      </w:r>
    </w:p>
    <w:p>
      <w:pPr>
        <w:pStyle w:val="style31"/>
        <w:spacing w:line="360" w:lineRule="auto"/>
        <w:ind w:hanging="0" w:left="0" w:right="0"/>
        <w:rPr>
          <w:rFonts w:ascii="Arial" w:hAnsi="Arial"/>
          <w:b/>
          <w:bCs/>
          <w:color w:val="auto"/>
          <w:lang w:val="en-US"/>
        </w:rPr>
      </w:pPr>
      <w:r>
        <w:rPr>
          <w:rFonts w:ascii="Arial" w:hAnsi="Arial"/>
          <w:b/>
          <w:bCs/>
          <w:color w:val="auto"/>
          <w:lang w:val="en-US"/>
        </w:rPr>
        <w:t xml:space="preserve">What is the transcriptional landscape of the GC </w:t>
      </w:r>
      <w:r>
        <w:rPr>
          <w:rFonts w:ascii="Arial" w:hAnsi="Arial"/>
          <w:b/>
          <w:bCs/>
          <w:color w:val="auto"/>
          <w:lang w:val="en-US"/>
        </w:rPr>
        <w:t>-</w:t>
      </w:r>
      <w:r>
        <w:rPr>
          <w:rFonts w:ascii="Arial" w:hAnsi="Arial"/>
          <w:b/>
          <w:bCs/>
          <w:color w:val="auto"/>
          <w:lang w:val="en-US"/>
        </w:rPr>
        <w:t xml:space="preserve"> TH crosstalk?</w:t>
      </w:r>
    </w:p>
    <w:p>
      <w:pPr>
        <w:pStyle w:val="style31"/>
        <w:spacing w:line="360" w:lineRule="auto"/>
        <w:ind w:hanging="0" w:left="0" w:right="0"/>
        <w:rPr>
          <w:rFonts w:ascii="Arial" w:hAnsi="Arial"/>
          <w:color w:val="auto"/>
          <w:lang w:val="en-US"/>
        </w:rPr>
      </w:pPr>
      <w:r>
        <w:rPr>
          <w:rFonts w:ascii="Arial" w:hAnsi="Arial"/>
          <w:color w:val="auto"/>
          <w:lang w:val="en-US"/>
        </w:rPr>
        <w:t xml:space="preserve">After TH and GC co-treatment, the vast majority of genes follow a very stereotyped response corresponding either to a pure TH or GC effect. Surprisingly, only a moderate number of genes (~ 300) display altered expression profile and reflect interactions between TH and GC signaling ('potentiated' and 'antagonistic' genes). Given the large number of TH-responsive genes, this effect is qualitatively modest. Strikingly, we found a very limited number of GC regulated genes, suggesting that in absence of TH, limb growth is poorly responsive to GC </w:t>
      </w:r>
      <w:r>
        <w:rPr>
          <w:rFonts w:ascii="Arial" w:hAnsi="Arial"/>
          <w:color w:val="auto"/>
          <w:lang w:val="en-US"/>
        </w:rPr>
        <w:t>or that GC effects are efficiently buffered by non genomic cascades</w:t>
      </w:r>
      <w:r>
        <w:rPr>
          <w:rFonts w:ascii="Arial" w:hAnsi="Arial"/>
          <w:color w:val="auto"/>
          <w:lang w:val="en-US"/>
        </w:rPr>
        <w:t>. Therefore, relative to GC signaling, the crosstalk effect is massive and results in ~ 10 times more genes differentially expressed. This may have strong functional implications.</w:t>
      </w:r>
    </w:p>
    <w:p>
      <w:pPr>
        <w:pStyle w:val="style31"/>
        <w:spacing w:line="360" w:lineRule="auto"/>
        <w:ind w:hanging="0" w:left="0" w:right="0"/>
        <w:rPr>
          <w:rFonts w:ascii="Arial" w:hAnsi="Arial"/>
          <w:color w:val="auto"/>
          <w:shd w:fill="auto" w:val="clear"/>
          <w:lang w:val="en-US"/>
        </w:rPr>
      </w:pPr>
      <w:r>
        <w:rPr>
          <w:rFonts w:ascii="Arial" w:hAnsi="Arial"/>
          <w:color w:val="auto"/>
          <w:lang w:val="en-US"/>
        </w:rPr>
        <w:t xml:space="preserve">At first, it may be tempting to summarize the GC – TH crosstalk as a direct consequence of the modulation of transcripts abundance of </w:t>
      </w:r>
      <w:r>
        <w:rPr>
          <w:rFonts w:ascii="Arial" w:hAnsi="Arial"/>
          <w:i/>
          <w:iCs/>
          <w:color w:val="auto"/>
          <w:lang w:val="en-US"/>
        </w:rPr>
        <w:t>dio2</w:t>
      </w:r>
      <w:r>
        <w:rPr>
          <w:rFonts w:ascii="Arial" w:hAnsi="Arial"/>
          <w:color w:val="auto"/>
          <w:lang w:val="en-US"/>
        </w:rPr>
        <w:t xml:space="preserve"> and </w:t>
      </w:r>
      <w:r>
        <w:rPr>
          <w:rFonts w:ascii="Arial" w:hAnsi="Arial"/>
          <w:i/>
          <w:iCs/>
          <w:color w:val="auto"/>
          <w:lang w:val="en-US"/>
        </w:rPr>
        <w:t>dio3</w:t>
      </w:r>
      <w:r>
        <w:rPr>
          <w:rFonts w:ascii="Arial" w:hAnsi="Arial"/>
          <w:color w:val="auto"/>
          <w:lang w:val="en-US"/>
        </w:rPr>
        <w:t xml:space="preserve">. If true, one would expect an enhanced TH response corresponding only to a 'potentiating' effect. This is clearly not the case because the number of 'potentiated' genes is rather modest, relative to the TH effect. In addition, this view fails to account for 'antagonistic' expression profiles. </w:t>
      </w:r>
      <w:r>
        <w:rPr>
          <w:rFonts w:ascii="Arial" w:hAnsi="Arial"/>
          <w:color w:val="auto"/>
          <w:lang w:val="en-US"/>
        </w:rPr>
        <w:t xml:space="preserve">Alternatively, one might argue that the expression of a large number of genes already reached a maximum, thus masking the potentiating effect </w:t>
      </w:r>
      <w:r>
        <w:rPr>
          <w:rFonts w:ascii="Arial" w:hAnsi="Arial"/>
          <w:color w:val="auto"/>
          <w:lang w:val="en-US"/>
        </w:rPr>
        <w:t>of the crosstalk</w:t>
      </w:r>
      <w:r>
        <w:rPr>
          <w:rFonts w:ascii="Arial" w:hAnsi="Arial"/>
          <w:color w:val="auto"/>
          <w:lang w:val="en-US"/>
        </w:rPr>
        <w:t xml:space="preserve">. </w:t>
      </w:r>
      <w:r>
        <w:rPr>
          <w:rFonts w:ascii="Arial" w:hAnsi="Arial"/>
          <w:color w:val="auto"/>
          <w:lang w:val="en-US"/>
        </w:rPr>
        <w:t xml:space="preserve">By inducing general metabolism, </w:t>
      </w:r>
      <w:r>
        <w:rPr>
          <w:rFonts w:ascii="Arial" w:hAnsi="Arial"/>
          <w:color w:val="auto"/>
          <w:lang w:val="en-US"/>
        </w:rPr>
        <w:t>TH treatment</w:t>
      </w:r>
      <w:r>
        <w:rPr>
          <w:rFonts w:ascii="Arial" w:hAnsi="Arial"/>
          <w:color w:val="auto"/>
          <w:lang w:val="en-US"/>
        </w:rPr>
        <w:t>s</w:t>
      </w:r>
      <w:r>
        <w:rPr>
          <w:rFonts w:ascii="Arial" w:hAnsi="Arial"/>
          <w:color w:val="auto"/>
          <w:lang w:val="en-US"/>
        </w:rPr>
        <w:t xml:space="preserve"> </w:t>
      </w:r>
      <w:r>
        <w:rPr>
          <w:rFonts w:ascii="Arial" w:hAnsi="Arial"/>
          <w:color w:val="auto"/>
          <w:lang w:val="en-US"/>
        </w:rPr>
        <w:t>may</w:t>
      </w:r>
      <w:r>
        <w:rPr>
          <w:rFonts w:ascii="Arial" w:hAnsi="Arial"/>
          <w:color w:val="auto"/>
          <w:lang w:val="en-US"/>
        </w:rPr>
        <w:t xml:space="preserve"> </w:t>
      </w:r>
      <w:r>
        <w:rPr>
          <w:rFonts w:ascii="Arial" w:hAnsi="Arial"/>
          <w:color w:val="auto"/>
          <w:lang w:val="en-US"/>
        </w:rPr>
        <w:t>result in a</w:t>
      </w:r>
      <w:r>
        <w:rPr>
          <w:rFonts w:ascii="Arial" w:hAnsi="Arial"/>
          <w:color w:val="auto"/>
          <w:lang w:val="en-US"/>
        </w:rPr>
        <w:t>n</w:t>
      </w:r>
      <w:r>
        <w:rPr>
          <w:rFonts w:ascii="Arial" w:hAnsi="Arial"/>
          <w:color w:val="auto"/>
          <w:lang w:val="en-US"/>
        </w:rPr>
        <w:t xml:space="preserve"> increase of the </w:t>
      </w:r>
      <w:r>
        <w:rPr>
          <w:rFonts w:ascii="Arial" w:hAnsi="Arial"/>
          <w:color w:val="auto"/>
          <w:lang w:val="en-US"/>
        </w:rPr>
        <w:t xml:space="preserve">total </w:t>
      </w:r>
      <w:r>
        <w:rPr>
          <w:rFonts w:ascii="Arial" w:hAnsi="Arial"/>
          <w:color w:val="auto"/>
          <w:lang w:val="en-US"/>
        </w:rPr>
        <w:t>mRNA content per cell</w:t>
      </w:r>
      <w:r>
        <w:rPr>
          <w:rFonts w:ascii="Arial" w:hAnsi="Arial"/>
          <w:color w:val="auto"/>
          <w:lang w:val="en-US"/>
        </w:rPr>
        <w:t xml:space="preserve">. </w:t>
      </w:r>
      <w:r>
        <w:rPr>
          <w:rFonts w:ascii="Arial" w:hAnsi="Arial"/>
          <w:color w:val="auto"/>
          <w:lang w:val="en-US"/>
        </w:rPr>
        <w:t xml:space="preserve">This is </w:t>
      </w:r>
      <w:r>
        <w:rPr>
          <w:rFonts w:ascii="Arial" w:hAnsi="Arial"/>
          <w:color w:val="auto"/>
          <w:lang w:val="en-US"/>
        </w:rPr>
        <w:t xml:space="preserve">unlikely, however, because in </w:t>
      </w:r>
      <w:r>
        <w:rPr>
          <w:rFonts w:ascii="Arial" w:hAnsi="Arial"/>
          <w:color w:val="auto"/>
          <w:lang w:val="en-US"/>
        </w:rPr>
        <w:t xml:space="preserve">our datasets the total read count is not dominated by a limited subset of highly TH responsive genes. </w:t>
      </w:r>
      <w:r>
        <w:rPr>
          <w:rFonts w:ascii="Arial" w:hAnsi="Arial"/>
          <w:color w:val="auto"/>
          <w:lang w:val="en-US"/>
        </w:rPr>
        <w:t xml:space="preserve">Therefore, the crosstalk between GC and TH signaling </w:t>
      </w:r>
      <w:r>
        <w:rPr>
          <w:rFonts w:ascii="Arial" w:hAnsi="Arial"/>
          <w:color w:val="auto"/>
          <w:lang w:val="en-US"/>
        </w:rPr>
        <w:t>may</w:t>
      </w:r>
      <w:r>
        <w:rPr>
          <w:rFonts w:ascii="Arial" w:hAnsi="Arial"/>
          <w:color w:val="auto"/>
          <w:lang w:val="en-US"/>
        </w:rPr>
        <w:t xml:space="preserve"> </w:t>
      </w:r>
      <w:r>
        <w:rPr>
          <w:rFonts w:ascii="Arial" w:hAnsi="Arial"/>
          <w:color w:val="auto"/>
          <w:lang w:val="en-US"/>
        </w:rPr>
        <w:t xml:space="preserve">not </w:t>
      </w:r>
      <w:r>
        <w:rPr>
          <w:rFonts w:ascii="Arial" w:hAnsi="Arial"/>
          <w:color w:val="auto"/>
          <w:lang w:val="en-US"/>
        </w:rPr>
        <w:t xml:space="preserve">be </w:t>
      </w:r>
      <w:r>
        <w:rPr>
          <w:rFonts w:ascii="Arial" w:hAnsi="Arial"/>
          <w:color w:val="auto"/>
          <w:lang w:val="en-US"/>
        </w:rPr>
        <w:t xml:space="preserve">limited to the consequences of the </w:t>
      </w:r>
      <w:r>
        <w:rPr>
          <w:rFonts w:ascii="Arial" w:hAnsi="Arial"/>
          <w:i/>
          <w:iCs/>
          <w:color w:val="auto"/>
          <w:lang w:val="en-US"/>
        </w:rPr>
        <w:t>dio2</w:t>
      </w:r>
      <w:r>
        <w:rPr>
          <w:rFonts w:ascii="Arial" w:hAnsi="Arial"/>
          <w:color w:val="auto"/>
          <w:lang w:val="en-US"/>
        </w:rPr>
        <w:t xml:space="preserve"> and </w:t>
      </w:r>
      <w:r>
        <w:rPr>
          <w:rFonts w:ascii="Arial" w:hAnsi="Arial"/>
          <w:i/>
          <w:iCs/>
          <w:color w:val="auto"/>
          <w:lang w:val="en-US"/>
        </w:rPr>
        <w:t>dio3</w:t>
      </w:r>
      <w:r>
        <w:rPr>
          <w:rFonts w:ascii="Arial" w:hAnsi="Arial"/>
          <w:color w:val="auto"/>
          <w:lang w:val="en-US"/>
        </w:rPr>
        <w:t xml:space="preserve"> deregulation, and involves additional molecular mechanisms. In support of this, Kulkarni and Buchholz </w:t>
      </w:r>
      <w:r>
        <w:rPr>
          <w:rFonts w:ascii="Arial" w:hAnsi="Arial"/>
          <w:color w:val="auto"/>
          <w:lang w:val="en-US"/>
        </w:rPr>
        <w:t>(</w:t>
      </w:r>
      <w:r>
        <w:rPr>
          <w:rStyle w:val="style26"/>
          <w:rFonts w:ascii="Arial" w:hAnsi="Arial"/>
          <w:color w:val="auto"/>
          <w:lang w:val="en-US"/>
        </w:rPr>
        <w:t>[27]</w:t>
      </w:r>
      <w:r>
        <w:rPr>
          <w:rFonts w:ascii="Arial" w:hAnsi="Arial"/>
          <w:color w:val="auto"/>
          <w:lang w:val="en-US"/>
        </w:rPr>
        <w:t xml:space="preserve">) </w:t>
      </w:r>
      <w:r>
        <w:rPr>
          <w:rFonts w:ascii="Arial" w:hAnsi="Arial"/>
          <w:color w:val="auto"/>
          <w:lang w:val="en-US"/>
        </w:rPr>
        <w:t>reached similar conclusions and proposed a numbe</w:t>
      </w:r>
      <w:r>
        <w:rPr>
          <w:rFonts w:ascii="Arial" w:hAnsi="Arial"/>
          <w:color w:val="auto"/>
          <w:shd w:fill="auto" w:val="clear"/>
          <w:lang w:val="en-US"/>
        </w:rPr>
        <w:t xml:space="preserve">r of possible </w:t>
      </w:r>
      <w:r>
        <w:rPr>
          <w:rFonts w:ascii="Arial" w:hAnsi="Arial"/>
          <w:color w:val="auto"/>
          <w:shd w:fill="auto" w:val="clear"/>
          <w:lang w:val="en-US"/>
        </w:rPr>
        <w:t>regulatory</w:t>
      </w:r>
      <w:r>
        <w:rPr>
          <w:rFonts w:ascii="Arial" w:hAnsi="Arial"/>
          <w:color w:val="auto"/>
          <w:shd w:fill="auto" w:val="clear"/>
          <w:lang w:val="en-US"/>
        </w:rPr>
        <w:t xml:space="preserve"> </w:t>
      </w:r>
      <w:r>
        <w:rPr>
          <w:rFonts w:ascii="Arial" w:hAnsi="Arial"/>
          <w:color w:val="auto"/>
          <w:shd w:fill="auto" w:val="clear"/>
          <w:lang w:val="en-US"/>
        </w:rPr>
        <w:t>scenarios</w:t>
      </w:r>
      <w:r>
        <w:rPr>
          <w:rFonts w:ascii="Arial" w:hAnsi="Arial"/>
          <w:color w:val="auto"/>
          <w:shd w:fill="auto" w:val="clear"/>
          <w:lang w:val="en-US"/>
        </w:rPr>
        <w:t xml:space="preserve">. </w:t>
      </w:r>
    </w:p>
    <w:p>
      <w:pPr>
        <w:pStyle w:val="style0"/>
        <w:spacing w:line="360" w:lineRule="auto"/>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pPr>
      <w:r>
        <w:rPr>
          <w:rFonts w:ascii="Arial" w:hAnsi="Arial"/>
          <w:lang w:val="en-US"/>
        </w:rPr>
        <w:t xml:space="preserve">The fact that an interaction exists between these two signaling pathways is not surprising and is already known, and crosstalks take place at different levels in signaling pathways.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For example,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GC</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induce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the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expr</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ession</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of the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TH activating enzyme </w:t>
      </w:r>
      <w:r>
        <w:rPr>
          <w:rFonts w:ascii="Arial" w:cs="Lucida Grande" w:eastAsia="Lucida Grande" w:hAnsi="Arial"/>
          <w:b w:val="false"/>
          <w:bCs w:val="false"/>
          <w:i/>
          <w:iCs/>
          <w:strike w:val="false"/>
          <w:dstrike w:val="false"/>
          <w:outline w:val="false"/>
          <w:shadow w:val="false"/>
          <w:color w:val="auto"/>
          <w:spacing w:val="0"/>
          <w:sz w:val="24"/>
          <w:szCs w:val="24"/>
          <w:u w:val="none"/>
          <w:shd w:fill="auto" w:val="clear"/>
          <w:em w:val="none"/>
          <w:lang w:val="en-US"/>
        </w:rPr>
        <w:t>dio2</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and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reduce expression</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of the</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inactivating enzyme </w:t>
      </w:r>
      <w:r>
        <w:rPr>
          <w:rFonts w:ascii="Arial" w:cs="Lucida Grande" w:eastAsia="Lucida Grande" w:hAnsi="Arial"/>
          <w:b w:val="false"/>
          <w:bCs w:val="false"/>
          <w:i/>
          <w:iCs/>
          <w:strike w:val="false"/>
          <w:dstrike w:val="false"/>
          <w:outline w:val="false"/>
          <w:shadow w:val="false"/>
          <w:color w:val="auto"/>
          <w:spacing w:val="0"/>
          <w:sz w:val="24"/>
          <w:szCs w:val="24"/>
          <w:u w:val="none"/>
          <w:shd w:fill="auto" w:val="clear"/>
          <w:em w:val="none"/>
          <w:lang w:val="en-US"/>
        </w:rPr>
        <w:t>dio3</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T</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hus the levels of active TH in target tissues increas</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e</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and</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fuel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an enhanced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TH response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r>
        <w:rPr>
          <w:rStyle w:val="style26"/>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[28]</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Also, TSH and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ACTH</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levels are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both</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controlled by CRH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(Denver, 1997,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Denver, R.J., 1999. E</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volution of the corticotropin-releasing hormone signaling system and its role in stress-induced phenotypic plasticity. Ann. N.Y. Acad. Sci. 897, 46–53.</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which plays a key role in controlling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TH d</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ependant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post embryonic development</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GC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is also known to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increase the binding capacity of THR to T3</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Style w:val="style26"/>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[29]</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At the transcription</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al</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level, GC enhance TRb transcripts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level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r>
        <w:rPr>
          <w:rStyle w:val="style26"/>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[25]</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and</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GC and TH</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synergistically enhance KLF9 expression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r>
        <w:rPr>
          <w:rStyle w:val="style26"/>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[30]</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In addition, t</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ranscripts levels</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 of GR are modulated by TH in a tissue specific manner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r>
        <w:rPr>
          <w:rStyle w:val="style26"/>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[31]</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A</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number of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additional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cis-regulatory</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me</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FFFFFF" w:val="clear"/>
          <w:em w:val="none"/>
          <w:lang w:val="en-US"/>
        </w:rPr>
        <w:t>cha</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nisms of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interactions between GR and other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nuclear receptor</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s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have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also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been described</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r>
        <w:rPr>
          <w:rStyle w:val="style26"/>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[32]</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 xml:space="preserve">; </w:t>
      </w:r>
      <w:r>
        <w:rPr>
          <w:rStyle w:val="style26"/>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[33]</w:t>
      </w:r>
      <w:r>
        <w:rPr>
          <w:rFonts w:ascii="Arial" w:cs="Lucida Grande" w:eastAsia="Lucida Grande" w:hAnsi="Arial"/>
          <w:b w:val="false"/>
          <w:bCs w:val="false"/>
          <w:i w:val="false"/>
          <w:iCs w:val="false"/>
          <w:strike w:val="false"/>
          <w:dstrike w:val="false"/>
          <w:outline w:val="false"/>
          <w:shadow w:val="false"/>
          <w:color w:val="auto"/>
          <w:spacing w:val="0"/>
          <w:sz w:val="24"/>
          <w:szCs w:val="24"/>
          <w:u w:val="none"/>
          <w:shd w:fill="auto" w:val="clear"/>
          <w:em w:val="none"/>
          <w:lang w:val="en-US"/>
        </w:rPr>
        <w:t>).</w:t>
      </w:r>
    </w:p>
    <w:p>
      <w:pPr>
        <w:pStyle w:val="style0"/>
        <w:spacing w:line="360" w:lineRule="auto"/>
        <w:rPr>
          <w:rFonts w:ascii="Arial" w:hAnsi="Arial"/>
          <w:color w:val="auto"/>
          <w:lang w:val="en-US"/>
        </w:rPr>
      </w:pPr>
      <w:r>
        <w:rPr>
          <w:rFonts w:ascii="Arial" w:hAnsi="Arial"/>
          <w:color w:val="auto"/>
          <w:shd w:fill="auto" w:val="clear"/>
          <w:lang w:val="en-US"/>
        </w:rPr>
        <w:t xml:space="preserve">Kulkarni and Buchholz </w:t>
      </w:r>
      <w:r>
        <w:rPr>
          <w:rFonts w:ascii="Arial" w:hAnsi="Arial"/>
          <w:color w:val="auto"/>
          <w:shd w:fill="auto" w:val="clear"/>
          <w:lang w:val="en-US"/>
        </w:rPr>
        <w:t xml:space="preserve">reported </w:t>
      </w:r>
      <w:r>
        <w:rPr>
          <w:rFonts w:ascii="Arial" w:hAnsi="Arial"/>
          <w:color w:val="auto"/>
          <w:shd w:fill="auto" w:val="clear"/>
          <w:lang w:val="en-US"/>
        </w:rPr>
        <w:t xml:space="preserve">recently </w:t>
      </w:r>
      <w:r>
        <w:rPr>
          <w:rFonts w:ascii="Arial" w:hAnsi="Arial"/>
          <w:color w:val="auto"/>
          <w:shd w:fill="auto" w:val="clear"/>
          <w:lang w:val="en-US"/>
        </w:rPr>
        <w:t>a micro-arra</w:t>
      </w:r>
      <w:r>
        <w:rPr>
          <w:rFonts w:ascii="Arial" w:hAnsi="Arial"/>
          <w:color w:val="auto"/>
          <w:shd w:fill="auto" w:val="clear"/>
          <w:lang w:val="en-US"/>
        </w:rPr>
        <w:t>y</w:t>
      </w:r>
      <w:r>
        <w:rPr>
          <w:rFonts w:ascii="Arial" w:hAnsi="Arial"/>
          <w:color w:val="auto"/>
          <w:shd w:fill="auto" w:val="clear"/>
          <w:lang w:val="en-US"/>
        </w:rPr>
        <w:t xml:space="preserve"> analysis of the GC – TH crosstalk at the post-embryonic transition, in </w:t>
      </w:r>
      <w:r>
        <w:rPr>
          <w:rFonts w:ascii="Arial" w:hAnsi="Arial"/>
          <w:i/>
          <w:iCs/>
          <w:color w:val="auto"/>
          <w:shd w:fill="auto" w:val="clear"/>
          <w:lang w:val="en-US"/>
        </w:rPr>
        <w:t>Xenopus tropicalis</w:t>
      </w:r>
      <w:r>
        <w:rPr>
          <w:rFonts w:ascii="Arial" w:hAnsi="Arial"/>
          <w:i w:val="false"/>
          <w:iCs w:val="false"/>
          <w:color w:val="auto"/>
          <w:shd w:fill="auto" w:val="clear"/>
          <w:lang w:val="en-US"/>
        </w:rPr>
        <w:t xml:space="preserve"> tail</w:t>
      </w:r>
      <w:r>
        <w:rPr>
          <w:rFonts w:ascii="Arial" w:hAnsi="Arial"/>
          <w:color w:val="auto"/>
          <w:shd w:fill="auto" w:val="clear"/>
          <w:lang w:val="en-US"/>
        </w:rPr>
        <w:t xml:space="preserve">. </w:t>
      </w:r>
      <w:r>
        <w:rPr>
          <w:rFonts w:ascii="Arial" w:hAnsi="Arial"/>
          <w:color w:val="auto"/>
          <w:shd w:fill="auto" w:val="clear"/>
          <w:lang w:val="en-US"/>
        </w:rPr>
        <w:t>T</w:t>
      </w:r>
      <w:r>
        <w:rPr>
          <w:rFonts w:ascii="Arial" w:hAnsi="Arial"/>
          <w:color w:val="auto"/>
          <w:shd w:fill="auto" w:val="clear"/>
          <w:lang w:val="en-US"/>
        </w:rPr>
        <w:t>he most striking difference b</w:t>
      </w:r>
      <w:r>
        <w:rPr>
          <w:rFonts w:ascii="Arial" w:hAnsi="Arial"/>
          <w:color w:val="auto"/>
          <w:lang w:val="en-US"/>
        </w:rPr>
        <w:t>etween their dataset and ours is that the</w:t>
      </w:r>
      <w:r>
        <w:rPr>
          <w:rFonts w:ascii="Arial" w:hAnsi="Arial"/>
          <w:color w:val="auto"/>
          <w:lang w:val="en-US"/>
        </w:rPr>
        <w:t>y found a strong GC effect (~1</w:t>
      </w:r>
      <w:r>
        <w:rPr>
          <w:rFonts w:ascii="Arial" w:hAnsi="Arial"/>
          <w:color w:val="auto"/>
          <w:lang w:val="en-US"/>
        </w:rPr>
        <w:t>9</w:t>
      </w:r>
      <w:r>
        <w:rPr>
          <w:rFonts w:ascii="Arial" w:hAnsi="Arial"/>
          <w:color w:val="auto"/>
          <w:lang w:val="en-US"/>
        </w:rPr>
        <w:t xml:space="preserve">00 </w:t>
      </w:r>
      <w:r>
        <w:rPr>
          <w:rFonts w:ascii="Arial" w:hAnsi="Arial"/>
          <w:color w:val="auto"/>
          <w:lang w:val="en-US"/>
        </w:rPr>
        <w:t xml:space="preserve">vs </w:t>
      </w:r>
      <w:r>
        <w:rPr>
          <w:rFonts w:ascii="Arial" w:hAnsi="Arial"/>
          <w:color w:val="auto"/>
          <w:lang w:val="en-US"/>
        </w:rPr>
        <w:t>~</w:t>
      </w:r>
      <w:r>
        <w:rPr>
          <w:rFonts w:ascii="Arial" w:hAnsi="Arial"/>
          <w:color w:val="auto"/>
          <w:lang w:val="en-US"/>
        </w:rPr>
        <w:t>30 genes</w:t>
      </w:r>
      <w:r>
        <w:rPr>
          <w:rFonts w:ascii="Arial" w:hAnsi="Arial"/>
          <w:color w:val="auto"/>
          <w:lang w:val="en-US"/>
        </w:rPr>
        <w:t xml:space="preserve">) </w:t>
      </w:r>
      <w:r>
        <w:rPr>
          <w:rFonts w:ascii="Arial" w:hAnsi="Arial"/>
          <w:color w:val="auto"/>
          <w:lang w:val="en-US"/>
        </w:rPr>
        <w:t xml:space="preserve">and a large number of genes responding to the crosstalk (~1200 vs </w:t>
      </w:r>
      <w:r>
        <w:rPr>
          <w:rFonts w:ascii="Arial" w:hAnsi="Arial"/>
          <w:color w:val="auto"/>
          <w:lang w:val="en-US"/>
        </w:rPr>
        <w:t>~</w:t>
      </w:r>
      <w:r>
        <w:rPr>
          <w:rFonts w:ascii="Arial" w:hAnsi="Arial"/>
          <w:color w:val="auto"/>
          <w:lang w:val="en-US"/>
        </w:rPr>
        <w:t xml:space="preserve">300 genes). We note, however, that the comparison is somewhat limited because of tissue specific differences, </w:t>
      </w:r>
      <w:r>
        <w:rPr>
          <w:rFonts w:ascii="Arial" w:hAnsi="Arial"/>
          <w:color w:val="auto"/>
          <w:lang w:val="en-US"/>
        </w:rPr>
        <w:t xml:space="preserve">distinct </w:t>
      </w:r>
      <w:r>
        <w:rPr>
          <w:rFonts w:ascii="Arial" w:hAnsi="Arial"/>
          <w:color w:val="auto"/>
          <w:lang w:val="en-US"/>
        </w:rPr>
        <w:t xml:space="preserve">technological </w:t>
      </w:r>
      <w:r>
        <w:rPr>
          <w:rFonts w:ascii="Arial" w:hAnsi="Arial"/>
          <w:color w:val="auto"/>
          <w:lang w:val="en-US"/>
        </w:rPr>
        <w:t>plateforms (micro-array</w:t>
      </w:r>
      <w:r>
        <w:rPr>
          <w:rFonts w:ascii="Arial" w:hAnsi="Arial"/>
          <w:color w:val="auto"/>
          <w:shd w:fill="auto" w:val="clear"/>
          <w:lang w:val="en-US"/>
        </w:rPr>
        <w:t xml:space="preserve"> </w:t>
      </w:r>
      <w:r>
        <w:rPr>
          <w:rFonts w:ascii="Arial" w:hAnsi="Arial"/>
          <w:color w:val="auto"/>
          <w:shd w:fill="auto" w:val="clear"/>
          <w:lang w:val="en-US"/>
        </w:rPr>
        <w:t>v</w:t>
      </w:r>
      <w:r>
        <w:rPr>
          <w:rFonts w:ascii="Arial" w:hAnsi="Arial"/>
          <w:color w:val="auto"/>
          <w:shd w:fill="auto" w:val="clear"/>
          <w:lang w:val="en-US"/>
        </w:rPr>
        <w:t xml:space="preserve">s RNA-Seq) and analysis pipelines (Venn diagrams </w:t>
      </w:r>
      <w:r>
        <w:rPr>
          <w:rFonts w:ascii="Arial" w:hAnsi="Arial"/>
          <w:color w:val="auto"/>
          <w:shd w:fill="auto" w:val="clear"/>
          <w:lang w:val="en-US"/>
        </w:rPr>
        <w:t>v</w:t>
      </w:r>
      <w:r>
        <w:rPr>
          <w:rFonts w:ascii="Arial" w:hAnsi="Arial"/>
          <w:color w:val="auto"/>
          <w:shd w:fill="auto" w:val="clear"/>
          <w:lang w:val="en-US"/>
        </w:rPr>
        <w:t>s clustering)</w:t>
      </w:r>
      <w:r>
        <w:rPr>
          <w:rFonts w:ascii="Arial" w:hAnsi="Arial"/>
          <w:color w:val="auto"/>
          <w:shd w:fill="auto" w:val="clear"/>
          <w:lang w:val="en-US"/>
        </w:rPr>
        <w:t>, as</w:t>
      </w:r>
      <w:r>
        <w:rPr>
          <w:rFonts w:ascii="Arial" w:hAnsi="Arial"/>
          <w:color w:val="auto"/>
          <w:shd w:fill="auto" w:val="clear"/>
          <w:lang w:val="en-US"/>
        </w:rPr>
        <w:t xml:space="preserve"> discussed by Grimaldi et al. (</w:t>
      </w:r>
      <w:r>
        <w:rPr>
          <w:rStyle w:val="style26"/>
          <w:rFonts w:ascii="Arial" w:hAnsi="Arial"/>
          <w:color w:val="auto"/>
          <w:shd w:fill="auto" w:val="clear"/>
          <w:lang w:val="en-US"/>
        </w:rPr>
        <w:t>[34]</w:t>
      </w:r>
      <w:r>
        <w:rPr>
          <w:rFonts w:ascii="Arial" w:hAnsi="Arial"/>
          <w:color w:val="auto"/>
          <w:shd w:fill="auto" w:val="clear"/>
          <w:lang w:val="en-US"/>
        </w:rPr>
        <w:t>)</w:t>
      </w:r>
      <w:r>
        <w:rPr>
          <w:rFonts w:ascii="Arial" w:hAnsi="Arial"/>
          <w:color w:val="auto"/>
          <w:shd w:fill="auto" w:val="clear"/>
          <w:lang w:val="en-US"/>
        </w:rPr>
        <w:t xml:space="preserve">. </w:t>
      </w:r>
      <w:r>
        <w:rPr>
          <w:rFonts w:ascii="Arial" w:hAnsi="Arial"/>
          <w:color w:val="auto"/>
          <w:shd w:fill="auto" w:val="clear"/>
          <w:lang w:val="en-US"/>
        </w:rPr>
        <w:t>Nonetheless, w</w:t>
      </w:r>
      <w:r>
        <w:rPr>
          <w:rFonts w:ascii="Arial" w:hAnsi="Arial"/>
          <w:color w:val="auto"/>
          <w:shd w:fill="auto" w:val="clear"/>
          <w:lang w:val="en-US"/>
        </w:rPr>
        <w:t xml:space="preserve">e </w:t>
      </w:r>
      <w:r>
        <w:rPr>
          <w:rFonts w:ascii="Arial" w:hAnsi="Arial"/>
          <w:color w:val="auto"/>
          <w:shd w:fill="auto" w:val="clear"/>
          <w:lang w:val="en-US"/>
        </w:rPr>
        <w:t>describ</w:t>
      </w:r>
      <w:r>
        <w:rPr>
          <w:rFonts w:ascii="Arial" w:hAnsi="Arial"/>
          <w:color w:val="auto"/>
          <w:shd w:fill="auto" w:val="clear"/>
          <w:lang w:val="en-US"/>
        </w:rPr>
        <w:t xml:space="preserve">e here </w:t>
      </w:r>
      <w:r>
        <w:rPr>
          <w:rFonts w:ascii="Arial" w:hAnsi="Arial"/>
          <w:color w:val="auto"/>
          <w:shd w:fill="auto" w:val="clear"/>
          <w:lang w:val="en-US"/>
        </w:rPr>
        <w:t xml:space="preserve">important </w:t>
      </w:r>
      <w:r>
        <w:rPr>
          <w:rFonts w:ascii="Arial" w:hAnsi="Arial"/>
          <w:color w:val="auto"/>
          <w:shd w:fill="auto" w:val="clear"/>
          <w:lang w:val="en-US"/>
        </w:rPr>
        <w:t xml:space="preserve">datasets </w:t>
      </w:r>
      <w:r>
        <w:rPr>
          <w:rFonts w:ascii="Arial" w:hAnsi="Arial"/>
          <w:color w:val="auto"/>
          <w:shd w:fill="auto" w:val="clear"/>
          <w:lang w:val="en-US"/>
        </w:rPr>
        <w:t>provid</w:t>
      </w:r>
      <w:r>
        <w:rPr>
          <w:rFonts w:ascii="Arial" w:hAnsi="Arial"/>
          <w:color w:val="auto"/>
          <w:shd w:fill="auto" w:val="clear"/>
          <w:lang w:val="en-US"/>
        </w:rPr>
        <w:t xml:space="preserve">ing </w:t>
      </w:r>
      <w:r>
        <w:rPr>
          <w:rFonts w:ascii="Arial" w:hAnsi="Arial"/>
          <w:color w:val="auto"/>
          <w:shd w:fill="auto" w:val="clear"/>
          <w:lang w:val="en-US"/>
        </w:rPr>
        <w:t xml:space="preserve">novel insights on </w:t>
      </w:r>
      <w:r>
        <w:rPr>
          <w:rFonts w:ascii="Arial" w:hAnsi="Arial"/>
          <w:color w:val="auto"/>
          <w:shd w:fill="auto" w:val="clear"/>
          <w:lang w:val="en-US"/>
        </w:rPr>
        <w:t>the phenotypic</w:t>
      </w:r>
      <w:r>
        <w:rPr>
          <w:rFonts w:ascii="Arial" w:hAnsi="Arial"/>
          <w:color w:val="auto"/>
          <w:lang w:val="en-US"/>
        </w:rPr>
        <w:t xml:space="preserve"> output of the GC-TH crosstalk, at </w:t>
      </w:r>
      <w:r>
        <w:rPr>
          <w:rFonts w:ascii="Arial" w:hAnsi="Arial"/>
          <w:color w:val="auto"/>
          <w:lang w:val="en-US"/>
        </w:rPr>
        <w:t xml:space="preserve">the </w:t>
      </w:r>
      <w:r>
        <w:rPr>
          <w:rFonts w:ascii="Arial" w:hAnsi="Arial"/>
          <w:color w:val="auto"/>
          <w:lang w:val="en-US"/>
        </w:rPr>
        <w:t xml:space="preserve">end of </w:t>
      </w:r>
      <w:r>
        <w:rPr>
          <w:rFonts w:ascii="Arial" w:hAnsi="Arial"/>
          <w:color w:val="auto"/>
          <w:lang w:val="en-US"/>
        </w:rPr>
        <w:t xml:space="preserve">post-embryonic </w:t>
      </w:r>
      <w:r>
        <w:rPr>
          <w:rFonts w:ascii="Arial" w:hAnsi="Arial"/>
          <w:color w:val="auto"/>
          <w:lang w:val="en-US"/>
        </w:rPr>
        <w:t xml:space="preserve">development </w:t>
      </w:r>
      <w:r>
        <w:rPr>
          <w:rFonts w:ascii="Arial" w:hAnsi="Arial"/>
          <w:color w:val="auto"/>
          <w:lang w:val="en-US"/>
        </w:rPr>
        <w:t>and their potential long terms effects</w:t>
      </w:r>
      <w:r>
        <w:rPr>
          <w:rFonts w:ascii="Arial" w:hAnsi="Arial"/>
          <w:color w:val="auto"/>
          <w:lang w:val="en-US"/>
        </w:rPr>
        <w:t>.</w:t>
      </w:r>
    </w:p>
    <w:p>
      <w:pPr>
        <w:pStyle w:val="style31"/>
        <w:autoSpaceDE w:val="false"/>
        <w:spacing w:after="0" w:before="0" w:line="360" w:lineRule="auto"/>
        <w:ind w:hanging="0" w:left="0" w:right="0"/>
        <w:contextualSpacing w:val="false"/>
        <w:jc w:val="left"/>
        <w:rPr>
          <w:rFonts w:ascii="Arial" w:hAnsi="Arial"/>
          <w:lang w:val="en-US"/>
        </w:rPr>
      </w:pPr>
      <w:r>
        <w:rPr>
          <w:rFonts w:ascii="Arial" w:hAnsi="Arial"/>
          <w:lang w:val="en-US"/>
        </w:rPr>
      </w:r>
    </w:p>
    <w:p>
      <w:pPr>
        <w:pStyle w:val="style0"/>
        <w:spacing w:line="360" w:lineRule="auto"/>
        <w:rPr>
          <w:rFonts w:ascii="Arial" w:hAnsi="Arial"/>
          <w:lang w:val="en-US"/>
        </w:rPr>
      </w:pPr>
      <w:r>
        <w:rPr>
          <w:rFonts w:ascii="Arial" w:hAnsi="Arial"/>
          <w:lang w:val="en-US"/>
        </w:rPr>
      </w:r>
    </w:p>
    <w:p>
      <w:pPr>
        <w:pStyle w:val="style31"/>
        <w:spacing w:line="360" w:lineRule="auto"/>
        <w:ind w:hanging="0" w:left="0" w:right="0"/>
        <w:rPr>
          <w:rFonts w:ascii="Arial" w:hAnsi="Arial"/>
          <w:b/>
          <w:bCs/>
          <w:color w:val="auto"/>
          <w:lang w:val="en-US"/>
        </w:rPr>
      </w:pPr>
      <w:r>
        <w:rPr>
          <w:rFonts w:ascii="Arial" w:hAnsi="Arial"/>
          <w:b/>
          <w:bCs/>
          <w:color w:val="auto"/>
          <w:lang w:val="en-US"/>
        </w:rPr>
        <w:t xml:space="preserve">What </w:t>
      </w:r>
      <w:r>
        <w:rPr>
          <w:rFonts w:ascii="Arial" w:hAnsi="Arial"/>
          <w:b/>
          <w:bCs/>
          <w:color w:val="auto"/>
          <w:lang w:val="en-US"/>
        </w:rPr>
        <w:t xml:space="preserve">is the </w:t>
      </w:r>
      <w:r>
        <w:rPr>
          <w:rFonts w:ascii="Arial" w:hAnsi="Arial"/>
          <w:b/>
          <w:bCs/>
          <w:color w:val="auto"/>
          <w:lang w:val="en-US"/>
        </w:rPr>
        <w:t>function</w:t>
      </w:r>
      <w:r>
        <w:rPr>
          <w:rFonts w:ascii="Arial" w:hAnsi="Arial"/>
          <w:b/>
          <w:bCs/>
          <w:color w:val="auto"/>
          <w:lang w:val="en-US"/>
        </w:rPr>
        <w:t>al output</w:t>
      </w:r>
      <w:r>
        <w:rPr>
          <w:rFonts w:ascii="Arial" w:hAnsi="Arial"/>
          <w:b/>
          <w:bCs/>
          <w:color w:val="auto"/>
          <w:lang w:val="en-US"/>
        </w:rPr>
        <w:t xml:space="preserve"> </w:t>
      </w:r>
      <w:r>
        <w:rPr>
          <w:rFonts w:ascii="Arial" w:hAnsi="Arial"/>
          <w:b/>
          <w:bCs/>
          <w:color w:val="auto"/>
          <w:lang w:val="en-US"/>
        </w:rPr>
        <w:t>of</w:t>
      </w:r>
      <w:r>
        <w:rPr>
          <w:rFonts w:ascii="Arial" w:hAnsi="Arial"/>
          <w:b/>
          <w:bCs/>
          <w:color w:val="auto"/>
          <w:lang w:val="en-US"/>
        </w:rPr>
        <w:t xml:space="preserve"> the TH – GC crosstalk?</w:t>
      </w:r>
    </w:p>
    <w:p>
      <w:pPr>
        <w:pStyle w:val="style31"/>
        <w:spacing w:line="360" w:lineRule="auto"/>
        <w:ind w:hanging="0" w:left="0" w:right="0"/>
        <w:rPr>
          <w:rFonts w:ascii="Arial" w:hAnsi="Arial"/>
          <w:b/>
          <w:bCs/>
          <w:color w:val="auto"/>
          <w:lang w:val="en-US"/>
        </w:rPr>
      </w:pPr>
      <w:r>
        <w:rPr>
          <w:rFonts w:ascii="Arial" w:hAnsi="Arial"/>
          <w:b/>
          <w:bCs/>
          <w:color w:val="auto"/>
          <w:lang w:val="en-US"/>
        </w:rPr>
      </w:r>
    </w:p>
    <w:p>
      <w:pPr>
        <w:pStyle w:val="style0"/>
        <w:spacing w:line="360" w:lineRule="auto"/>
        <w:rPr>
          <w:rFonts w:ascii="Arial" w:hAnsi="Arial"/>
          <w:lang w:val="en-US"/>
        </w:rPr>
      </w:pPr>
      <w:r>
        <w:rPr>
          <w:rFonts w:ascii="Arial" w:hAnsi="Arial"/>
          <w:lang w:val="en-US"/>
        </w:rPr>
        <w:t xml:space="preserve">Strikingly, the crosstalk affects various mediators of the formation and turnover/homeostasis of bone and cartilage, with clear links to pathologies of skeletal structures (Fig 3). This is mediated mostly by alteration of extracellular matrix metabolism and cellular communications. The corresponding pathways are affected (e.g. TOLL, TNF), although for each of them, the expression of only a few components is affected in the crosstalk. For example, in the TOLL pathway, the expression profile of the pro-inflammatory cytokine IL8 </w:t>
      </w:r>
      <w:r>
        <w:rPr>
          <w:rStyle w:val="style26"/>
          <w:rFonts w:ascii="Arial" w:hAnsi="Arial"/>
          <w:lang w:val="en-US"/>
        </w:rPr>
        <w:t>[35]</w:t>
      </w:r>
      <w:r>
        <w:rPr/>
        <w:t xml:space="preserve"> </w:t>
      </w:r>
      <w:r>
        <w:rPr>
          <w:rFonts w:ascii="Arial" w:hAnsi="Arial"/>
          <w:lang w:val="en-US"/>
        </w:rPr>
        <w:t xml:space="preserve">and CD40 </w:t>
      </w:r>
      <w:r>
        <w:rPr>
          <w:rFonts w:ascii="Arial" w:hAnsi="Arial"/>
          <w:lang w:val="en-US"/>
        </w:rPr>
        <w:t>(</w:t>
      </w:r>
      <w:r>
        <w:rPr>
          <w:rStyle w:val="style26"/>
          <w:rFonts w:ascii="Arial" w:hAnsi="Arial"/>
          <w:lang w:val="en-US"/>
        </w:rPr>
        <w:t>[36]</w:t>
      </w:r>
      <w:r>
        <w:rPr>
          <w:rFonts w:ascii="Arial" w:hAnsi="Arial"/>
          <w:lang w:val="en-US"/>
        </w:rPr>
        <w:t xml:space="preserve">) </w:t>
      </w:r>
      <w:r>
        <w:rPr>
          <w:rFonts w:ascii="Arial" w:hAnsi="Arial"/>
          <w:lang w:val="en-US"/>
        </w:rPr>
        <w:t>are consistent with an anti-inflammatory action, following the potentiated repression of TRAF3. The synthesis of extracellular matrix (ECM) components are also affected (ADAMTSL5, EMILIN2, MMP13, MMP13L). They are consistent with ECM remodeling and a rapid turnover of cartilage and bone cell populations.</w:t>
      </w:r>
    </w:p>
    <w:p>
      <w:pPr>
        <w:pStyle w:val="style0"/>
        <w:spacing w:line="360" w:lineRule="auto"/>
        <w:rPr>
          <w:rFonts w:ascii="Arial" w:hAnsi="Arial"/>
          <w:lang w:val="en-US"/>
        </w:rPr>
      </w:pPr>
      <w:r>
        <w:rPr>
          <w:rFonts w:ascii="Arial" w:hAnsi="Arial"/>
          <w:lang w:val="en-US"/>
        </w:rPr>
      </w:r>
    </w:p>
    <w:p>
      <w:pPr>
        <w:pStyle w:val="style0"/>
        <w:spacing w:line="360" w:lineRule="auto"/>
        <w:rPr>
          <w:rFonts w:ascii="Arial" w:hAnsi="Arial"/>
          <w:lang w:val="en-US"/>
        </w:rPr>
      </w:pPr>
      <w:r>
        <w:rPr>
          <w:rFonts w:ascii="Arial" w:hAnsi="Arial"/>
          <w:lang w:val="en-US"/>
        </w:rPr>
        <w:t xml:space="preserve">Our datasets provide novel connections between known pathways or factors and skeletal pathologies. For example, </w:t>
      </w:r>
      <w:r>
        <w:rPr>
          <w:rStyle w:val="style26"/>
          <w:rFonts w:ascii="Arial" w:hAnsi="Arial"/>
          <w:lang w:val="en-US"/>
        </w:rPr>
        <w:t>QSOX1 expression follows the clinical grade of breast tumor, but was not previously linked to skeletal pathologies</w:t>
      </w:r>
      <w:r>
        <w:rPr>
          <w:rFonts w:ascii="Arial" w:hAnsi="Arial"/>
          <w:lang w:val="en-US"/>
        </w:rPr>
        <w:t xml:space="preserve"> </w:t>
      </w:r>
      <w:r>
        <w:rPr>
          <w:rStyle w:val="style26"/>
          <w:rFonts w:ascii="Arial" w:hAnsi="Arial"/>
          <w:lang w:val="en-US"/>
        </w:rPr>
        <w:t>[37]</w:t>
      </w:r>
      <w:r>
        <w:rPr>
          <w:rFonts w:ascii="Arial" w:hAnsi="Arial"/>
          <w:lang w:val="en-US"/>
        </w:rPr>
        <w:t xml:space="preserve">. Of note, breast cancer cells often metastase to bone structures. The product of the SLC35A3 gene, of unknown function, was thought to be connected to vertebral malformations in human and cattle, although no clear evidence could be reported. TAT expression is related to the Richner-Hanhart syndrome but no link to skeletal pathologies has been reported </w:t>
      </w:r>
      <w:r>
        <w:rPr>
          <w:rStyle w:val="style26"/>
          <w:rFonts w:ascii="Arial" w:hAnsi="Arial"/>
          <w:lang w:val="en-US"/>
        </w:rPr>
        <w:t>[38]</w:t>
      </w:r>
      <w:r>
        <w:rPr>
          <w:rFonts w:ascii="Arial" w:hAnsi="Arial"/>
          <w:lang w:val="en-US"/>
        </w:rPr>
        <w:t>.</w:t>
      </w:r>
    </w:p>
    <w:p>
      <w:pPr>
        <w:pStyle w:val="style0"/>
        <w:spacing w:line="360" w:lineRule="auto"/>
        <w:rPr>
          <w:rFonts w:ascii="Arial" w:hAnsi="Arial"/>
          <w:lang w:val="en-US"/>
        </w:rPr>
      </w:pPr>
      <w:r>
        <w:rPr>
          <w:rFonts w:ascii="Arial" w:hAnsi="Arial"/>
          <w:lang w:val="en-US"/>
        </w:rPr>
        <w:t>The links w</w:t>
      </w:r>
      <w:r>
        <w:rPr>
          <w:rFonts w:ascii="Arial" w:hAnsi="Arial"/>
          <w:lang w:val="en-US"/>
        </w:rPr>
        <w:t>e provide here illustrate the potential of our datasets as a source of factors potentially involved in the development of human pathologies. Obviously, developmental alterations of skeletal anatomy at the perinatal period (</w:t>
      </w:r>
      <w:r>
        <w:rPr>
          <w:rFonts w:ascii="Arial" w:hAnsi="Arial"/>
          <w:i/>
          <w:iCs/>
          <w:lang w:val="en-US"/>
        </w:rPr>
        <w:t>i.e</w:t>
      </w:r>
      <w:r>
        <w:rPr>
          <w:rFonts w:ascii="Arial" w:hAnsi="Arial"/>
          <w:lang w:val="en-US"/>
        </w:rPr>
        <w:t>. the end of the post-embryonic transition) will most certainly have strong effects later in life and could be detected early. More subtle phenotypes, such as alteration of bone internal fine structure or of signaling pathways, would be more difficult detect and may lead to delayed diagnostic, treatment and increased societal and economic cost. By providing a number of potential candidates interfering with proper TH and GC at the post-embryonic transition, we hope contribute to the development of novel markers of perinatal pathologies.</w:t>
      </w:r>
    </w:p>
    <w:p>
      <w:pPr>
        <w:pStyle w:val="style0"/>
        <w:shd w:fill="auto" w:val="clear"/>
        <w:spacing w:line="360" w:lineRule="auto"/>
        <w:rPr>
          <w:rFonts w:ascii="Arial" w:cs="ArialMT" w:eastAsia="ArialMT" w:hAnsi="Arial"/>
          <w:b w:val="false"/>
          <w:bCs w:val="false"/>
          <w:i w:val="false"/>
          <w:iCs w:val="false"/>
          <w:color w:val="262626"/>
          <w:sz w:val="24"/>
          <w:szCs w:val="24"/>
          <w:shd w:fill="auto" w:val="clear"/>
          <w:lang w:val="en-US"/>
        </w:rPr>
      </w:pPr>
      <w:r>
        <w:rPr>
          <w:rFonts w:ascii="Arial" w:hAnsi="Arial"/>
          <w:lang w:val="en-US"/>
        </w:rPr>
        <w:t xml:space="preserve">Importantly, we would like to highlight the fact that although we used GC as a direct mediator of stress, the source of crosstalk may have multiple origins. In addition to the clinical use of GC, exposure to endocrine disruptors may affect the balance of circulating levels of GC and TH, thus potentially increase exposure to crosstalk. Currently, the extent of the crosstalk in other tissues is poorly described and would need further investigation. In a broader perspective, </w:t>
      </w:r>
      <w:r>
        <w:rPr>
          <w:rFonts w:ascii="Arial" w:cs="ArialMT" w:eastAsia="ArialMT" w:hAnsi="Arial"/>
          <w:i w:val="false"/>
          <w:iCs w:val="false"/>
          <w:color w:val="262626"/>
          <w:sz w:val="24"/>
          <w:szCs w:val="24"/>
          <w:lang w:val="en-US"/>
        </w:rPr>
        <w:t xml:space="preserve">integrative mechanisms, and especially the </w:t>
      </w:r>
      <w:r>
        <w:rPr>
          <w:rFonts w:ascii="Arial" w:cs="ArialMT" w:eastAsia="ArialMT" w:hAnsi="Arial"/>
          <w:i w:val="false"/>
          <w:iCs w:val="false"/>
          <w:color w:val="262626"/>
          <w:sz w:val="24"/>
          <w:szCs w:val="24"/>
          <w:lang w:val="en-US"/>
        </w:rPr>
        <w:t xml:space="preserve">TH and </w:t>
      </w:r>
      <w:r>
        <w:rPr>
          <w:rFonts w:ascii="Arial" w:cs="ArialMT" w:eastAsia="ArialMT" w:hAnsi="Arial"/>
          <w:i w:val="false"/>
          <w:iCs w:val="false"/>
          <w:color w:val="262626"/>
          <w:sz w:val="24"/>
          <w:szCs w:val="24"/>
          <w:lang w:val="en-US"/>
        </w:rPr>
        <w:t xml:space="preserve">GC </w:t>
      </w:r>
      <w:r>
        <w:rPr>
          <w:rFonts w:ascii="Arial" w:cs="ArialMT" w:eastAsia="ArialMT" w:hAnsi="Arial"/>
          <w:i w:val="false"/>
          <w:iCs w:val="false"/>
          <w:color w:val="262626"/>
          <w:sz w:val="24"/>
          <w:szCs w:val="24"/>
          <w:lang w:val="en-US"/>
        </w:rPr>
        <w:t>signaling, are essential for adaptation to</w:t>
      </w:r>
      <w:r>
        <w:rPr>
          <w:rFonts w:ascii="Arial" w:cs="ArialMT" w:eastAsia="ArialMT" w:hAnsi="Arial"/>
          <w:i w:val="false"/>
          <w:iCs w:val="false"/>
          <w:color w:val="262626"/>
          <w:sz w:val="24"/>
          <w:szCs w:val="24"/>
          <w:lang w:val="en-US"/>
        </w:rPr>
        <w:t xml:space="preserve"> ongoing global change </w:t>
      </w:r>
      <w:r>
        <w:rPr>
          <w:rFonts w:ascii="Arial" w:cs="ArialMT" w:eastAsia="ArialMT" w:hAnsi="Arial"/>
          <w:i w:val="false"/>
          <w:iCs w:val="false"/>
          <w:color w:val="262626"/>
          <w:sz w:val="24"/>
          <w:szCs w:val="24"/>
          <w:lang w:val="en-US"/>
        </w:rPr>
        <w:t>because</w:t>
      </w:r>
      <w:r>
        <w:rPr>
          <w:rFonts w:ascii="Arial" w:cs="ArialMT" w:eastAsia="ArialMT" w:hAnsi="Arial"/>
          <w:i w:val="false"/>
          <w:iCs w:val="false"/>
          <w:color w:val="262626"/>
          <w:sz w:val="24"/>
          <w:szCs w:val="24"/>
          <w:lang w:val="en-US"/>
        </w:rPr>
        <w:t xml:space="preserve"> </w:t>
      </w:r>
      <w:r>
        <w:rPr>
          <w:rFonts w:ascii="Arial" w:cs="ArialMT" w:eastAsia="ArialMT" w:hAnsi="Arial"/>
          <w:i w:val="false"/>
          <w:iCs w:val="false"/>
          <w:color w:val="262626"/>
          <w:sz w:val="24"/>
          <w:szCs w:val="24"/>
          <w:lang w:val="en-US"/>
        </w:rPr>
        <w:t>they</w:t>
      </w:r>
      <w:r>
        <w:rPr>
          <w:rFonts w:ascii="Arial" w:cs="ArialMT" w:eastAsia="ArialMT" w:hAnsi="Arial"/>
          <w:i w:val="false"/>
          <w:iCs w:val="false"/>
          <w:color w:val="262626"/>
          <w:sz w:val="24"/>
          <w:szCs w:val="24"/>
          <w:lang w:val="en-US"/>
        </w:rPr>
        <w:t xml:space="preserve"> </w:t>
      </w:r>
      <w:r>
        <w:rPr>
          <w:rFonts w:ascii="Arial" w:cs="ArialMT" w:eastAsia="ArialMT" w:hAnsi="Arial"/>
          <w:i w:val="false"/>
          <w:iCs w:val="false"/>
          <w:color w:val="262626"/>
          <w:sz w:val="24"/>
          <w:szCs w:val="24"/>
          <w:lang w:val="en-US"/>
        </w:rPr>
        <w:t>modulate</w:t>
      </w:r>
      <w:r>
        <w:rPr>
          <w:rFonts w:ascii="Arial" w:cs="ArialMT" w:eastAsia="ArialMT" w:hAnsi="Arial"/>
          <w:i w:val="false"/>
          <w:iCs w:val="false"/>
          <w:color w:val="262626"/>
          <w:sz w:val="24"/>
          <w:szCs w:val="24"/>
          <w:lang w:val="en-US"/>
        </w:rPr>
        <w:t xml:space="preserve"> life-history trade-offs. </w:t>
      </w:r>
      <w:r>
        <w:rPr>
          <w:rFonts w:ascii="Arial" w:cs="ArialMT" w:eastAsia="ArialMT" w:hAnsi="Arial"/>
          <w:i w:val="false"/>
          <w:iCs w:val="false"/>
          <w:color w:val="262626"/>
          <w:sz w:val="24"/>
          <w:szCs w:val="24"/>
          <w:lang w:val="en-US"/>
        </w:rPr>
        <w:t>Our results show that c</w:t>
      </w:r>
      <w:r>
        <w:rPr>
          <w:rFonts w:ascii="Arial" w:cs="ArialMT" w:eastAsia="ArialMT" w:hAnsi="Arial"/>
          <w:i w:val="false"/>
          <w:iCs w:val="false"/>
          <w:color w:val="262626"/>
          <w:sz w:val="24"/>
          <w:szCs w:val="24"/>
          <w:lang w:val="en-US"/>
        </w:rPr>
        <w:t>rosstalk</w:t>
      </w:r>
      <w:r>
        <w:rPr>
          <w:rFonts w:ascii="Arial" w:cs="ArialMT" w:eastAsia="ArialMT" w:hAnsi="Arial"/>
          <w:i w:val="false"/>
          <w:iCs w:val="false"/>
          <w:color w:val="262626"/>
          <w:sz w:val="24"/>
          <w:szCs w:val="24"/>
          <w:lang w:val="en-US"/>
        </w:rPr>
        <w:t xml:space="preserve"> may </w:t>
      </w:r>
      <w:r>
        <w:rPr>
          <w:rFonts w:ascii="Arial" w:cs="ArialMT" w:eastAsia="ArialMT" w:hAnsi="Arial"/>
          <w:i w:val="false"/>
          <w:iCs w:val="false"/>
          <w:color w:val="262626"/>
          <w:sz w:val="24"/>
          <w:szCs w:val="24"/>
          <w:lang w:val="en-US"/>
        </w:rPr>
        <w:t>counter-balance</w:t>
      </w:r>
      <w:r>
        <w:rPr>
          <w:rFonts w:ascii="Arial" w:cs="ArialMT" w:eastAsia="ArialMT" w:hAnsi="Arial"/>
          <w:i w:val="false"/>
          <w:iCs w:val="false"/>
          <w:color w:val="262626"/>
          <w:sz w:val="24"/>
          <w:szCs w:val="24"/>
          <w:lang w:val="en-US"/>
        </w:rPr>
        <w:t xml:space="preserve"> </w:t>
      </w:r>
      <w:r>
        <w:rPr>
          <w:rFonts w:ascii="Arial" w:cs="ArialMT" w:eastAsia="ArialMT" w:hAnsi="Arial"/>
          <w:i w:val="false"/>
          <w:iCs w:val="false"/>
          <w:color w:val="262626"/>
          <w:sz w:val="24"/>
          <w:szCs w:val="24"/>
          <w:lang w:val="en-US"/>
        </w:rPr>
        <w:t>these adaptative responses</w:t>
      </w:r>
      <w:r>
        <w:rPr>
          <w:rFonts w:ascii="Arial" w:cs="ArialMT" w:eastAsia="ArialMT" w:hAnsi="Arial"/>
          <w:i w:val="false"/>
          <w:iCs w:val="false"/>
          <w:color w:val="262626"/>
          <w:sz w:val="24"/>
          <w:szCs w:val="24"/>
          <w:lang w:val="en-US"/>
        </w:rPr>
        <w:t xml:space="preserve"> and, thus, </w:t>
      </w:r>
      <w:r>
        <w:rPr>
          <w:rFonts w:ascii="Arial" w:cs="ArialMT" w:eastAsia="ArialMT" w:hAnsi="Arial"/>
          <w:i w:val="false"/>
          <w:iCs w:val="false"/>
          <w:color w:val="262626"/>
          <w:sz w:val="24"/>
          <w:szCs w:val="24"/>
          <w:lang w:val="en-US"/>
        </w:rPr>
        <w:t>may affect</w:t>
      </w:r>
      <w:r>
        <w:rPr>
          <w:rFonts w:ascii="Arial" w:cs="ArialMT" w:eastAsia="ArialMT" w:hAnsi="Arial"/>
          <w:i w:val="false"/>
          <w:iCs w:val="false"/>
          <w:color w:val="262626"/>
          <w:sz w:val="24"/>
          <w:szCs w:val="24"/>
          <w:lang w:val="en-US"/>
        </w:rPr>
        <w:t xml:space="preserve"> the ability to cope with a changing world</w:t>
      </w:r>
      <w:r>
        <w:rPr>
          <w:rFonts w:ascii="Arial" w:cs="ArialMT" w:eastAsia="ArialMT" w:hAnsi="Arial"/>
          <w:b w:val="false"/>
          <w:bCs w:val="false"/>
          <w:i w:val="false"/>
          <w:iCs w:val="false"/>
          <w:color w:val="262626"/>
          <w:sz w:val="24"/>
          <w:szCs w:val="24"/>
          <w:shd w:fill="auto" w:val="clear"/>
          <w:lang w:val="en-US"/>
        </w:rPr>
        <w:t>(</w:t>
      </w:r>
      <w:r>
        <w:rPr>
          <w:rStyle w:val="style26"/>
          <w:rFonts w:ascii="Arial" w:cs="ArialMT" w:eastAsia="ArialMT" w:hAnsi="Arial"/>
          <w:b w:val="false"/>
          <w:bCs w:val="false"/>
          <w:i w:val="false"/>
          <w:iCs w:val="false"/>
          <w:color w:val="262626"/>
          <w:sz w:val="24"/>
          <w:szCs w:val="24"/>
          <w:shd w:fill="auto" w:val="clear"/>
          <w:lang w:val="en-US"/>
        </w:rPr>
        <w:t>[1]</w:t>
      </w:r>
      <w:r>
        <w:rPr>
          <w:rFonts w:ascii="Arial" w:cs="ArialMT" w:eastAsia="ArialMT" w:hAnsi="Arial"/>
          <w:b w:val="false"/>
          <w:bCs w:val="false"/>
          <w:i w:val="false"/>
          <w:iCs w:val="false"/>
          <w:color w:val="262626"/>
          <w:sz w:val="24"/>
          <w:szCs w:val="24"/>
          <w:shd w:fill="auto" w:val="clear"/>
          <w:lang w:val="en-US"/>
        </w:rPr>
        <w:t>)</w:t>
      </w:r>
      <w:r>
        <w:rPr>
          <w:rFonts w:ascii="Arial" w:cs="ArialMT" w:eastAsia="ArialMT" w:hAnsi="Arial"/>
          <w:b w:val="false"/>
          <w:bCs w:val="false"/>
          <w:i w:val="false"/>
          <w:iCs w:val="false"/>
          <w:color w:val="262626"/>
          <w:sz w:val="24"/>
          <w:szCs w:val="24"/>
          <w:shd w:fill="auto" w:val="clear"/>
          <w:lang w:val="en-US"/>
        </w:rPr>
        <w:t>.</w:t>
      </w:r>
    </w:p>
    <w:p>
      <w:pPr>
        <w:pStyle w:val="style0"/>
        <w:spacing w:line="360" w:lineRule="auto"/>
        <w:rPr>
          <w:rFonts w:ascii="Arial" w:hAnsi="Arial"/>
          <w:lang w:val="en-US"/>
        </w:rPr>
      </w:pPr>
      <w:r>
        <w:rPr>
          <w:rFonts w:ascii="Arial" w:hAnsi="Arial"/>
          <w:lang w:val="en-US"/>
        </w:rPr>
      </w:r>
    </w:p>
    <w:p>
      <w:pPr>
        <w:pStyle w:val="style0"/>
        <w:spacing w:line="360" w:lineRule="auto"/>
        <w:rPr>
          <w:rFonts w:ascii="Arial" w:hAnsi="Arial"/>
          <w:b/>
          <w:bCs/>
          <w:sz w:val="28"/>
          <w:szCs w:val="28"/>
          <w:lang w:val="en-US"/>
        </w:rPr>
      </w:pPr>
      <w:r>
        <w:rPr>
          <w:rFonts w:ascii="Arial" w:hAnsi="Arial"/>
          <w:b/>
          <w:bCs/>
          <w:sz w:val="28"/>
          <w:szCs w:val="28"/>
          <w:lang w:val="en-US"/>
        </w:rPr>
        <w:t>Acknowledgements</w:t>
      </w:r>
    </w:p>
    <w:p>
      <w:pPr>
        <w:pStyle w:val="style0"/>
        <w:spacing w:line="360" w:lineRule="auto"/>
        <w:rPr>
          <w:rFonts w:ascii="Helvetica" w:hAnsi="Helvetica"/>
          <w:color w:val="000000"/>
          <w:sz w:val="24"/>
          <w:szCs w:val="24"/>
        </w:rPr>
      </w:pPr>
      <w:r>
        <w:rPr>
          <w:rFonts w:ascii="Helvetica" w:hAnsi="Helvetica"/>
          <w:color w:val="000000"/>
          <w:sz w:val="24"/>
          <w:szCs w:val="24"/>
          <w:lang w:val="en-US"/>
        </w:rPr>
        <w:t xml:space="preserve">We thank J.-P. Chaumeil and G. Benisti for animal care. </w:t>
      </w:r>
      <w:r>
        <w:rPr>
          <w:rFonts w:ascii="Helvetica" w:hAnsi="Helvetica"/>
          <w:color w:val="000000"/>
          <w:sz w:val="24"/>
          <w:szCs w:val="24"/>
        </w:rPr>
        <w:t xml:space="preserve">This work was supported by the “Centre National de la Recherche Scientifique”, the “Muséum National d’Histoire Naturelle”, “TRIGGER” (ANR-08-JCJC-0100-01), “IDEAL”, a large Integrated Project funding from FP7 (contract n°259679) </w:t>
      </w:r>
      <w:r>
        <w:rPr>
          <w:rFonts w:ascii="Helvetica" w:hAnsi="Helvetica"/>
          <w:color w:val="000000"/>
          <w:sz w:val="24"/>
          <w:szCs w:val="24"/>
        </w:rPr>
        <w:t>and « MethylDev », a PICS CNRS funding program.</w:t>
      </w:r>
    </w:p>
    <w:p>
      <w:pPr>
        <w:pStyle w:val="style0"/>
        <w:spacing w:line="360" w:lineRule="auto"/>
        <w:rPr>
          <w:rFonts w:ascii="Arial" w:hAnsi="Arial"/>
          <w:lang w:val="en-US"/>
        </w:rPr>
      </w:pPr>
      <w:r>
        <w:rPr>
          <w:rFonts w:ascii="Arial" w:hAnsi="Arial"/>
          <w:lang w:val="en-US"/>
        </w:rPr>
      </w:r>
    </w:p>
    <w:p>
      <w:pPr>
        <w:pStyle w:val="style0"/>
        <w:spacing w:line="360" w:lineRule="auto"/>
        <w:rPr>
          <w:rFonts w:ascii="Arial" w:hAnsi="Arial"/>
          <w:b/>
          <w:bCs/>
          <w:sz w:val="28"/>
          <w:szCs w:val="28"/>
          <w:lang w:val="en-US"/>
        </w:rPr>
      </w:pPr>
      <w:r>
        <w:rPr>
          <w:rFonts w:ascii="Arial" w:hAnsi="Arial"/>
          <w:b/>
          <w:bCs/>
          <w:sz w:val="28"/>
          <w:szCs w:val="28"/>
          <w:lang w:val="en-US"/>
        </w:rPr>
      </w:r>
    </w:p>
    <w:p>
      <w:pPr>
        <w:pStyle w:val="style113"/>
        <w:rPr>
          <w:rFonts w:ascii="Arial" w:hAnsi="Arial"/>
          <w:sz w:val="28"/>
          <w:szCs w:val="28"/>
        </w:rPr>
      </w:pPr>
      <w:r>
        <w:rPr>
          <w:rFonts w:ascii="Arial" w:hAnsi="Arial"/>
          <w:sz w:val="28"/>
          <w:szCs w:val="28"/>
        </w:rPr>
        <w:t>References</w:t>
      </w:r>
    </w:p>
    <w:p>
      <w:pPr>
        <w:pStyle w:val="style113"/>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Anders ,S. and HuberW.  2010. Differential expression analysis for sequence count data.. </w:t>
      </w:r>
      <w:r>
        <w:rPr>
          <w:rStyle w:val="style28"/>
          <w:rFonts w:ascii="Arial" w:hAnsi="Arial"/>
          <w:b w:val="false"/>
          <w:bCs w:val="false"/>
          <w:lang w:val="en-US"/>
        </w:rPr>
        <w:t>Genome biology</w:t>
      </w:r>
      <w:r>
        <w:rPr>
          <w:rStyle w:val="style27"/>
          <w:rFonts w:ascii="Arial" w:hAnsi="Arial"/>
          <w:b w:val="false"/>
          <w:bCs w:val="false"/>
          <w:lang w:val="en-US"/>
        </w:rPr>
        <w:t xml:space="preserve"> </w:t>
      </w:r>
      <w:r>
        <w:rPr>
          <w:rStyle w:val="style29"/>
          <w:rFonts w:ascii="Arial" w:hAnsi="Arial"/>
          <w:b w:val="false"/>
          <w:bCs w:val="false"/>
          <w:lang w:val="en-US"/>
        </w:rPr>
        <w:t>11</w:t>
      </w:r>
      <w:r>
        <w:rPr>
          <w:rStyle w:val="style27"/>
          <w:rFonts w:ascii="Arial" w:hAnsi="Arial"/>
          <w:b w:val="false"/>
          <w:bCs w:val="false"/>
          <w:lang w:val="en-US"/>
        </w:rPr>
        <w:t>:p. R106</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Andersen ,C.L., Jensen,J.L. and OrntoftT.F.  2004. Normalization of real-time quantitative reverse transcription-pcr data: a model-based variance estimation approach to identify genes suited for normalization, applied to bladder and colon cancer data sets. </w:t>
      </w:r>
      <w:r>
        <w:rPr>
          <w:rStyle w:val="style28"/>
          <w:rFonts w:ascii="Arial" w:hAnsi="Arial"/>
          <w:b w:val="false"/>
          <w:bCs w:val="false"/>
          <w:lang w:val="en-US"/>
        </w:rPr>
        <w:t>Cancer Res</w:t>
      </w:r>
      <w:r>
        <w:rPr>
          <w:rStyle w:val="style27"/>
          <w:rFonts w:ascii="Arial" w:hAnsi="Arial"/>
          <w:b w:val="false"/>
          <w:bCs w:val="false"/>
          <w:lang w:val="en-US"/>
        </w:rPr>
        <w:t xml:space="preserve"> </w:t>
      </w:r>
      <w:r>
        <w:rPr>
          <w:rStyle w:val="style29"/>
          <w:rFonts w:ascii="Arial" w:hAnsi="Arial"/>
          <w:b w:val="false"/>
          <w:bCs w:val="false"/>
          <w:lang w:val="en-US"/>
        </w:rPr>
        <w:t>64</w:t>
      </w:r>
      <w:r>
        <w:rPr>
          <w:rStyle w:val="style27"/>
          <w:rFonts w:ascii="Arial" w:hAnsi="Arial"/>
          <w:b w:val="false"/>
          <w:bCs w:val="false"/>
          <w:lang w:val="en-US"/>
        </w:rPr>
        <w:t>:pp. 5245-5250</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Angelier ,F. and WingfieldJ.C.  2013. Importance of the glucocorticoid stress response in a changing world: theory, hypotheses and perspectives. </w:t>
      </w:r>
      <w:r>
        <w:rPr>
          <w:rStyle w:val="style28"/>
          <w:rFonts w:ascii="Arial" w:hAnsi="Arial"/>
          <w:b w:val="false"/>
          <w:bCs w:val="false"/>
          <w:lang w:val="en-US"/>
        </w:rPr>
        <w:t>Gen Comp Endocrinol</w:t>
      </w:r>
      <w:r>
        <w:rPr>
          <w:rStyle w:val="style27"/>
          <w:rFonts w:ascii="Arial" w:hAnsi="Arial"/>
          <w:b w:val="false"/>
          <w:bCs w:val="false"/>
          <w:lang w:val="en-US"/>
        </w:rPr>
        <w:t xml:space="preserve"> </w:t>
      </w:r>
      <w:r>
        <w:rPr>
          <w:rStyle w:val="style29"/>
          <w:rFonts w:ascii="Arial" w:hAnsi="Arial"/>
          <w:b w:val="false"/>
          <w:bCs w:val="false"/>
          <w:lang w:val="en-US"/>
        </w:rPr>
        <w:t>190</w:t>
      </w:r>
      <w:r>
        <w:rPr>
          <w:rStyle w:val="style27"/>
          <w:rFonts w:ascii="Arial" w:hAnsi="Arial"/>
          <w:b w:val="false"/>
          <w:bCs w:val="false"/>
          <w:lang w:val="en-US"/>
        </w:rPr>
        <w:t>:pp. 118-128</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Bickel ,M.  1993. The role of interleukin-8 in inflammation and mechanisms of regulation. </w:t>
      </w:r>
      <w:r>
        <w:rPr>
          <w:rStyle w:val="style28"/>
          <w:rFonts w:ascii="Arial" w:hAnsi="Arial"/>
          <w:b w:val="false"/>
          <w:bCs w:val="false"/>
          <w:lang w:val="en-US"/>
        </w:rPr>
        <w:t>J Periodontol</w:t>
      </w:r>
      <w:r>
        <w:rPr>
          <w:rStyle w:val="style27"/>
          <w:rFonts w:ascii="Arial" w:hAnsi="Arial"/>
          <w:b w:val="false"/>
          <w:bCs w:val="false"/>
          <w:lang w:val="en-US"/>
        </w:rPr>
        <w:t xml:space="preserve"> </w:t>
      </w:r>
      <w:r>
        <w:rPr>
          <w:rStyle w:val="style29"/>
          <w:rFonts w:ascii="Arial" w:hAnsi="Arial"/>
          <w:b w:val="false"/>
          <w:bCs w:val="false"/>
          <w:lang w:val="en-US"/>
        </w:rPr>
        <w:t>64</w:t>
      </w:r>
      <w:r>
        <w:rPr>
          <w:rStyle w:val="style27"/>
          <w:rFonts w:ascii="Arial" w:hAnsi="Arial"/>
          <w:b w:val="false"/>
          <w:bCs w:val="false"/>
          <w:lang w:val="en-US"/>
        </w:rPr>
        <w:t>:pp. 456-460</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Bilesimo ,P., Jolivet,P., Alfama,G., Buisine,N., Le Mevel,S., Havis,E., Demeneix,B.A. and SachsL.M.  2011. Specific histone lysine 4 methylation patterns define tr-binding capacity and differentiate direct t3 responses.. </w:t>
      </w:r>
      <w:r>
        <w:rPr>
          <w:rStyle w:val="style28"/>
          <w:rFonts w:ascii="Arial" w:hAnsi="Arial"/>
          <w:b w:val="false"/>
          <w:bCs w:val="false"/>
          <w:lang w:val="en-US"/>
        </w:rPr>
        <w:t>Molecular endocrinology (Baltimore, Md.)</w:t>
      </w:r>
      <w:r>
        <w:rPr>
          <w:rStyle w:val="style27"/>
          <w:rFonts w:ascii="Arial" w:hAnsi="Arial"/>
          <w:b w:val="false"/>
          <w:bCs w:val="false"/>
          <w:lang w:val="en-US"/>
        </w:rPr>
        <w:t xml:space="preserve"> </w:t>
      </w:r>
      <w:r>
        <w:rPr>
          <w:rStyle w:val="style29"/>
          <w:rFonts w:ascii="Arial" w:hAnsi="Arial"/>
          <w:b w:val="false"/>
          <w:bCs w:val="false"/>
          <w:lang w:val="en-US"/>
        </w:rPr>
        <w:t>25</w:t>
      </w:r>
      <w:r>
        <w:rPr>
          <w:rStyle w:val="style27"/>
          <w:rFonts w:ascii="Arial" w:hAnsi="Arial"/>
          <w:b w:val="false"/>
          <w:bCs w:val="false"/>
          <w:lang w:val="en-US"/>
        </w:rPr>
        <w:t>:pp. 225-237</w:t>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Boelaert ,K. and FranklynJ.A.  2005. Thyroid hormone in health and disease.. </w:t>
      </w:r>
      <w:r>
        <w:rPr>
          <w:rStyle w:val="style28"/>
          <w:rFonts w:ascii="Arial" w:hAnsi="Arial"/>
          <w:b w:val="false"/>
          <w:bCs w:val="false"/>
          <w:lang w:val="en-US"/>
        </w:rPr>
        <w:t>The Journal of endocrinology</w:t>
      </w:r>
      <w:r>
        <w:rPr>
          <w:rStyle w:val="style27"/>
          <w:rFonts w:ascii="Arial" w:hAnsi="Arial"/>
          <w:b w:val="false"/>
          <w:bCs w:val="false"/>
          <w:lang w:val="en-US"/>
        </w:rPr>
        <w:t xml:space="preserve"> </w:t>
      </w:r>
      <w:r>
        <w:rPr>
          <w:rStyle w:val="style29"/>
          <w:rFonts w:ascii="Arial" w:hAnsi="Arial"/>
          <w:b w:val="false"/>
          <w:bCs w:val="false"/>
          <w:lang w:val="en-US"/>
        </w:rPr>
        <w:t>187</w:t>
      </w:r>
      <w:r>
        <w:rPr>
          <w:rStyle w:val="style27"/>
          <w:rFonts w:ascii="Arial" w:hAnsi="Arial"/>
          <w:b w:val="false"/>
          <w:bCs w:val="false"/>
          <w:lang w:val="en-US"/>
        </w:rPr>
        <w:t>:pp. 1-15</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Bonett ,R.M., Hoopfer,E.D. and DenverR.J.  2010. Molecular mechanisms of corticosteroid synergy with thyroid hormone during tadpole metamorphosis. </w:t>
      </w:r>
      <w:r>
        <w:rPr>
          <w:rStyle w:val="style28"/>
          <w:rFonts w:ascii="Arial" w:hAnsi="Arial"/>
          <w:b w:val="false"/>
          <w:bCs w:val="false"/>
          <w:lang w:val="en-US"/>
        </w:rPr>
        <w:t>Gen Comp Endocrinol</w:t>
      </w:r>
      <w:r>
        <w:rPr>
          <w:rStyle w:val="style27"/>
          <w:rFonts w:ascii="Arial" w:hAnsi="Arial"/>
          <w:b w:val="false"/>
          <w:bCs w:val="false"/>
          <w:lang w:val="en-US"/>
        </w:rPr>
        <w:t xml:space="preserve"> </w:t>
      </w:r>
      <w:r>
        <w:rPr>
          <w:rStyle w:val="style29"/>
          <w:rFonts w:ascii="Arial" w:hAnsi="Arial"/>
          <w:b w:val="false"/>
          <w:bCs w:val="false"/>
          <w:lang w:val="en-US"/>
        </w:rPr>
        <w:t>168</w:t>
      </w:r>
      <w:r>
        <w:rPr>
          <w:rStyle w:val="style27"/>
          <w:rFonts w:ascii="Arial" w:hAnsi="Arial"/>
          <w:b w:val="false"/>
          <w:bCs w:val="false"/>
          <w:lang w:val="en-US"/>
        </w:rPr>
        <w:t>:pp. 209-219</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Bonett ,R.M., Hu,F., Bagamasbad,P. and DenverR.J.  2009. Stressor and glucocorticoid-dependent induction of the immediate early gene kruppel-like factor 9: implications for neural development and plasticity.. </w:t>
      </w:r>
      <w:r>
        <w:rPr>
          <w:rStyle w:val="style28"/>
          <w:rFonts w:ascii="Arial" w:hAnsi="Arial"/>
          <w:b w:val="false"/>
          <w:bCs w:val="false"/>
          <w:lang w:val="en-US"/>
        </w:rPr>
        <w:t>Endocrinology</w:t>
      </w:r>
      <w:r>
        <w:rPr>
          <w:rStyle w:val="style27"/>
          <w:rFonts w:ascii="Arial" w:hAnsi="Arial"/>
          <w:b w:val="false"/>
          <w:bCs w:val="false"/>
          <w:lang w:val="en-US"/>
        </w:rPr>
        <w:t xml:space="preserve"> </w:t>
      </w:r>
      <w:r>
        <w:rPr>
          <w:rStyle w:val="style29"/>
          <w:rFonts w:ascii="Arial" w:hAnsi="Arial"/>
          <w:b w:val="false"/>
          <w:bCs w:val="false"/>
          <w:lang w:val="en-US"/>
        </w:rPr>
        <w:t>150</w:t>
      </w:r>
      <w:r>
        <w:rPr>
          <w:rStyle w:val="style27"/>
          <w:rFonts w:ascii="Arial" w:hAnsi="Arial"/>
          <w:b w:val="false"/>
          <w:bCs w:val="false"/>
          <w:lang w:val="en-US"/>
        </w:rPr>
        <w:t>:pp. 1757-1765</w:t>
      </w:r>
    </w:p>
    <w:p>
      <w:pPr>
        <w:pStyle w:val="style114"/>
        <w:spacing w:line="100" w:lineRule="atLeast"/>
        <w:ind w:hanging="413" w:left="425" w:right="0"/>
        <w:rPr>
          <w:rFonts w:ascii="Arial" w:hAnsi="Arial"/>
          <w:b/>
          <w:bCs/>
          <w:sz w:val="28"/>
          <w:szCs w:val="28"/>
          <w:lang w:val="en-US"/>
        </w:rPr>
      </w:pPr>
      <w:r>
        <w:rPr>
          <w:rFonts w:ascii="Arial" w:hAnsi="Arial"/>
          <w:b/>
          <w:bCs/>
          <w:sz w:val="28"/>
          <w:szCs w:val="28"/>
          <w:lang w:val="en-US"/>
        </w:rPr>
      </w:r>
    </w:p>
    <w:p>
      <w:pPr>
        <w:pStyle w:val="style114"/>
        <w:spacing w:line="100" w:lineRule="atLeast"/>
        <w:ind w:hanging="413" w:left="425" w:right="0"/>
        <w:rPr>
          <w:rStyle w:val="style27"/>
          <w:rFonts w:ascii="Arial" w:hAnsi="Arial"/>
          <w:b w:val="false"/>
          <w:bCs w:val="false"/>
          <w:i w:val="false"/>
          <w:iCs w:val="false"/>
          <w:sz w:val="24"/>
          <w:szCs w:val="24"/>
          <w:lang w:val="en-US"/>
        </w:rPr>
      </w:pPr>
      <w:r>
        <w:rPr>
          <w:rStyle w:val="style27"/>
          <w:rFonts w:ascii="Arial" w:hAnsi="Arial"/>
          <w:b w:val="false"/>
          <w:bCs w:val="false"/>
          <w:i w:val="false"/>
          <w:iCs w:val="false"/>
          <w:sz w:val="24"/>
          <w:szCs w:val="24"/>
          <w:lang w:val="en-US"/>
        </w:rPr>
        <w:t xml:space="preserve"> </w:t>
      </w:r>
      <w:r>
        <w:rPr>
          <w:rStyle w:val="style27"/>
          <w:rFonts w:ascii="Arial" w:hAnsi="Arial"/>
          <w:b w:val="false"/>
          <w:bCs w:val="false"/>
          <w:i w:val="false"/>
          <w:iCs w:val="false"/>
          <w:sz w:val="24"/>
          <w:szCs w:val="24"/>
          <w:lang w:val="en-US"/>
        </w:rPr>
        <w:t xml:space="preserve">Bouyacoub ,Y., Zribi,H., Azzouz,H., Nasrallah,F., Abdelaziz,R.B., Kacem,M., Rekaya,B., Messaoud,O., Romdhane,L., Charfeddine,C.et al.  2013. Novel and recurrent mutations in the tat gene in tunisian families affected with richner-hanhart syndrome. </w:t>
      </w:r>
      <w:r>
        <w:rPr>
          <w:rStyle w:val="style28"/>
          <w:rFonts w:ascii="Arial" w:hAnsi="Arial"/>
          <w:b w:val="false"/>
          <w:bCs w:val="false"/>
          <w:iCs w:val="false"/>
          <w:sz w:val="24"/>
          <w:szCs w:val="24"/>
          <w:lang w:val="en-US"/>
        </w:rPr>
        <w:t>Gene</w:t>
      </w:r>
      <w:r>
        <w:rPr>
          <w:rStyle w:val="style27"/>
          <w:rFonts w:ascii="Arial" w:hAnsi="Arial"/>
          <w:b w:val="false"/>
          <w:bCs w:val="false"/>
          <w:i w:val="false"/>
          <w:iCs w:val="false"/>
          <w:sz w:val="24"/>
          <w:szCs w:val="24"/>
          <w:lang w:val="en-US"/>
        </w:rPr>
        <w:t xml:space="preserve"> </w:t>
      </w:r>
      <w:r>
        <w:rPr>
          <w:rStyle w:val="style29"/>
          <w:rFonts w:ascii="Arial" w:hAnsi="Arial"/>
          <w:b w:val="false"/>
          <w:bCs w:val="false"/>
          <w:i w:val="false"/>
          <w:iCs w:val="false"/>
          <w:sz w:val="24"/>
          <w:szCs w:val="24"/>
          <w:lang w:val="en-US"/>
        </w:rPr>
        <w:t>529</w:t>
      </w:r>
      <w:r>
        <w:rPr>
          <w:rStyle w:val="style27"/>
          <w:rFonts w:ascii="Arial" w:hAnsi="Arial"/>
          <w:b w:val="false"/>
          <w:bCs w:val="false"/>
          <w:i w:val="false"/>
          <w:iCs w:val="false"/>
          <w:sz w:val="24"/>
          <w:szCs w:val="24"/>
          <w:lang w:val="en-US"/>
        </w:rPr>
        <w:t>:pp. 45-49</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Bowes ,J.B., Snyder,K.A., Segerdell,E., Gibb,R., Jarabek,C., Noumen,E., Pollet,N. and VizeP.D.  2008. Xenbase: a xenopus biology and genomics resource. </w:t>
      </w:r>
      <w:r>
        <w:rPr>
          <w:rStyle w:val="style28"/>
          <w:rFonts w:ascii="Arial" w:hAnsi="Arial"/>
          <w:b w:val="false"/>
          <w:bCs w:val="false"/>
          <w:lang w:val="en-US"/>
        </w:rPr>
        <w:t>Nucleic Acids Res</w:t>
      </w:r>
      <w:r>
        <w:rPr>
          <w:rStyle w:val="style27"/>
          <w:rFonts w:ascii="Arial" w:hAnsi="Arial"/>
          <w:b w:val="false"/>
          <w:bCs w:val="false"/>
          <w:lang w:val="en-US"/>
        </w:rPr>
        <w:t xml:space="preserve"> </w:t>
      </w:r>
      <w:r>
        <w:rPr>
          <w:rStyle w:val="style29"/>
          <w:rFonts w:ascii="Arial" w:hAnsi="Arial"/>
          <w:b w:val="false"/>
          <w:bCs w:val="false"/>
          <w:lang w:val="en-US"/>
        </w:rPr>
        <w:t>36</w:t>
      </w:r>
      <w:r>
        <w:rPr>
          <w:rStyle w:val="style27"/>
          <w:rFonts w:ascii="Arial" w:hAnsi="Arial"/>
          <w:b w:val="false"/>
          <w:bCs w:val="false"/>
          <w:lang w:val="en-US"/>
        </w:rPr>
        <w:t>:p. D761-7</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Braun ,T., Challis,J.R., Newnham,J.P. and SlobodaD.M.  2013. Early-life glucocorticoid exposure: the hypothalamic-pituitary-adrenal axis, placental function, and long-term disease risk.. </w:t>
      </w:r>
      <w:r>
        <w:rPr>
          <w:rStyle w:val="style28"/>
          <w:rFonts w:ascii="Arial" w:hAnsi="Arial"/>
          <w:b w:val="false"/>
          <w:bCs w:val="false"/>
          <w:lang w:val="en-US"/>
        </w:rPr>
        <w:t>Endocrine reviews</w:t>
      </w:r>
      <w:r>
        <w:rPr>
          <w:rStyle w:val="style27"/>
          <w:rFonts w:ascii="Arial" w:hAnsi="Arial"/>
          <w:b w:val="false"/>
          <w:bCs w:val="false"/>
          <w:lang w:val="en-US"/>
        </w:rPr>
        <w:t xml:space="preserve"> </w:t>
      </w:r>
      <w:r>
        <w:rPr>
          <w:rStyle w:val="style29"/>
          <w:rFonts w:ascii="Arial" w:hAnsi="Arial"/>
          <w:b w:val="false"/>
          <w:bCs w:val="false"/>
          <w:lang w:val="en-US"/>
        </w:rPr>
        <w:t>34</w:t>
      </w:r>
      <w:r>
        <w:rPr>
          <w:rStyle w:val="style27"/>
          <w:rFonts w:ascii="Arial" w:hAnsi="Arial"/>
          <w:b w:val="false"/>
          <w:bCs w:val="false"/>
          <w:lang w:val="en-US"/>
        </w:rPr>
        <w:t>:pp. 885-916</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Crespi ,E.J. and WarneR.W.  2013. Environmental conditions experienced during the tadpole stage alter post-metamorphic glucocorticoid response to stress in an amphibian. </w:t>
      </w:r>
      <w:r>
        <w:rPr>
          <w:rStyle w:val="style28"/>
          <w:rFonts w:ascii="Arial" w:hAnsi="Arial"/>
          <w:b w:val="false"/>
          <w:bCs w:val="false"/>
          <w:lang w:val="en-US"/>
        </w:rPr>
        <w:t>Integr Comp Biol</w:t>
      </w:r>
      <w:r>
        <w:rPr>
          <w:rStyle w:val="style27"/>
          <w:rFonts w:ascii="Arial" w:hAnsi="Arial"/>
          <w:b w:val="false"/>
          <w:bCs w:val="false"/>
          <w:lang w:val="en-US"/>
        </w:rPr>
        <w:t xml:space="preserve"> </w:t>
      </w:r>
      <w:r>
        <w:rPr>
          <w:rStyle w:val="style29"/>
          <w:rFonts w:ascii="Arial" w:hAnsi="Arial"/>
          <w:b w:val="false"/>
          <w:bCs w:val="false"/>
          <w:lang w:val="en-US"/>
        </w:rPr>
        <w:t>53</w:t>
      </w:r>
      <w:r>
        <w:rPr>
          <w:rStyle w:val="style27"/>
          <w:rFonts w:ascii="Arial" w:hAnsi="Arial"/>
          <w:b w:val="false"/>
          <w:bCs w:val="false"/>
          <w:lang w:val="en-US"/>
        </w:rPr>
        <w:t>:pp. 989-1001</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Denver ,R.J.  2013. Neuroendocrinology of amphibian metamorphosis. </w:t>
      </w:r>
      <w:r>
        <w:rPr>
          <w:rStyle w:val="style28"/>
          <w:rFonts w:ascii="Arial" w:hAnsi="Arial"/>
          <w:b w:val="false"/>
          <w:bCs w:val="false"/>
          <w:lang w:val="en-US"/>
        </w:rPr>
        <w:t>Curr Top Dev Biol</w:t>
      </w:r>
      <w:r>
        <w:rPr>
          <w:rStyle w:val="style27"/>
          <w:rFonts w:ascii="Arial" w:hAnsi="Arial"/>
          <w:b w:val="false"/>
          <w:bCs w:val="false"/>
          <w:lang w:val="en-US"/>
        </w:rPr>
        <w:t xml:space="preserve"> </w:t>
      </w:r>
      <w:r>
        <w:rPr>
          <w:rStyle w:val="style29"/>
          <w:rFonts w:ascii="Arial" w:hAnsi="Arial"/>
          <w:b w:val="false"/>
          <w:bCs w:val="false"/>
          <w:lang w:val="en-US"/>
        </w:rPr>
        <w:t>103</w:t>
      </w:r>
      <w:r>
        <w:rPr>
          <w:rStyle w:val="style27"/>
          <w:rFonts w:ascii="Arial" w:hAnsi="Arial"/>
          <w:b w:val="false"/>
          <w:bCs w:val="false"/>
          <w:lang w:val="en-US"/>
        </w:rPr>
        <w:t>:pp. 195-227</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Denver ,R.J., Ouellet,L., Furling,D., Kobayashi,A., Fujii-Kuriyama,Y. and PuymiratJ.  1999. Basic transcription element-binding protein (bteb) is a thyroid hormone-regulated gene in the developing central nervous system. evidence for a role in neurite outgrowth.. </w:t>
      </w:r>
      <w:r>
        <w:rPr>
          <w:rStyle w:val="style28"/>
          <w:rFonts w:ascii="Arial" w:hAnsi="Arial"/>
          <w:b w:val="false"/>
          <w:bCs w:val="false"/>
          <w:lang w:val="en-US"/>
        </w:rPr>
        <w:t>The Journal of biological chemistry</w:t>
      </w:r>
      <w:r>
        <w:rPr>
          <w:rStyle w:val="style27"/>
          <w:rFonts w:ascii="Arial" w:hAnsi="Arial"/>
          <w:b w:val="false"/>
          <w:bCs w:val="false"/>
          <w:lang w:val="en-US"/>
        </w:rPr>
        <w:t xml:space="preserve"> </w:t>
      </w:r>
      <w:r>
        <w:rPr>
          <w:rStyle w:val="style29"/>
          <w:rFonts w:ascii="Arial" w:hAnsi="Arial"/>
          <w:b w:val="false"/>
          <w:bCs w:val="false"/>
          <w:lang w:val="en-US"/>
        </w:rPr>
        <w:t>274</w:t>
      </w:r>
      <w:r>
        <w:rPr>
          <w:rStyle w:val="style27"/>
          <w:rFonts w:ascii="Arial" w:hAnsi="Arial"/>
          <w:b w:val="false"/>
          <w:bCs w:val="false"/>
          <w:lang w:val="en-US"/>
        </w:rPr>
        <w:t>:pp. 23128-23134</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Elgueta ,R., Benson,M.J., de Vries,V.C., Wasiuk,A., Guo,Y. and NoelleR.J.  2009. Molecular mechanism and function of cd40/cd40l engagement in the immune system.. </w:t>
      </w:r>
      <w:r>
        <w:rPr>
          <w:rStyle w:val="style28"/>
          <w:rFonts w:ascii="Arial" w:hAnsi="Arial"/>
          <w:b w:val="false"/>
          <w:bCs w:val="false"/>
          <w:lang w:val="en-US"/>
        </w:rPr>
        <w:t>Immunological reviews</w:t>
      </w:r>
      <w:r>
        <w:rPr>
          <w:rStyle w:val="style27"/>
          <w:rFonts w:ascii="Arial" w:hAnsi="Arial"/>
          <w:b w:val="false"/>
          <w:bCs w:val="false"/>
          <w:lang w:val="en-US"/>
        </w:rPr>
        <w:t xml:space="preserve"> </w:t>
      </w:r>
      <w:r>
        <w:rPr>
          <w:rStyle w:val="style29"/>
          <w:rFonts w:ascii="Arial" w:hAnsi="Arial"/>
          <w:b w:val="false"/>
          <w:bCs w:val="false"/>
          <w:lang w:val="en-US"/>
        </w:rPr>
        <w:t>229</w:t>
      </w:r>
      <w:r>
        <w:rPr>
          <w:rStyle w:val="style27"/>
          <w:rFonts w:ascii="Arial" w:hAnsi="Arial"/>
          <w:b w:val="false"/>
          <w:bCs w:val="false"/>
          <w:lang w:val="en-US"/>
        </w:rPr>
        <w:t>:pp. 152-172</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Flicek ,P., Amode,M.R., Barrell,D., Beal,K., Billis,K., Brent,S., Carvalho-Silva,D., Clapham,P., Coates,G., Fitzgerald,S.et al.  2014. Ensembl 2014. </w:t>
      </w:r>
      <w:r>
        <w:rPr>
          <w:rStyle w:val="style28"/>
          <w:rFonts w:ascii="Arial" w:hAnsi="Arial"/>
          <w:b w:val="false"/>
          <w:bCs w:val="false"/>
          <w:lang w:val="en-US"/>
        </w:rPr>
        <w:t>Nucleic Acids Res</w:t>
      </w:r>
      <w:r>
        <w:rPr>
          <w:rStyle w:val="style27"/>
          <w:rFonts w:ascii="Arial" w:hAnsi="Arial"/>
          <w:b w:val="false"/>
          <w:bCs w:val="false"/>
          <w:lang w:val="en-US"/>
        </w:rPr>
        <w:t xml:space="preserve"> </w:t>
      </w:r>
      <w:r>
        <w:rPr>
          <w:rStyle w:val="style29"/>
          <w:rFonts w:ascii="Arial" w:hAnsi="Arial"/>
          <w:b w:val="false"/>
          <w:bCs w:val="false"/>
          <w:lang w:val="en-US"/>
        </w:rPr>
        <w:t>42</w:t>
      </w:r>
      <w:r>
        <w:rPr>
          <w:rStyle w:val="style27"/>
          <w:rFonts w:ascii="Arial" w:hAnsi="Arial"/>
          <w:b w:val="false"/>
          <w:bCs w:val="false"/>
          <w:lang w:val="en-US"/>
        </w:rPr>
        <w:t>:p. D749-55</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Galton ,V.A.  1990. Mechanisms underlying the acceleration of thyroid hormone-induced tadpole metamorphosis by corticosterone.. </w:t>
      </w:r>
      <w:r>
        <w:rPr>
          <w:rStyle w:val="style28"/>
          <w:rFonts w:ascii="Arial" w:hAnsi="Arial"/>
          <w:b w:val="false"/>
          <w:bCs w:val="false"/>
          <w:lang w:val="en-US"/>
        </w:rPr>
        <w:t>Endocrinology</w:t>
      </w:r>
      <w:r>
        <w:rPr>
          <w:rStyle w:val="style27"/>
          <w:rFonts w:ascii="Arial" w:hAnsi="Arial"/>
          <w:b w:val="false"/>
          <w:bCs w:val="false"/>
          <w:lang w:val="en-US"/>
        </w:rPr>
        <w:t xml:space="preserve"> </w:t>
      </w:r>
      <w:r>
        <w:rPr>
          <w:rStyle w:val="style29"/>
          <w:rFonts w:ascii="Arial" w:hAnsi="Arial"/>
          <w:b w:val="false"/>
          <w:bCs w:val="false"/>
          <w:lang w:val="en-US"/>
        </w:rPr>
        <w:t>127</w:t>
      </w:r>
      <w:r>
        <w:rPr>
          <w:rStyle w:val="style27"/>
          <w:rFonts w:ascii="Arial" w:hAnsi="Arial"/>
          <w:b w:val="false"/>
          <w:bCs w:val="false"/>
          <w:lang w:val="en-US"/>
        </w:rPr>
        <w:t>:pp. 2997-3002</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Grimaldi ,A., Buisine,N., Miller,T., Shi,Y. and SachsL.M.  2012. Mechanisms of thyroid hormone receptor action during development: lessons from amphibian studies. </w:t>
      </w:r>
      <w:r>
        <w:rPr>
          <w:rStyle w:val="style28"/>
          <w:rFonts w:ascii="Arial" w:hAnsi="Arial"/>
          <w:b w:val="false"/>
          <w:bCs w:val="false"/>
          <w:lang w:val="en-US"/>
        </w:rPr>
        <w:t>Biochim Biophys Acta</w:t>
      </w:r>
      <w:r>
        <w:rPr>
          <w:rStyle w:val="style27"/>
          <w:rFonts w:ascii="Arial" w:hAnsi="Arial"/>
          <w:b w:val="false"/>
          <w:bCs w:val="false"/>
          <w:lang w:val="en-US"/>
        </w:rPr>
        <w:t xml:space="preserve"> :</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Gupta ,M.K., Singh,D.B., Shukla,R. and MisraK.  2013. A comprehensive metabolic modeling of thyroid pathway in relation to thyroid pathophysiology and therapeutics. </w:t>
      </w:r>
      <w:r>
        <w:rPr>
          <w:rStyle w:val="style28"/>
          <w:rFonts w:ascii="Arial" w:hAnsi="Arial"/>
          <w:b w:val="false"/>
          <w:bCs w:val="false"/>
          <w:lang w:val="en-US"/>
        </w:rPr>
        <w:t>OMICS</w:t>
      </w:r>
      <w:r>
        <w:rPr>
          <w:rStyle w:val="style27"/>
          <w:rFonts w:ascii="Arial" w:hAnsi="Arial"/>
          <w:b w:val="false"/>
          <w:bCs w:val="false"/>
          <w:lang w:val="en-US"/>
        </w:rPr>
        <w:t xml:space="preserve"> </w:t>
      </w:r>
      <w:r>
        <w:rPr>
          <w:rStyle w:val="style29"/>
          <w:rFonts w:ascii="Arial" w:hAnsi="Arial"/>
          <w:b w:val="false"/>
          <w:bCs w:val="false"/>
          <w:lang w:val="en-US"/>
        </w:rPr>
        <w:t>17</w:t>
      </w:r>
      <w:r>
        <w:rPr>
          <w:rStyle w:val="style27"/>
          <w:rFonts w:ascii="Arial" w:hAnsi="Arial"/>
          <w:b w:val="false"/>
          <w:bCs w:val="false"/>
          <w:lang w:val="en-US"/>
        </w:rPr>
        <w:t>:pp. 584-593</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Hellsten ,U., Harland,R.M., Gilchrist,M.J., Hendrix,D., Jurka,J., Kapitonov,V., Ovcharenko,I., Putnam,N.H., Shu,S., Taher,L.et al.  2010. The genome of the western clawed frog xenopus tropicalis.. </w:t>
      </w:r>
      <w:r>
        <w:rPr>
          <w:rStyle w:val="style28"/>
          <w:rFonts w:ascii="Arial" w:hAnsi="Arial"/>
          <w:b w:val="false"/>
          <w:bCs w:val="false"/>
          <w:lang w:val="en-US"/>
        </w:rPr>
        <w:t>Science (New York, N.Y.)</w:t>
      </w:r>
      <w:r>
        <w:rPr>
          <w:rStyle w:val="style27"/>
          <w:rFonts w:ascii="Arial" w:hAnsi="Arial"/>
          <w:b w:val="false"/>
          <w:bCs w:val="false"/>
          <w:lang w:val="en-US"/>
        </w:rPr>
        <w:t xml:space="preserve"> </w:t>
      </w:r>
      <w:r>
        <w:rPr>
          <w:rStyle w:val="style29"/>
          <w:rFonts w:ascii="Arial" w:hAnsi="Arial"/>
          <w:b w:val="false"/>
          <w:bCs w:val="false"/>
          <w:lang w:val="en-US"/>
        </w:rPr>
        <w:t>328</w:t>
      </w:r>
      <w:r>
        <w:rPr>
          <w:rStyle w:val="style27"/>
          <w:rFonts w:ascii="Arial" w:hAnsi="Arial"/>
          <w:b w:val="false"/>
          <w:bCs w:val="false"/>
          <w:lang w:val="en-US"/>
        </w:rPr>
        <w:t>:pp. 633-636</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Hercbergs ,A.H., Ashur-Fabian,O. and GarfieldD.  2010. Thyroid hormones and cancer: clinical studies of hypothyroidism in oncology. </w:t>
      </w:r>
      <w:r>
        <w:rPr>
          <w:rStyle w:val="style28"/>
          <w:rFonts w:ascii="Arial" w:hAnsi="Arial"/>
          <w:b w:val="false"/>
          <w:bCs w:val="false"/>
          <w:lang w:val="en-US"/>
        </w:rPr>
        <w:t>Curr Opin Endocrinol Diabetes Obes</w:t>
      </w:r>
      <w:r>
        <w:rPr>
          <w:rStyle w:val="style27"/>
          <w:rFonts w:ascii="Arial" w:hAnsi="Arial"/>
          <w:b w:val="false"/>
          <w:bCs w:val="false"/>
          <w:lang w:val="en-US"/>
        </w:rPr>
        <w:t xml:space="preserve"> </w:t>
      </w:r>
      <w:r>
        <w:rPr>
          <w:rStyle w:val="style29"/>
          <w:rFonts w:ascii="Arial" w:hAnsi="Arial"/>
          <w:b w:val="false"/>
          <w:bCs w:val="false"/>
          <w:lang w:val="en-US"/>
        </w:rPr>
        <w:t>17</w:t>
      </w:r>
      <w:r>
        <w:rPr>
          <w:rStyle w:val="style27"/>
          <w:rFonts w:ascii="Arial" w:hAnsi="Arial"/>
          <w:b w:val="false"/>
          <w:bCs w:val="false"/>
          <w:lang w:val="en-US"/>
        </w:rPr>
        <w:t>:pp. 432-436</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Holstein ,T.W. and LaudetV.  2014. Life-history evolution: at the origins of metamorphosis.. </w:t>
      </w:r>
      <w:r>
        <w:rPr>
          <w:rStyle w:val="style28"/>
          <w:rFonts w:ascii="Arial" w:hAnsi="Arial"/>
          <w:b w:val="false"/>
          <w:bCs w:val="false"/>
          <w:lang w:val="en-US"/>
        </w:rPr>
        <w:t>Current biology : CB</w:t>
      </w:r>
      <w:r>
        <w:rPr>
          <w:rStyle w:val="style27"/>
          <w:rFonts w:ascii="Arial" w:hAnsi="Arial"/>
          <w:b w:val="false"/>
          <w:bCs w:val="false"/>
          <w:lang w:val="en-US"/>
        </w:rPr>
        <w:t xml:space="preserve"> </w:t>
      </w:r>
      <w:r>
        <w:rPr>
          <w:rStyle w:val="style29"/>
          <w:rFonts w:ascii="Arial" w:hAnsi="Arial"/>
          <w:b w:val="false"/>
          <w:bCs w:val="false"/>
          <w:lang w:val="en-US"/>
        </w:rPr>
        <w:t>24</w:t>
      </w:r>
      <w:r>
        <w:rPr>
          <w:rStyle w:val="style27"/>
          <w:rFonts w:ascii="Arial" w:hAnsi="Arial"/>
          <w:b w:val="false"/>
          <w:bCs w:val="false"/>
          <w:lang w:val="en-US"/>
        </w:rPr>
        <w:t>:p. R159-61</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Karmakar ,S., Jin,Y. and NagaichA.K.  2013. Interaction of glucocorticoid receptor (gr) with estrogen receptor (er) alpha and activator protein 1 (ap1) in dexamethasone-mediated interference of eralpha activity. </w:t>
      </w:r>
      <w:r>
        <w:rPr>
          <w:rStyle w:val="style28"/>
          <w:rFonts w:ascii="Arial" w:hAnsi="Arial"/>
          <w:b w:val="false"/>
          <w:bCs w:val="false"/>
          <w:lang w:val="en-US"/>
        </w:rPr>
        <w:t>J Biol Chem</w:t>
      </w:r>
      <w:r>
        <w:rPr>
          <w:rStyle w:val="style27"/>
          <w:rFonts w:ascii="Arial" w:hAnsi="Arial"/>
          <w:b w:val="false"/>
          <w:bCs w:val="false"/>
          <w:lang w:val="en-US"/>
        </w:rPr>
        <w:t xml:space="preserve"> </w:t>
      </w:r>
      <w:r>
        <w:rPr>
          <w:rStyle w:val="style29"/>
          <w:rFonts w:ascii="Arial" w:hAnsi="Arial"/>
          <w:b w:val="false"/>
          <w:bCs w:val="false"/>
          <w:lang w:val="en-US"/>
        </w:rPr>
        <w:t>288</w:t>
      </w:r>
      <w:r>
        <w:rPr>
          <w:rStyle w:val="style27"/>
          <w:rFonts w:ascii="Arial" w:hAnsi="Arial"/>
          <w:b w:val="false"/>
          <w:bCs w:val="false"/>
          <w:lang w:val="en-US"/>
        </w:rPr>
        <w:t>:pp. 24020-24034</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Kikuyama ,S., Niki,K., Mayumi,M., Shibayama,R., Nishikawa,M. and ShintakeN.  1983. Studies on corticoid action on the toad tadpole tail in vitro.. </w:t>
      </w:r>
      <w:r>
        <w:rPr>
          <w:rStyle w:val="style28"/>
          <w:rFonts w:ascii="Arial" w:hAnsi="Arial"/>
          <w:b w:val="false"/>
          <w:bCs w:val="false"/>
          <w:lang w:val="en-US"/>
        </w:rPr>
        <w:t>General and comparative endocrinology</w:t>
      </w:r>
      <w:r>
        <w:rPr>
          <w:rStyle w:val="style27"/>
          <w:rFonts w:ascii="Arial" w:hAnsi="Arial"/>
          <w:b w:val="false"/>
          <w:bCs w:val="false"/>
          <w:lang w:val="en-US"/>
        </w:rPr>
        <w:t xml:space="preserve"> </w:t>
      </w:r>
      <w:r>
        <w:rPr>
          <w:rStyle w:val="style29"/>
          <w:rFonts w:ascii="Arial" w:hAnsi="Arial"/>
          <w:b w:val="false"/>
          <w:bCs w:val="false"/>
          <w:lang w:val="en-US"/>
        </w:rPr>
        <w:t>52</w:t>
      </w:r>
      <w:r>
        <w:rPr>
          <w:rStyle w:val="style27"/>
          <w:rFonts w:ascii="Arial" w:hAnsi="Arial"/>
          <w:b w:val="false"/>
          <w:bCs w:val="false"/>
          <w:lang w:val="en-US"/>
        </w:rPr>
        <w:t>:pp. 395-399</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Kulkarni ,S.S. and BuchholzD.R.  2012. Beyond synergy: corticosterone and thyroid hormone have numerous interaction effects on gene regulation in xenopus tropicalis tadpoles.. </w:t>
      </w:r>
      <w:r>
        <w:rPr>
          <w:rStyle w:val="style28"/>
          <w:rFonts w:ascii="Arial" w:hAnsi="Arial"/>
          <w:b w:val="false"/>
          <w:bCs w:val="false"/>
          <w:lang w:val="en-US"/>
        </w:rPr>
        <w:t>Endocrinology</w:t>
      </w:r>
      <w:r>
        <w:rPr>
          <w:rStyle w:val="style27"/>
          <w:rFonts w:ascii="Arial" w:hAnsi="Arial"/>
          <w:b w:val="false"/>
          <w:bCs w:val="false"/>
          <w:lang w:val="en-US"/>
        </w:rPr>
        <w:t xml:space="preserve"> </w:t>
      </w:r>
      <w:r>
        <w:rPr>
          <w:rStyle w:val="style29"/>
          <w:rFonts w:ascii="Arial" w:hAnsi="Arial"/>
          <w:b w:val="false"/>
          <w:bCs w:val="false"/>
          <w:lang w:val="en-US"/>
        </w:rPr>
        <w:t>153</w:t>
      </w:r>
      <w:r>
        <w:rPr>
          <w:rStyle w:val="style27"/>
          <w:rFonts w:ascii="Arial" w:hAnsi="Arial"/>
          <w:b w:val="false"/>
          <w:bCs w:val="false"/>
          <w:lang w:val="en-US"/>
        </w:rPr>
        <w:t>:pp. 5309-5324</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Kumar ,L. and E FutschikM.  2007. Mfuzz: a software package for soft clustering of microarray data. </w:t>
      </w:r>
      <w:r>
        <w:rPr>
          <w:rStyle w:val="style28"/>
          <w:rFonts w:ascii="Arial" w:hAnsi="Arial"/>
          <w:b w:val="false"/>
          <w:bCs w:val="false"/>
          <w:lang w:val="en-US"/>
        </w:rPr>
        <w:t>Bioinformation</w:t>
      </w:r>
      <w:r>
        <w:rPr>
          <w:rStyle w:val="style27"/>
          <w:rFonts w:ascii="Arial" w:hAnsi="Arial"/>
          <w:b w:val="false"/>
          <w:bCs w:val="false"/>
          <w:lang w:val="en-US"/>
        </w:rPr>
        <w:t xml:space="preserve"> </w:t>
      </w:r>
      <w:r>
        <w:rPr>
          <w:rStyle w:val="style29"/>
          <w:rFonts w:ascii="Arial" w:hAnsi="Arial"/>
          <w:b w:val="false"/>
          <w:bCs w:val="false"/>
          <w:lang w:val="en-US"/>
        </w:rPr>
        <w:t>2</w:t>
      </w:r>
      <w:r>
        <w:rPr>
          <w:rStyle w:val="style27"/>
          <w:rFonts w:ascii="Arial" w:hAnsi="Arial"/>
          <w:b w:val="false"/>
          <w:bCs w:val="false"/>
          <w:lang w:val="en-US"/>
        </w:rPr>
        <w:t>:pp. 5-7</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Langmead ,B.  2010. Aligning short sequencing reads with bowtie.. </w:t>
      </w:r>
      <w:r>
        <w:rPr>
          <w:rStyle w:val="style28"/>
          <w:rFonts w:ascii="Arial" w:hAnsi="Arial"/>
          <w:b w:val="false"/>
          <w:bCs w:val="false"/>
          <w:lang w:val="en-US"/>
        </w:rPr>
        <w:t>Current protocols in bioinformatics / editoral board, Andreas D. Baxevanis ... [et al.]</w:t>
      </w:r>
      <w:r>
        <w:rPr>
          <w:rStyle w:val="style27"/>
          <w:rFonts w:ascii="Arial" w:hAnsi="Arial"/>
          <w:b w:val="false"/>
          <w:bCs w:val="false"/>
          <w:lang w:val="en-US"/>
        </w:rPr>
        <w:t xml:space="preserve"> </w:t>
      </w:r>
      <w:r>
        <w:rPr>
          <w:rStyle w:val="style29"/>
          <w:rFonts w:ascii="Arial" w:hAnsi="Arial"/>
          <w:b w:val="false"/>
          <w:bCs w:val="false"/>
          <w:lang w:val="en-US"/>
        </w:rPr>
        <w:t>Chapter 11</w:t>
      </w:r>
      <w:r>
        <w:rPr>
          <w:rStyle w:val="style27"/>
          <w:rFonts w:ascii="Arial" w:hAnsi="Arial"/>
          <w:b w:val="false"/>
          <w:bCs w:val="false"/>
          <w:lang w:val="en-US"/>
        </w:rPr>
        <w:t>:p. Unit 11.7</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Mastorci ,F., Vicentini,M., Viltart,O., Manghi,M., Graiani,G., Quaini,F., Meerlo,P., Nalivaiko,E., Maccari,S. and SgoifoA.  2009. Long-term effects of prenatal stress: changes in adult cardiovascular regulation and sensitivity to stress. </w:t>
      </w:r>
      <w:r>
        <w:rPr>
          <w:rStyle w:val="style28"/>
          <w:rFonts w:ascii="Arial" w:hAnsi="Arial"/>
          <w:b w:val="false"/>
          <w:bCs w:val="false"/>
          <w:lang w:val="en-US"/>
        </w:rPr>
        <w:t>Neurosci Biobehav Rev</w:t>
      </w:r>
      <w:r>
        <w:rPr>
          <w:rStyle w:val="style27"/>
          <w:rFonts w:ascii="Arial" w:hAnsi="Arial"/>
          <w:b w:val="false"/>
          <w:bCs w:val="false"/>
          <w:lang w:val="en-US"/>
        </w:rPr>
        <w:t xml:space="preserve"> </w:t>
      </w:r>
      <w:r>
        <w:rPr>
          <w:rStyle w:val="style29"/>
          <w:rFonts w:ascii="Arial" w:hAnsi="Arial"/>
          <w:b w:val="false"/>
          <w:bCs w:val="false"/>
          <w:lang w:val="en-US"/>
        </w:rPr>
        <w:t>33</w:t>
      </w:r>
      <w:r>
        <w:rPr>
          <w:rStyle w:val="style27"/>
          <w:rFonts w:ascii="Arial" w:hAnsi="Arial"/>
          <w:b w:val="false"/>
          <w:bCs w:val="false"/>
          <w:lang w:val="en-US"/>
        </w:rPr>
        <w:t>:pp. 191-203</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Montesinos ,M.M., Pellizas,C.G., Vélez,M.L., Susperreguy,S., Masini-Repiso,A.M. and ColeoniA.H.  2006. Thyroid hormone receptor beta1 gene expression is increased by dexamethasone at transcriptional level in rat liver.. </w:t>
      </w:r>
      <w:r>
        <w:rPr>
          <w:rStyle w:val="style28"/>
          <w:rFonts w:ascii="Arial" w:hAnsi="Arial"/>
          <w:b w:val="false"/>
          <w:bCs w:val="false"/>
          <w:lang w:val="en-US"/>
        </w:rPr>
        <w:t>Life sciences</w:t>
      </w:r>
      <w:r>
        <w:rPr>
          <w:rStyle w:val="style27"/>
          <w:rFonts w:ascii="Arial" w:hAnsi="Arial"/>
          <w:b w:val="false"/>
          <w:bCs w:val="false"/>
          <w:lang w:val="en-US"/>
        </w:rPr>
        <w:t xml:space="preserve"> </w:t>
      </w:r>
      <w:r>
        <w:rPr>
          <w:rStyle w:val="style29"/>
          <w:rFonts w:ascii="Arial" w:hAnsi="Arial"/>
          <w:b w:val="false"/>
          <w:bCs w:val="false"/>
          <w:lang w:val="en-US"/>
        </w:rPr>
        <w:t>78</w:t>
      </w:r>
      <w:r>
        <w:rPr>
          <w:rStyle w:val="style27"/>
          <w:rFonts w:ascii="Arial" w:hAnsi="Arial"/>
          <w:b w:val="false"/>
          <w:bCs w:val="false"/>
          <w:lang w:val="en-US"/>
        </w:rPr>
        <w:t>:pp. 2584-2594</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Munck ,A.U., Náray-Fejes-Tóth,A., Jameson,J.L., Groot,L.J.D., de Kretser,D., Grossman,A., Marshall,J.C., Melmed,S., Potts,J.T. and WeirG.C.. Glucocorticoid action: physiology. In </w:t>
      </w:r>
      <w:r>
        <w:rPr>
          <w:rStyle w:val="style28"/>
          <w:rFonts w:ascii="Arial" w:hAnsi="Arial"/>
          <w:b w:val="false"/>
          <w:bCs w:val="false"/>
          <w:lang w:val="en-US"/>
        </w:rPr>
        <w:t>Endocrinology: adult and pediatric</w:t>
      </w:r>
      <w:r>
        <w:rPr>
          <w:rStyle w:val="style27"/>
          <w:rFonts w:ascii="Arial" w:hAnsi="Arial"/>
          <w:b w:val="false"/>
          <w:bCs w:val="false"/>
          <w:lang w:val="en-US"/>
        </w:rPr>
        <w:t>. . 2010. .</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Nicholls ,J.J., Brassill,M.J., Williams,G.R. and BassettJ.H.D.  2012. The skeletal consequences of thyrotoxicosis. </w:t>
      </w:r>
      <w:r>
        <w:rPr>
          <w:rStyle w:val="style28"/>
          <w:rFonts w:ascii="Arial" w:hAnsi="Arial"/>
          <w:b w:val="false"/>
          <w:bCs w:val="false"/>
          <w:lang w:val="en-US"/>
        </w:rPr>
        <w:t>J Endocrinol</w:t>
      </w:r>
      <w:r>
        <w:rPr>
          <w:rStyle w:val="style27"/>
          <w:rFonts w:ascii="Arial" w:hAnsi="Arial"/>
          <w:b w:val="false"/>
          <w:bCs w:val="false"/>
          <w:lang w:val="en-US"/>
        </w:rPr>
        <w:t xml:space="preserve"> </w:t>
      </w:r>
      <w:r>
        <w:rPr>
          <w:rStyle w:val="style29"/>
          <w:rFonts w:ascii="Arial" w:hAnsi="Arial"/>
          <w:b w:val="false"/>
          <w:bCs w:val="false"/>
          <w:lang w:val="en-US"/>
        </w:rPr>
        <w:t>213</w:t>
      </w:r>
      <w:r>
        <w:rPr>
          <w:rStyle w:val="style27"/>
          <w:rFonts w:ascii="Arial" w:hAnsi="Arial"/>
          <w:b w:val="false"/>
          <w:bCs w:val="false"/>
          <w:lang w:val="en-US"/>
        </w:rPr>
        <w:t>:pp. 209-221</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Patterson ,S.H., Hahn,T.P., Cornelius,J.M. and BreunerC.W.  2014. Natural selection and glucocorticoid physiology.. </w:t>
      </w:r>
      <w:r>
        <w:rPr>
          <w:rStyle w:val="style28"/>
          <w:rFonts w:ascii="Arial" w:hAnsi="Arial"/>
          <w:b w:val="false"/>
          <w:bCs w:val="false"/>
          <w:lang w:val="en-US"/>
        </w:rPr>
        <w:t>Journal of evolutionary biology</w:t>
      </w:r>
      <w:r>
        <w:rPr>
          <w:rStyle w:val="style27"/>
          <w:rFonts w:ascii="Arial" w:hAnsi="Arial"/>
          <w:b w:val="false"/>
          <w:bCs w:val="false"/>
          <w:lang w:val="en-US"/>
        </w:rPr>
        <w:t xml:space="preserve"> </w:t>
      </w:r>
      <w:r>
        <w:rPr>
          <w:rStyle w:val="style29"/>
          <w:rFonts w:ascii="Arial" w:hAnsi="Arial"/>
          <w:b w:val="false"/>
          <w:bCs w:val="false"/>
          <w:lang w:val="en-US"/>
        </w:rPr>
        <w:t>27</w:t>
      </w:r>
      <w:r>
        <w:rPr>
          <w:rStyle w:val="style27"/>
          <w:rFonts w:ascii="Arial" w:hAnsi="Arial"/>
          <w:b w:val="false"/>
          <w:bCs w:val="false"/>
          <w:lang w:val="en-US"/>
        </w:rPr>
        <w:t>:pp. 259-274</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Reimand ,J., Arak,T. and ViloJ.  2011. G:profiler--a web server for functional interpretation of gene lists (2011 update). </w:t>
      </w:r>
      <w:r>
        <w:rPr>
          <w:rStyle w:val="style28"/>
          <w:rFonts w:ascii="Arial" w:hAnsi="Arial"/>
          <w:b w:val="false"/>
          <w:bCs w:val="false"/>
          <w:lang w:val="en-US"/>
        </w:rPr>
        <w:t>Nucleic Acids Res</w:t>
      </w:r>
      <w:r>
        <w:rPr>
          <w:rStyle w:val="style27"/>
          <w:rFonts w:ascii="Arial" w:hAnsi="Arial"/>
          <w:b w:val="false"/>
          <w:bCs w:val="false"/>
          <w:lang w:val="en-US"/>
        </w:rPr>
        <w:t xml:space="preserve"> </w:t>
      </w:r>
      <w:r>
        <w:rPr>
          <w:rStyle w:val="style29"/>
          <w:rFonts w:ascii="Arial" w:hAnsi="Arial"/>
          <w:b w:val="false"/>
          <w:bCs w:val="false"/>
          <w:lang w:val="en-US"/>
        </w:rPr>
        <w:t>39</w:t>
      </w:r>
      <w:r>
        <w:rPr>
          <w:rStyle w:val="style27"/>
          <w:rFonts w:ascii="Arial" w:hAnsi="Arial"/>
          <w:b w:val="false"/>
          <w:bCs w:val="false"/>
          <w:lang w:val="en-US"/>
        </w:rPr>
        <w:t>:p. W307-15</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Rog-Zielinska ,E.A., Thomson,A., Kenyon,C.J., Brownstein,D.G., Moran,C.M., Szumska,D., Michailidou,Z., Richardson,J., Owen,E., Watt,A.et al.  2013. Glucocorticoid receptor is required for foetal heart maturation.. </w:t>
      </w:r>
      <w:r>
        <w:rPr>
          <w:rStyle w:val="style28"/>
          <w:rFonts w:ascii="Arial" w:hAnsi="Arial"/>
          <w:b w:val="false"/>
          <w:bCs w:val="false"/>
          <w:lang w:val="en-US"/>
        </w:rPr>
        <w:t>Human molecular genetics</w:t>
      </w:r>
      <w:r>
        <w:rPr>
          <w:rStyle w:val="style27"/>
          <w:rFonts w:ascii="Arial" w:hAnsi="Arial"/>
          <w:b w:val="false"/>
          <w:bCs w:val="false"/>
          <w:lang w:val="en-US"/>
        </w:rPr>
        <w:t xml:space="preserve"> </w:t>
      </w:r>
      <w:r>
        <w:rPr>
          <w:rStyle w:val="style29"/>
          <w:rFonts w:ascii="Arial" w:hAnsi="Arial"/>
          <w:b w:val="false"/>
          <w:bCs w:val="false"/>
          <w:lang w:val="en-US"/>
        </w:rPr>
        <w:t>22</w:t>
      </w:r>
      <w:r>
        <w:rPr>
          <w:rStyle w:val="style27"/>
          <w:rFonts w:ascii="Arial" w:hAnsi="Arial"/>
          <w:b w:val="false"/>
          <w:bCs w:val="false"/>
          <w:lang w:val="en-US"/>
        </w:rPr>
        <w:t>:pp. 3269-3282</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Sahu ,B., Laakso,M., Pihlajamaa,P., Ovaska,K., Sinielnikov,I., Hautaniemi,S. and JanneO.A. 2013. Foxa1 specifies unique androgen and glucocorticoid receptor binding events in prostate cancer cells. </w:t>
      </w:r>
      <w:r>
        <w:rPr>
          <w:rStyle w:val="style28"/>
          <w:rFonts w:ascii="Arial" w:hAnsi="Arial"/>
          <w:b w:val="false"/>
          <w:bCs w:val="false"/>
          <w:lang w:val="en-US"/>
        </w:rPr>
        <w:t>Cancer Res</w:t>
      </w:r>
      <w:r>
        <w:rPr>
          <w:rStyle w:val="style27"/>
          <w:rFonts w:ascii="Arial" w:hAnsi="Arial"/>
          <w:b w:val="false"/>
          <w:bCs w:val="false"/>
          <w:lang w:val="en-US"/>
        </w:rPr>
        <w:t xml:space="preserve"> </w:t>
      </w:r>
      <w:r>
        <w:rPr>
          <w:rStyle w:val="style29"/>
          <w:rFonts w:ascii="Arial" w:hAnsi="Arial"/>
          <w:b w:val="false"/>
          <w:bCs w:val="false"/>
          <w:lang w:val="en-US"/>
        </w:rPr>
        <w:t>73</w:t>
      </w:r>
      <w:r>
        <w:rPr>
          <w:rStyle w:val="style27"/>
          <w:rFonts w:ascii="Arial" w:hAnsi="Arial"/>
          <w:b w:val="false"/>
          <w:bCs w:val="false"/>
          <w:lang w:val="en-US"/>
        </w:rPr>
        <w:t>:pp. 1570-1580</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Soloviev ,M., Esteves,M.P., Amiri,F., Crompton,M.R. and RiderC.C.  2013. Elevated transcription of the gene qsox1 encoding quiescin q6 sulfhydryl oxidase 1 in breast cancer. </w:t>
      </w:r>
      <w:r>
        <w:rPr>
          <w:rStyle w:val="style28"/>
          <w:rFonts w:ascii="Arial" w:hAnsi="Arial"/>
          <w:b w:val="false"/>
          <w:bCs w:val="false"/>
          <w:lang w:val="en-US"/>
        </w:rPr>
        <w:t>PLoS One</w:t>
      </w:r>
      <w:r>
        <w:rPr>
          <w:rStyle w:val="style27"/>
          <w:rFonts w:ascii="Arial" w:hAnsi="Arial"/>
          <w:b w:val="false"/>
          <w:bCs w:val="false"/>
          <w:lang w:val="en-US"/>
        </w:rPr>
        <w:t xml:space="preserve"> </w:t>
      </w:r>
      <w:r>
        <w:rPr>
          <w:rStyle w:val="style29"/>
          <w:rFonts w:ascii="Arial" w:hAnsi="Arial"/>
          <w:b w:val="false"/>
          <w:bCs w:val="false"/>
          <w:lang w:val="en-US"/>
        </w:rPr>
        <w:t>8</w:t>
      </w:r>
      <w:r>
        <w:rPr>
          <w:rStyle w:val="style27"/>
          <w:rFonts w:ascii="Arial" w:hAnsi="Arial"/>
          <w:b w:val="false"/>
          <w:bCs w:val="false"/>
          <w:lang w:val="en-US"/>
        </w:rPr>
        <w:t>:p. e57327</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lang w:val="en-US"/>
        </w:rPr>
      </w:pPr>
      <w:r>
        <w:rPr>
          <w:rStyle w:val="style27"/>
          <w:rFonts w:ascii="Arial" w:hAnsi="Arial"/>
          <w:b w:val="false"/>
          <w:bCs w:val="false"/>
          <w:lang w:val="en-US"/>
        </w:rPr>
        <w:t xml:space="preserve"> </w:t>
      </w:r>
      <w:r>
        <w:rPr>
          <w:rStyle w:val="style27"/>
          <w:rFonts w:ascii="Arial" w:hAnsi="Arial"/>
          <w:b w:val="false"/>
          <w:bCs w:val="false"/>
          <w:lang w:val="en-US"/>
        </w:rPr>
        <w:t xml:space="preserve">Stark ,C., Breitkreutz,B., Chatr-Aryamontri,A., Boucher,L., Oughtred,R., Livstone,M.S., Nixon,J., Van Auken,K., Wang,X., Shi,X.et al.  2011. The biogrid interaction database: 2011 update. </w:t>
      </w:r>
      <w:r>
        <w:rPr>
          <w:rStyle w:val="style28"/>
          <w:rFonts w:ascii="Arial" w:hAnsi="Arial"/>
          <w:b w:val="false"/>
          <w:bCs w:val="false"/>
          <w:lang w:val="en-US"/>
        </w:rPr>
        <w:t>Nucleic Acids Res</w:t>
      </w:r>
      <w:r>
        <w:rPr>
          <w:rStyle w:val="style27"/>
          <w:rFonts w:ascii="Arial" w:hAnsi="Arial"/>
          <w:b w:val="false"/>
          <w:bCs w:val="false"/>
          <w:lang w:val="en-US"/>
        </w:rPr>
        <w:t xml:space="preserve"> </w:t>
      </w:r>
      <w:r>
        <w:rPr>
          <w:rStyle w:val="style29"/>
          <w:rFonts w:ascii="Arial" w:hAnsi="Arial"/>
          <w:b w:val="false"/>
          <w:bCs w:val="false"/>
          <w:lang w:val="en-US"/>
        </w:rPr>
        <w:t>39</w:t>
      </w:r>
      <w:r>
        <w:rPr>
          <w:rStyle w:val="style27"/>
          <w:rFonts w:ascii="Arial" w:hAnsi="Arial"/>
          <w:b w:val="false"/>
          <w:bCs w:val="false"/>
          <w:lang w:val="en-US"/>
        </w:rPr>
        <w:t>:p. D698-704</w:t>
      </w:r>
    </w:p>
    <w:p>
      <w:pPr>
        <w:pStyle w:val="style114"/>
        <w:spacing w:line="100" w:lineRule="atLeast"/>
        <w:ind w:hanging="413" w:left="425" w:right="0"/>
        <w:rPr/>
      </w:pPr>
      <w:r>
        <w:rPr/>
      </w:r>
    </w:p>
    <w:p>
      <w:pPr>
        <w:pStyle w:val="style114"/>
        <w:spacing w:line="100" w:lineRule="atLeast"/>
        <w:ind w:hanging="413" w:left="425" w:right="0"/>
        <w:rPr>
          <w:rStyle w:val="style27"/>
          <w:rFonts w:ascii="Arial" w:hAnsi="Arial"/>
          <w:b w:val="false"/>
          <w:bCs w:val="false"/>
          <w:i w:val="false"/>
          <w:iCs w:val="false"/>
          <w:sz w:val="28"/>
          <w:szCs w:val="28"/>
          <w:lang w:val="en-US"/>
        </w:rPr>
      </w:pPr>
      <w:r>
        <w:rPr>
          <w:rStyle w:val="style27"/>
          <w:rFonts w:ascii="Arial" w:hAnsi="Arial"/>
          <w:b w:val="false"/>
          <w:bCs w:val="false"/>
          <w:i w:val="false"/>
          <w:iCs w:val="false"/>
          <w:sz w:val="28"/>
          <w:szCs w:val="28"/>
          <w:lang w:val="en-US"/>
        </w:rPr>
        <w:t xml:space="preserve"> </w:t>
      </w:r>
      <w:r>
        <w:rPr>
          <w:rStyle w:val="style27"/>
          <w:rFonts w:ascii="Arial" w:hAnsi="Arial"/>
          <w:b w:val="false"/>
          <w:bCs w:val="false"/>
          <w:i w:val="false"/>
          <w:iCs w:val="false"/>
          <w:sz w:val="28"/>
          <w:szCs w:val="28"/>
          <w:lang w:val="en-US"/>
        </w:rPr>
        <w:t xml:space="preserve">Zimmermann ,M.B.  2009. Iodine deficiency. </w:t>
      </w:r>
      <w:r>
        <w:rPr>
          <w:rStyle w:val="style28"/>
          <w:rFonts w:ascii="Arial" w:hAnsi="Arial"/>
          <w:b w:val="false"/>
          <w:bCs w:val="false"/>
          <w:iCs w:val="false"/>
          <w:sz w:val="28"/>
          <w:szCs w:val="28"/>
          <w:lang w:val="en-US"/>
        </w:rPr>
        <w:t>Endocr Rev</w:t>
      </w:r>
      <w:r>
        <w:rPr>
          <w:rStyle w:val="style27"/>
          <w:rFonts w:ascii="Arial" w:hAnsi="Arial"/>
          <w:b w:val="false"/>
          <w:bCs w:val="false"/>
          <w:i w:val="false"/>
          <w:iCs w:val="false"/>
          <w:sz w:val="28"/>
          <w:szCs w:val="28"/>
          <w:lang w:val="en-US"/>
        </w:rPr>
        <w:t xml:space="preserve"> </w:t>
      </w:r>
      <w:r>
        <w:rPr>
          <w:rStyle w:val="style29"/>
          <w:rFonts w:ascii="Arial" w:hAnsi="Arial"/>
          <w:b w:val="false"/>
          <w:bCs w:val="false"/>
          <w:i w:val="false"/>
          <w:iCs w:val="false"/>
          <w:sz w:val="28"/>
          <w:szCs w:val="28"/>
          <w:lang w:val="en-US"/>
        </w:rPr>
        <w:t>30</w:t>
      </w:r>
      <w:r>
        <w:rPr>
          <w:rStyle w:val="style27"/>
          <w:rFonts w:ascii="Arial" w:hAnsi="Arial"/>
          <w:b w:val="false"/>
          <w:bCs w:val="false"/>
          <w:i w:val="false"/>
          <w:iCs w:val="false"/>
          <w:sz w:val="28"/>
          <w:szCs w:val="28"/>
          <w:lang w:val="en-US"/>
        </w:rPr>
        <w:t>:pp. 376-408</w:t>
      </w:r>
    </w:p>
    <w:p>
      <w:pPr>
        <w:pStyle w:val="style0"/>
        <w:spacing w:line="360" w:lineRule="auto"/>
        <w:rPr>
          <w:rFonts w:ascii="Arial" w:hAnsi="Arial"/>
          <w:b/>
          <w:bCs/>
          <w:sz w:val="28"/>
          <w:szCs w:val="28"/>
          <w:lang w:val="en-US"/>
        </w:rPr>
      </w:pPr>
      <w:r>
        <w:rPr>
          <w:rFonts w:ascii="Arial" w:hAnsi="Arial"/>
          <w:b/>
          <w:bCs/>
          <w:sz w:val="28"/>
          <w:szCs w:val="28"/>
          <w:lang w:val="en-US"/>
        </w:rPr>
      </w:r>
    </w:p>
    <w:p>
      <w:pPr>
        <w:pStyle w:val="style0"/>
        <w:spacing w:line="360" w:lineRule="auto"/>
        <w:rPr>
          <w:rFonts w:ascii="Arial" w:hAnsi="Arial"/>
          <w:b/>
          <w:bCs/>
          <w:sz w:val="28"/>
          <w:szCs w:val="28"/>
          <w:lang w:val="en-US"/>
        </w:rPr>
      </w:pPr>
      <w:r>
        <w:rPr>
          <w:rFonts w:ascii="Arial" w:hAnsi="Arial"/>
          <w:b/>
          <w:bCs/>
          <w:sz w:val="28"/>
          <w:szCs w:val="28"/>
          <w:lang w:val="en-US"/>
        </w:rPr>
        <w:t>Figure legends</w:t>
      </w:r>
    </w:p>
    <w:p>
      <w:pPr>
        <w:pStyle w:val="style0"/>
        <w:spacing w:line="360" w:lineRule="auto"/>
        <w:rPr>
          <w:rFonts w:ascii="Arial" w:hAnsi="Arial"/>
          <w:lang w:val="en-US"/>
        </w:rPr>
      </w:pPr>
      <w:r>
        <w:rPr>
          <w:rFonts w:ascii="Arial" w:hAnsi="Arial"/>
          <w:lang w:val="en-US"/>
        </w:rPr>
      </w:r>
    </w:p>
    <w:p>
      <w:pPr>
        <w:pStyle w:val="style0"/>
        <w:spacing w:line="360" w:lineRule="auto"/>
        <w:rPr>
          <w:rStyle w:val="style22"/>
          <w:rFonts w:ascii="Arial" w:hAnsi="Arial"/>
          <w:i w:val="false"/>
          <w:iCs w:val="false"/>
          <w:lang w:val="en-US"/>
        </w:rPr>
      </w:pPr>
      <w:r>
        <w:rPr>
          <w:rStyle w:val="style20"/>
          <w:rFonts w:ascii="Arial" w:hAnsi="Arial"/>
          <w:lang w:val="en-US"/>
        </w:rPr>
        <w:t xml:space="preserve">Fig </w:t>
      </w:r>
      <w:r>
        <w:rPr>
          <w:rStyle w:val="style20"/>
          <w:rFonts w:ascii="Arial" w:hAnsi="Arial"/>
          <w:lang w:val="en-US"/>
        </w:rPr>
        <w:t>1</w:t>
      </w:r>
      <w:r>
        <w:rPr>
          <w:rFonts w:ascii="Arial" w:hAnsi="Arial"/>
          <w:lang w:val="en-US"/>
        </w:rPr>
        <w:t>:</w:t>
      </w:r>
      <w:r>
        <w:rPr>
          <w:rStyle w:val="style21"/>
          <w:rFonts w:ascii="Arial" w:hAnsi="Arial"/>
          <w:lang w:val="en-US"/>
        </w:rPr>
        <w:t xml:space="preserve"> </w:t>
      </w:r>
      <w:r>
        <w:rPr>
          <w:rStyle w:val="style21"/>
          <w:rFonts w:ascii="Arial" w:hAnsi="Arial"/>
          <w:lang w:val="en-US"/>
        </w:rPr>
        <w:t>TH and GC affect hindlimb transcriptome</w:t>
      </w:r>
      <w:r>
        <w:rPr>
          <w:rStyle w:val="style21"/>
          <w:rFonts w:ascii="Arial" w:hAnsi="Arial"/>
          <w:lang w:val="en-US"/>
        </w:rPr>
        <w:t>.</w:t>
      </w:r>
      <w:r>
        <w:rPr>
          <w:rStyle w:val="style22"/>
          <w:rFonts w:ascii="Arial" w:hAnsi="Arial"/>
          <w:lang w:val="en-US"/>
        </w:rPr>
        <w:t xml:space="preserve"> </w:t>
      </w:r>
      <w:r>
        <w:rPr>
          <w:rStyle w:val="style22"/>
          <w:rFonts w:ascii="Arial" w:hAnsi="Arial"/>
          <w:lang w:val="en-US"/>
        </w:rPr>
        <w:t>Relationship between the mean expression level and the difference of expression measured by RNA-Seq (MA plot)</w:t>
      </w:r>
      <w:r>
        <w:rPr>
          <w:rStyle w:val="style22"/>
          <w:rFonts w:ascii="Arial" w:hAnsi="Arial"/>
          <w:i w:val="false"/>
          <w:iCs w:val="false"/>
          <w:lang w:val="en-US"/>
        </w:rPr>
        <w:t>.</w:t>
      </w:r>
      <w:r>
        <w:rPr>
          <w:rStyle w:val="style22"/>
          <w:rFonts w:ascii="Arial" w:hAnsi="Arial"/>
          <w:i w:val="false"/>
          <w:iCs w:val="false"/>
          <w:lang w:val="en-US"/>
        </w:rPr>
        <w:t xml:space="preserve"> </w:t>
      </w:r>
      <w:r>
        <w:rPr>
          <w:rStyle w:val="style22"/>
          <w:rFonts w:ascii="Arial" w:hAnsi="Arial"/>
          <w:i w:val="false"/>
          <w:iCs w:val="false"/>
          <w:lang w:val="en-US"/>
        </w:rPr>
        <w:t>G</w:t>
      </w:r>
      <w:r>
        <w:rPr>
          <w:rStyle w:val="style22"/>
          <w:rFonts w:ascii="Arial" w:hAnsi="Arial"/>
          <w:i w:val="false"/>
          <w:iCs w:val="false"/>
          <w:lang w:val="en-US"/>
        </w:rPr>
        <w:t xml:space="preserve">enes reported as differentially expressed by DESeq (FDR=0.05) </w:t>
      </w:r>
      <w:r>
        <w:rPr>
          <w:rStyle w:val="style22"/>
          <w:rFonts w:ascii="Arial" w:hAnsi="Arial"/>
          <w:i w:val="false"/>
          <w:iCs w:val="false"/>
          <w:lang w:val="en-US"/>
        </w:rPr>
        <w:t>relative to the control</w:t>
      </w:r>
      <w:r>
        <w:rPr>
          <w:rStyle w:val="style22"/>
          <w:rFonts w:ascii="Arial" w:hAnsi="Arial"/>
          <w:i w:val="false"/>
          <w:iCs w:val="false"/>
          <w:lang w:val="en-US"/>
        </w:rPr>
        <w:t xml:space="preserve"> are colored in blue.</w:t>
      </w:r>
    </w:p>
    <w:p>
      <w:pPr>
        <w:pStyle w:val="style0"/>
        <w:spacing w:line="276" w:lineRule="auto"/>
        <w:rPr>
          <w:rFonts w:ascii="Droid Serif" w:hAnsi="Droid Serif"/>
          <w:lang w:val="en-US"/>
        </w:rPr>
      </w:pPr>
      <w:r>
        <w:rPr>
          <w:rFonts w:ascii="Droid Serif" w:hAnsi="Droid Serif"/>
          <w:lang w:val="en-US"/>
        </w:rPr>
      </w:r>
    </w:p>
    <w:p>
      <w:pPr>
        <w:pStyle w:val="style0"/>
        <w:spacing w:line="276" w:lineRule="auto"/>
        <w:rPr>
          <w:rStyle w:val="style22"/>
          <w:rFonts w:ascii="Arial" w:cs="Droid Serif" w:eastAsia="Droid Serif" w:hAnsi="Arial"/>
          <w:lang w:val="en-US"/>
        </w:rPr>
      </w:pPr>
      <w:r>
        <w:rPr>
          <w:rStyle w:val="style20"/>
          <w:rFonts w:ascii="Arial" w:cs="Droid Serif" w:eastAsia="Droid Serif" w:hAnsi="Arial"/>
          <w:lang w:val="en-US"/>
        </w:rPr>
        <w:t xml:space="preserve">Fig </w:t>
      </w:r>
      <w:r>
        <w:rPr>
          <w:rStyle w:val="style20"/>
          <w:rFonts w:ascii="Arial" w:cs="Droid Serif" w:eastAsia="Droid Serif" w:hAnsi="Arial"/>
          <w:lang w:val="en-US"/>
        </w:rPr>
        <w:t>2</w:t>
      </w:r>
      <w:r>
        <w:rPr>
          <w:rStyle w:val="style20"/>
          <w:rFonts w:ascii="Arial" w:cs="Droid Serif" w:eastAsia="Droid Serif" w:hAnsi="Arial"/>
          <w:lang w:val="en-US"/>
        </w:rPr>
        <w:t xml:space="preserve">: </w:t>
      </w:r>
      <w:r>
        <w:rPr>
          <w:rStyle w:val="style21"/>
          <w:rFonts w:ascii="Arial" w:cs="Droid Serif" w:eastAsia="Droid Serif" w:hAnsi="Arial"/>
          <w:lang w:val="en-US"/>
        </w:rPr>
        <w:t>I</w:t>
      </w:r>
      <w:r>
        <w:rPr>
          <w:rStyle w:val="style21"/>
          <w:rFonts w:ascii="Arial" w:cs="Droid Serif" w:eastAsia="Droid Serif" w:hAnsi="Arial"/>
          <w:lang w:val="en-US"/>
        </w:rPr>
        <w:t xml:space="preserve">nteractions between TH and GC </w:t>
      </w:r>
      <w:r>
        <w:rPr>
          <w:rStyle w:val="style21"/>
          <w:rFonts w:ascii="Arial" w:cs="Droid Serif" w:eastAsia="Droid Serif" w:hAnsi="Arial"/>
          <w:lang w:val="en-US"/>
        </w:rPr>
        <w:t>signaling results in a limited number expression profiles</w:t>
      </w:r>
      <w:r>
        <w:rPr>
          <w:rStyle w:val="style22"/>
          <w:rFonts w:ascii="Arial" w:cs="Droid Serif" w:eastAsia="Droid Serif" w:hAnsi="Arial"/>
          <w:lang w:val="en-US"/>
        </w:rPr>
        <w:t xml:space="preserve">. </w:t>
      </w:r>
      <w:r>
        <w:rPr>
          <w:rStyle w:val="style22"/>
          <w:rFonts w:ascii="Arial" w:cs="Droid Serif" w:eastAsia="Droid Serif" w:hAnsi="Arial"/>
          <w:lang w:val="en-US"/>
        </w:rPr>
        <w:t>Expression profiles are categorized in 11 clusters. Within each cluster, expression values are summarized by a box plot.</w:t>
      </w:r>
      <w:r>
        <w:rPr>
          <w:rStyle w:val="style22"/>
          <w:rFonts w:ascii="Arial" w:cs="Droid Serif" w:eastAsia="Droid Serif" w:hAnsi="Arial"/>
          <w:lang w:val="en-US"/>
        </w:rPr>
        <w:t xml:space="preserve"> </w:t>
      </w:r>
      <w:r>
        <w:rPr>
          <w:rStyle w:val="style22"/>
          <w:rFonts w:ascii="Arial" w:cs="Droid Serif" w:eastAsia="Droid Serif" w:hAnsi="Arial"/>
          <w:lang w:val="en-US"/>
        </w:rPr>
        <w:t>Upper and lower "hinges" correspond to the first and third quartiles. The upper and lower whiskers extend from the hinge to respectively the highest or lowest value that is within 1.5 times the inter-quartile range of the hinge. Data beyond the end of the whiskers are outliers and plotted as points</w:t>
      </w:r>
      <w:r>
        <w:rPr>
          <w:rStyle w:val="style22"/>
          <w:rFonts w:ascii="Arial" w:cs="Droid Serif" w:eastAsia="Droid Serif" w:hAnsi="Arial"/>
          <w:lang w:val="en-US"/>
        </w:rPr>
        <w:t xml:space="preserve">. A) “Antagonistic” </w:t>
      </w:r>
      <w:r>
        <w:rPr>
          <w:rStyle w:val="style22"/>
          <w:rFonts w:ascii="Arial" w:cs="Droid Serif" w:eastAsia="Droid Serif" w:hAnsi="Arial"/>
          <w:lang w:val="en-US"/>
        </w:rPr>
        <w:t>profiles</w:t>
      </w:r>
      <w:r>
        <w:rPr>
          <w:rStyle w:val="style22"/>
          <w:rFonts w:ascii="Arial" w:cs="Droid Serif" w:eastAsia="Droid Serif" w:hAnsi="Arial"/>
          <w:lang w:val="en-US"/>
        </w:rPr>
        <w:t xml:space="preserve">: GC decrease either TH induced </w:t>
      </w:r>
      <w:r>
        <w:rPr>
          <w:rStyle w:val="style22"/>
          <w:rFonts w:ascii="Arial" w:cs="Droid Serif" w:eastAsia="Droid Serif" w:hAnsi="Arial"/>
          <w:lang w:val="en-US"/>
        </w:rPr>
        <w:t>repression</w:t>
      </w:r>
      <w:r>
        <w:rPr>
          <w:rStyle w:val="style22"/>
          <w:rFonts w:ascii="Arial" w:cs="Droid Serif" w:eastAsia="Droid Serif" w:hAnsi="Arial"/>
          <w:lang w:val="en-US"/>
        </w:rPr>
        <w:t xml:space="preserve"> (clusters 1-</w:t>
      </w:r>
      <w:r>
        <w:rPr>
          <w:rStyle w:val="style22"/>
          <w:rFonts w:ascii="Arial" w:cs="Droid Serif" w:eastAsia="Droid Serif" w:hAnsi="Arial"/>
          <w:lang w:val="en-US"/>
        </w:rPr>
        <w:t>3</w:t>
      </w:r>
      <w:r>
        <w:rPr>
          <w:rStyle w:val="style22"/>
          <w:rFonts w:ascii="Arial" w:cs="Droid Serif" w:eastAsia="Droid Serif" w:hAnsi="Arial"/>
          <w:lang w:val="en-US"/>
        </w:rPr>
        <w:t xml:space="preserve">) or </w:t>
      </w:r>
      <w:r>
        <w:rPr>
          <w:rStyle w:val="style22"/>
          <w:rFonts w:ascii="Arial" w:cs="Droid Serif" w:eastAsia="Droid Serif" w:hAnsi="Arial"/>
          <w:lang w:val="en-US"/>
        </w:rPr>
        <w:t>induction</w:t>
      </w:r>
      <w:r>
        <w:rPr>
          <w:rStyle w:val="style22"/>
          <w:rFonts w:ascii="Arial" w:cs="Droid Serif" w:eastAsia="Droid Serif" w:hAnsi="Arial"/>
          <w:lang w:val="en-US"/>
        </w:rPr>
        <w:t xml:space="preserve"> (clusters </w:t>
      </w:r>
      <w:r>
        <w:rPr>
          <w:rStyle w:val="style22"/>
          <w:rFonts w:ascii="Arial" w:cs="Droid Serif" w:eastAsia="Droid Serif" w:hAnsi="Arial"/>
          <w:lang w:val="en-US"/>
        </w:rPr>
        <w:t>4 and 5</w:t>
      </w:r>
      <w:r>
        <w:rPr>
          <w:rStyle w:val="style22"/>
          <w:rFonts w:ascii="Arial" w:cs="Droid Serif" w:eastAsia="Droid Serif" w:hAnsi="Arial"/>
          <w:lang w:val="en-US"/>
        </w:rPr>
        <w:t xml:space="preserve">). </w:t>
      </w:r>
      <w:r>
        <w:rPr>
          <w:rStyle w:val="style22"/>
          <w:rFonts w:ascii="Arial" w:cs="Droid Serif" w:eastAsia="Droid Serif" w:hAnsi="Arial"/>
          <w:lang w:val="en-US"/>
        </w:rPr>
        <w:t>B)</w:t>
      </w:r>
      <w:r>
        <w:rPr>
          <w:rStyle w:val="style22"/>
          <w:rFonts w:ascii="Arial" w:cs="Droid Serif" w:eastAsia="Droid Serif" w:hAnsi="Arial"/>
          <w:lang w:val="en-US"/>
        </w:rPr>
        <w:t xml:space="preserve"> </w:t>
      </w:r>
      <w:r>
        <w:rPr>
          <w:rStyle w:val="style22"/>
          <w:rFonts w:ascii="Arial" w:cs="Droid Serif" w:eastAsia="Droid Serif" w:hAnsi="Arial"/>
          <w:lang w:val="en-US"/>
        </w:rPr>
        <w:t>Cluster 6 contains genes for which the GC induced up-regulation is decreased by TH</w:t>
      </w:r>
      <w:r>
        <w:rPr>
          <w:rStyle w:val="style22"/>
          <w:rFonts w:ascii="Arial" w:cs="Droid Serif" w:eastAsia="Droid Serif" w:hAnsi="Arial"/>
          <w:lang w:val="en-US"/>
        </w:rPr>
        <w:t xml:space="preserve">. </w:t>
      </w:r>
      <w:r>
        <w:rPr>
          <w:rStyle w:val="style22"/>
          <w:rFonts w:ascii="Arial" w:cs="Droid Serif" w:eastAsia="Droid Serif" w:hAnsi="Arial"/>
          <w:lang w:val="en-US"/>
        </w:rPr>
        <w:t>C</w:t>
      </w:r>
      <w:r>
        <w:rPr>
          <w:rStyle w:val="style22"/>
          <w:rFonts w:ascii="Arial" w:cs="Droid Serif" w:eastAsia="Droid Serif" w:hAnsi="Arial"/>
          <w:lang w:val="en-US"/>
        </w:rPr>
        <w:t xml:space="preserve">) “Potentiating” </w:t>
      </w:r>
      <w:r>
        <w:rPr>
          <w:rStyle w:val="style22"/>
          <w:rFonts w:ascii="Arial" w:cs="Droid Serif" w:eastAsia="Droid Serif" w:hAnsi="Arial"/>
          <w:lang w:val="en-US"/>
        </w:rPr>
        <w:t>clusters</w:t>
      </w:r>
      <w:r>
        <w:rPr>
          <w:rStyle w:val="style22"/>
          <w:rFonts w:ascii="Arial" w:cs="Droid Serif" w:eastAsia="Droid Serif" w:hAnsi="Arial"/>
          <w:lang w:val="en-US"/>
        </w:rPr>
        <w:t xml:space="preserve">: GC </w:t>
      </w:r>
      <w:r>
        <w:rPr>
          <w:rStyle w:val="style22"/>
          <w:rFonts w:ascii="Arial" w:cs="Droid Serif" w:eastAsia="Droid Serif" w:hAnsi="Arial"/>
          <w:lang w:val="en-US"/>
        </w:rPr>
        <w:t>enhances</w:t>
      </w:r>
      <w:r>
        <w:rPr>
          <w:rStyle w:val="style22"/>
          <w:rFonts w:ascii="Arial" w:cs="Droid Serif" w:eastAsia="Droid Serif" w:hAnsi="Arial"/>
          <w:lang w:val="en-US"/>
        </w:rPr>
        <w:t xml:space="preserve"> either TH </w:t>
      </w:r>
      <w:r>
        <w:rPr>
          <w:rStyle w:val="style22"/>
          <w:rFonts w:ascii="Arial" w:cs="Droid Serif" w:eastAsia="Droid Serif" w:hAnsi="Arial"/>
          <w:lang w:val="en-US"/>
        </w:rPr>
        <w:t>driven</w:t>
      </w:r>
      <w:r>
        <w:rPr>
          <w:rStyle w:val="style22"/>
          <w:rFonts w:ascii="Arial" w:cs="Droid Serif" w:eastAsia="Droid Serif" w:hAnsi="Arial"/>
          <w:lang w:val="en-US"/>
        </w:rPr>
        <w:t xml:space="preserve"> </w:t>
      </w:r>
      <w:r>
        <w:rPr>
          <w:rStyle w:val="style22"/>
          <w:rFonts w:ascii="Arial" w:cs="Droid Serif" w:eastAsia="Droid Serif" w:hAnsi="Arial"/>
          <w:lang w:val="en-US"/>
        </w:rPr>
        <w:t>induction</w:t>
      </w:r>
      <w:r>
        <w:rPr>
          <w:rStyle w:val="style22"/>
          <w:rFonts w:ascii="Arial" w:cs="Droid Serif" w:eastAsia="Droid Serif" w:hAnsi="Arial"/>
          <w:lang w:val="en-US"/>
        </w:rPr>
        <w:t xml:space="preserve"> (clusters </w:t>
      </w:r>
      <w:r>
        <w:rPr>
          <w:rStyle w:val="style22"/>
          <w:rFonts w:ascii="Arial" w:cs="Droid Serif" w:eastAsia="Droid Serif" w:hAnsi="Arial"/>
          <w:lang w:val="en-US"/>
        </w:rPr>
        <w:t>7</w:t>
      </w:r>
      <w:r>
        <w:rPr>
          <w:rStyle w:val="style22"/>
          <w:rFonts w:ascii="Arial" w:cs="Droid Serif" w:eastAsia="Droid Serif" w:hAnsi="Arial"/>
          <w:lang w:val="en-US"/>
        </w:rPr>
        <w:t xml:space="preserve"> </w:t>
      </w:r>
      <w:r>
        <w:rPr>
          <w:rStyle w:val="style22"/>
          <w:rFonts w:ascii="Arial" w:cs="Droid Serif" w:eastAsia="Droid Serif" w:hAnsi="Arial"/>
          <w:lang w:val="en-US"/>
        </w:rPr>
        <w:t>and 8</w:t>
      </w:r>
      <w:r>
        <w:rPr>
          <w:rStyle w:val="style22"/>
          <w:rFonts w:ascii="Arial" w:cs="Droid Serif" w:eastAsia="Droid Serif" w:hAnsi="Arial"/>
          <w:lang w:val="en-US"/>
        </w:rPr>
        <w:t xml:space="preserve">) or </w:t>
      </w:r>
      <w:r>
        <w:rPr>
          <w:rStyle w:val="style22"/>
          <w:rFonts w:ascii="Arial" w:cs="Droid Serif" w:eastAsia="Droid Serif" w:hAnsi="Arial"/>
          <w:lang w:val="en-US"/>
        </w:rPr>
        <w:t>repression</w:t>
      </w:r>
      <w:r>
        <w:rPr>
          <w:rStyle w:val="style22"/>
          <w:rFonts w:ascii="Arial" w:cs="Droid Serif" w:eastAsia="Droid Serif" w:hAnsi="Arial"/>
          <w:lang w:val="en-US"/>
        </w:rPr>
        <w:t xml:space="preserve"> (cluster </w:t>
      </w:r>
      <w:r>
        <w:rPr>
          <w:rStyle w:val="style22"/>
          <w:rFonts w:ascii="Arial" w:cs="Droid Serif" w:eastAsia="Droid Serif" w:hAnsi="Arial"/>
          <w:lang w:val="en-US"/>
        </w:rPr>
        <w:t>9 and 10</w:t>
      </w:r>
      <w:r>
        <w:rPr>
          <w:rStyle w:val="style22"/>
          <w:rFonts w:ascii="Arial" w:cs="Droid Serif" w:eastAsia="Droid Serif" w:hAnsi="Arial"/>
          <w:lang w:val="en-US"/>
        </w:rPr>
        <w:t xml:space="preserve">). </w:t>
      </w:r>
      <w:r>
        <w:rPr>
          <w:rStyle w:val="style22"/>
          <w:rFonts w:ascii="Arial" w:cs="Droid Serif" w:eastAsia="Droid Serif" w:hAnsi="Arial"/>
          <w:lang w:val="en-US"/>
        </w:rPr>
        <w:t xml:space="preserve">D) Cluster 11 contains genes for which the GC induced up-regulation is increased by TH. For each gene, the expression level was adjusted to a variance of 1, and normalized by the mean expression level accross all four conditions. </w:t>
      </w:r>
      <w:r>
        <w:rPr>
          <w:rStyle w:val="style22"/>
          <w:rFonts w:ascii="Arial" w:cs="Droid Serif" w:eastAsia="Droid Serif" w:hAnsi="Arial"/>
          <w:lang w:val="en-US"/>
        </w:rPr>
        <w:t>Ø=control; T=T3; C=corticosterone; T+C=T3+corticosterone.</w:t>
      </w:r>
    </w:p>
    <w:p>
      <w:pPr>
        <w:pStyle w:val="style0"/>
        <w:spacing w:line="276" w:lineRule="auto"/>
        <w:rPr>
          <w:rFonts w:ascii="Droid Serif" w:hAnsi="Droid Serif"/>
          <w:lang w:val="en-US"/>
        </w:rPr>
      </w:pPr>
      <w:r>
        <w:rPr>
          <w:rFonts w:ascii="Droid Serif" w:hAnsi="Droid Serif"/>
          <w:lang w:val="en-US"/>
        </w:rPr>
      </w:r>
    </w:p>
    <w:p>
      <w:pPr>
        <w:pStyle w:val="style0"/>
        <w:spacing w:line="276" w:lineRule="auto"/>
        <w:rPr>
          <w:rStyle w:val="style22"/>
          <w:rFonts w:ascii="Arial" w:cs="Droid Serif" w:eastAsia="Droid Serif" w:hAnsi="Arial"/>
          <w:lang w:val="en-US"/>
        </w:rPr>
      </w:pPr>
      <w:r>
        <w:rPr>
          <w:rStyle w:val="style20"/>
          <w:rFonts w:ascii="Arial" w:cs="Droid Serif" w:eastAsia="Droid Serif" w:hAnsi="Arial"/>
          <w:lang w:val="en-US"/>
        </w:rPr>
        <w:t xml:space="preserve">Fig </w:t>
      </w:r>
      <w:r>
        <w:rPr>
          <w:rStyle w:val="style20"/>
          <w:rFonts w:ascii="Arial" w:cs="Droid Serif" w:eastAsia="Droid Serif" w:hAnsi="Arial"/>
          <w:lang w:val="en-US"/>
        </w:rPr>
        <w:t>3</w:t>
      </w:r>
      <w:r>
        <w:rPr>
          <w:rStyle w:val="style20"/>
          <w:rFonts w:ascii="Arial" w:cs="Droid Serif" w:eastAsia="Droid Serif" w:hAnsi="Arial"/>
          <w:lang w:val="en-US"/>
        </w:rPr>
        <w:t xml:space="preserve">: </w:t>
      </w:r>
      <w:r>
        <w:rPr>
          <w:rStyle w:val="style21"/>
          <w:rFonts w:ascii="Arial" w:cs="Droid Serif" w:eastAsia="Droid Serif" w:hAnsi="Arial"/>
          <w:lang w:val="en-US"/>
        </w:rPr>
        <w:t>Genes co</w:t>
      </w:r>
      <w:r>
        <w:rPr>
          <w:rStyle w:val="style21"/>
          <w:rFonts w:ascii="Arial" w:cs="Droid Serif" w:eastAsia="Droid Serif" w:hAnsi="Arial"/>
          <w:lang w:val="en-US"/>
        </w:rPr>
        <w:t>-</w:t>
      </w:r>
      <w:r>
        <w:rPr>
          <w:rStyle w:val="style21"/>
          <w:rFonts w:ascii="Arial" w:cs="Droid Serif" w:eastAsia="Droid Serif" w:hAnsi="Arial"/>
          <w:lang w:val="en-US"/>
        </w:rPr>
        <w:t xml:space="preserve">regulated by TH and GC are functionally enriched </w:t>
      </w:r>
      <w:r>
        <w:rPr>
          <w:rStyle w:val="style21"/>
          <w:rFonts w:ascii="Arial" w:cs="Droid Serif" w:eastAsia="Droid Serif" w:hAnsi="Arial"/>
          <w:lang w:val="en-US"/>
        </w:rPr>
        <w:t>in</w:t>
      </w:r>
      <w:r>
        <w:rPr>
          <w:rStyle w:val="style21"/>
          <w:rFonts w:ascii="Arial" w:cs="Droid Serif" w:eastAsia="Droid Serif" w:hAnsi="Arial"/>
          <w:lang w:val="en-US"/>
        </w:rPr>
        <w:t xml:space="preserve"> </w:t>
      </w:r>
      <w:r>
        <w:rPr>
          <w:rStyle w:val="style21"/>
          <w:rFonts w:ascii="Arial" w:cs="Droid Serif" w:eastAsia="Droid Serif" w:hAnsi="Arial"/>
          <w:lang w:val="en-US"/>
        </w:rPr>
        <w:t xml:space="preserve">terms </w:t>
      </w:r>
      <w:r>
        <w:rPr>
          <w:rStyle w:val="style21"/>
          <w:rFonts w:ascii="Arial" w:cs="Droid Serif" w:eastAsia="Droid Serif" w:hAnsi="Arial"/>
          <w:lang w:val="en-US"/>
        </w:rPr>
        <w:t xml:space="preserve">related to </w:t>
      </w:r>
      <w:r>
        <w:rPr>
          <w:rStyle w:val="style21"/>
          <w:rFonts w:ascii="Arial" w:cs="Droid Serif" w:eastAsia="Droid Serif" w:hAnsi="Arial"/>
          <w:lang w:val="en-US"/>
        </w:rPr>
        <w:t>skelet</w:t>
      </w:r>
      <w:r>
        <w:rPr>
          <w:rStyle w:val="style21"/>
          <w:rFonts w:ascii="Arial" w:cs="Droid Serif" w:eastAsia="Droid Serif" w:hAnsi="Arial"/>
          <w:lang w:val="en-US"/>
        </w:rPr>
        <w:t>al structures</w:t>
      </w:r>
      <w:r>
        <w:rPr>
          <w:rStyle w:val="style21"/>
          <w:rFonts w:ascii="Arial" w:cs="Droid Serif" w:eastAsia="Droid Serif" w:hAnsi="Arial"/>
          <w:lang w:val="en-US"/>
        </w:rPr>
        <w:t>.</w:t>
      </w:r>
      <w:r>
        <w:rPr>
          <w:rStyle w:val="style22"/>
          <w:rFonts w:ascii="Arial" w:cs="Droid Serif" w:eastAsia="Droid Serif" w:hAnsi="Arial"/>
          <w:lang w:val="en-US"/>
        </w:rPr>
        <w:t xml:space="preserve"> </w:t>
      </w:r>
      <w:r>
        <w:rPr>
          <w:rStyle w:val="style22"/>
          <w:rFonts w:ascii="Arial" w:cs="Droid Serif" w:eastAsia="Droid Serif" w:hAnsi="Arial"/>
          <w:lang w:val="en-US"/>
        </w:rPr>
        <w:t xml:space="preserve">A) </w:t>
      </w:r>
      <w:r>
        <w:rPr>
          <w:rStyle w:val="style22"/>
          <w:rFonts w:ascii="Arial" w:cs="Droid Serif" w:eastAsia="Droid Serif" w:hAnsi="Arial"/>
          <w:lang w:val="en-US"/>
        </w:rPr>
        <w:t>Biological terms or pathologies associated to “antagonistic” or “potentiated” genes</w:t>
      </w:r>
      <w:r>
        <w:rPr>
          <w:rStyle w:val="style22"/>
          <w:rFonts w:ascii="Arial" w:cs="Droid Serif" w:eastAsia="Droid Serif" w:hAnsi="Arial"/>
          <w:lang w:val="en-US"/>
        </w:rPr>
        <w:t xml:space="preserve">. Light blue terms are associated to the skeleton structure. B) Interaction map </w:t>
      </w:r>
      <w:r>
        <w:rPr>
          <w:rStyle w:val="style22"/>
          <w:rFonts w:ascii="Arial" w:cs="Droid Serif" w:eastAsia="Droid Serif" w:hAnsi="Arial"/>
          <w:lang w:val="en-US"/>
        </w:rPr>
        <w:t>between the genes linked to skeletal components (corresponding to light blue terms in A) and human pathologies</w:t>
      </w:r>
      <w:r>
        <w:rPr>
          <w:rStyle w:val="style22"/>
          <w:rFonts w:ascii="Arial" w:cs="Droid Serif" w:eastAsia="Droid Serif" w:hAnsi="Arial"/>
          <w:lang w:val="en-US"/>
        </w:rPr>
        <w:t>. Magenta</w:t>
      </w:r>
      <w:r>
        <w:rPr>
          <w:rStyle w:val="style22"/>
          <w:rFonts w:ascii="Arial" w:cs="Droid Serif" w:eastAsia="Droid Serif" w:hAnsi="Arial"/>
          <w:lang w:val="en-US"/>
        </w:rPr>
        <w:t xml:space="preserve"> e</w:t>
      </w:r>
      <w:r>
        <w:rPr>
          <w:rStyle w:val="style22"/>
          <w:rFonts w:ascii="Arial" w:cs="Droid Serif" w:eastAsia="Droid Serif" w:hAnsi="Arial"/>
          <w:lang w:val="en-US"/>
        </w:rPr>
        <w:t xml:space="preserve">dges between genes correspond to interactions </w:t>
      </w:r>
      <w:r>
        <w:rPr>
          <w:rStyle w:val="style22"/>
          <w:rFonts w:ascii="Arial" w:cs="Droid Serif" w:eastAsia="Droid Serif" w:hAnsi="Arial"/>
          <w:lang w:val="en-US"/>
        </w:rPr>
        <w:t>described in</w:t>
      </w:r>
      <w:r>
        <w:rPr>
          <w:rStyle w:val="style22"/>
          <w:rFonts w:ascii="Arial" w:cs="Droid Serif" w:eastAsia="Droid Serif" w:hAnsi="Arial"/>
          <w:lang w:val="en-US"/>
        </w:rPr>
        <w:t xml:space="preserve"> </w:t>
      </w:r>
      <w:r>
        <w:rPr>
          <w:rStyle w:val="style22"/>
          <w:rFonts w:ascii="Arial" w:cs="Droid Serif" w:eastAsia="Droid Serif" w:hAnsi="Arial"/>
          <w:lang w:val="en-US"/>
        </w:rPr>
        <w:t>the</w:t>
      </w:r>
      <w:r>
        <w:rPr>
          <w:rStyle w:val="style22"/>
          <w:rFonts w:ascii="Arial" w:cs="Droid Serif" w:eastAsia="Droid Serif" w:hAnsi="Arial"/>
          <w:lang w:val="en-US"/>
        </w:rPr>
        <w:t xml:space="preserve"> BioGrid </w:t>
      </w:r>
      <w:r>
        <w:rPr>
          <w:rStyle w:val="style22"/>
          <w:rFonts w:ascii="Arial" w:cs="Droid Serif" w:eastAsia="Droid Serif" w:hAnsi="Arial"/>
          <w:lang w:val="en-US"/>
        </w:rPr>
        <w:t>database</w:t>
      </w:r>
      <w:r>
        <w:rPr>
          <w:rStyle w:val="style22"/>
          <w:rFonts w:ascii="Arial" w:cs="Droid Serif" w:eastAsia="Droid Serif" w:hAnsi="Arial"/>
          <w:lang w:val="en-US"/>
        </w:rPr>
        <w:t>.</w:t>
      </w:r>
    </w:p>
    <w:p>
      <w:pPr>
        <w:pStyle w:val="style0"/>
        <w:spacing w:line="276" w:lineRule="auto"/>
        <w:rPr>
          <w:rFonts w:ascii="Droid Serif" w:hAnsi="Droid Serif"/>
          <w:lang w:val="en-US"/>
        </w:rPr>
      </w:pPr>
      <w:r>
        <w:rPr>
          <w:rFonts w:ascii="Droid Serif" w:hAnsi="Droid Serif"/>
          <w:lang w:val="en-US"/>
        </w:rPr>
      </w:r>
    </w:p>
    <w:p>
      <w:pPr>
        <w:pStyle w:val="style0"/>
        <w:spacing w:line="360" w:lineRule="auto"/>
        <w:rPr>
          <w:rStyle w:val="style22"/>
          <w:rFonts w:ascii="Arial" w:hAnsi="Arial"/>
          <w:lang w:val="en-US"/>
        </w:rPr>
      </w:pPr>
      <w:r>
        <w:rPr>
          <w:rStyle w:val="style21"/>
          <w:rFonts w:ascii="Arial" w:hAnsi="Arial"/>
          <w:b w:val="false"/>
          <w:bCs w:val="false"/>
          <w:lang w:val="en-US"/>
        </w:rPr>
        <w:t xml:space="preserve">Fig 4: </w:t>
      </w:r>
      <w:r>
        <w:rPr>
          <w:rStyle w:val="style21"/>
          <w:rFonts w:ascii="Arial" w:hAnsi="Arial"/>
          <w:b/>
          <w:bCs/>
          <w:lang w:val="en-US"/>
        </w:rPr>
        <w:t>Brief</w:t>
      </w:r>
      <w:r>
        <w:rPr>
          <w:rStyle w:val="style21"/>
          <w:rFonts w:ascii="Arial" w:hAnsi="Arial"/>
          <w:b/>
          <w:bCs/>
          <w:lang w:val="en-US"/>
        </w:rPr>
        <w:t xml:space="preserve"> glucocorticoid treatment </w:t>
      </w:r>
      <w:r>
        <w:rPr>
          <w:rStyle w:val="style21"/>
          <w:rFonts w:ascii="Arial" w:hAnsi="Arial"/>
          <w:lang w:val="en-US"/>
        </w:rPr>
        <w:t xml:space="preserve">affects skeletal development </w:t>
      </w:r>
      <w:r>
        <w:rPr>
          <w:rStyle w:val="style21"/>
          <w:rFonts w:ascii="Arial" w:hAnsi="Arial"/>
          <w:lang w:val="en-US"/>
        </w:rPr>
        <w:t>during natural metamorphosis</w:t>
      </w:r>
      <w:r>
        <w:rPr>
          <w:rStyle w:val="style21"/>
          <w:rFonts w:ascii="Arial" w:hAnsi="Arial"/>
          <w:lang w:val="en-US"/>
        </w:rPr>
        <w:t>.</w:t>
      </w:r>
      <w:r>
        <w:rPr>
          <w:rStyle w:val="style22"/>
          <w:rFonts w:ascii="Arial" w:hAnsi="Arial"/>
          <w:lang w:val="en-US"/>
        </w:rPr>
        <w:t xml:space="preserve"> </w:t>
      </w:r>
      <w:r>
        <w:rPr>
          <w:rStyle w:val="style22"/>
          <w:rFonts w:ascii="Arial" w:hAnsi="Arial"/>
          <w:lang w:val="en-US"/>
        </w:rPr>
        <w:t>Morphology of hindlimb buds 24 hours after a 24 hour treatment (upper panel). Skeletal preparation (Alcian/Alizarin) of the same samples (bottom panel). Cartilage is stained with alcian blue and bone with alizarin red.</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hAnsi="Arial"/>
          <w:b w:val="false"/>
          <w:bCs w:val="false"/>
          <w:i w:val="false"/>
          <w:iCs w:val="false"/>
          <w:sz w:val="24"/>
          <w:szCs w:val="24"/>
          <w:lang w:val="en-US"/>
        </w:rPr>
      </w:pPr>
      <w:r>
        <w:rPr>
          <w:rStyle w:val="style22"/>
          <w:rFonts w:ascii="Arial" w:hAnsi="Arial"/>
          <w:b/>
          <w:bCs/>
          <w:i w:val="false"/>
          <w:iCs w:val="false"/>
          <w:sz w:val="28"/>
          <w:szCs w:val="28"/>
          <w:lang w:val="en-US"/>
        </w:rPr>
        <w:t xml:space="preserve">Supplementary </w:t>
      </w:r>
      <w:r>
        <w:rPr>
          <w:rStyle w:val="style22"/>
          <w:rFonts w:ascii="Arial" w:hAnsi="Arial"/>
          <w:b/>
          <w:bCs/>
          <w:i w:val="false"/>
          <w:iCs w:val="false"/>
          <w:sz w:val="28"/>
          <w:szCs w:val="28"/>
          <w:lang w:val="en-US"/>
        </w:rPr>
        <w:t>Figure</w:t>
      </w:r>
      <w:r>
        <w:rPr>
          <w:rStyle w:val="style22"/>
          <w:rFonts w:ascii="Arial" w:hAnsi="Arial"/>
          <w:b/>
          <w:bCs/>
          <w:i w:val="false"/>
          <w:iCs w:val="false"/>
          <w:sz w:val="28"/>
          <w:szCs w:val="28"/>
          <w:lang w:val="en-US"/>
        </w:rPr>
        <w:t>s</w:t>
      </w:r>
      <w:r>
        <w:rPr>
          <w:rStyle w:val="style22"/>
          <w:rFonts w:ascii="Arial" w:hAnsi="Arial"/>
          <w:b/>
          <w:bCs/>
          <w:i w:val="false"/>
          <w:iCs w:val="false"/>
          <w:sz w:val="28"/>
          <w:szCs w:val="28"/>
          <w:lang w:val="en-US"/>
        </w:rPr>
        <w:t xml:space="preserve"> </w:t>
      </w:r>
      <w:r>
        <w:rPr>
          <w:rStyle w:val="style22"/>
          <w:rFonts w:ascii="Arial" w:hAnsi="Arial"/>
          <w:b w:val="false"/>
          <w:bCs w:val="false"/>
          <w:i w:val="false"/>
          <w:iCs w:val="false"/>
          <w:sz w:val="24"/>
          <w:szCs w:val="24"/>
          <w:lang w:val="en-US"/>
        </w:rPr>
        <w:t>(available from the website)</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cs="Lucida Sans" w:eastAsia="Lucida Sans" w:hAnsi="Arial"/>
          <w:b/>
          <w:bCs/>
          <w:i w:val="false"/>
          <w:iCs w:val="false"/>
          <w:strike w:val="false"/>
          <w:dstrike w:val="false"/>
          <w:outline w:val="false"/>
          <w:shadow w:val="false"/>
          <w:color w:val="auto"/>
          <w:sz w:val="24"/>
          <w:szCs w:val="24"/>
          <w:u w:val="none"/>
          <w:em w:val="none"/>
          <w:lang w:val="en-US"/>
        </w:rPr>
      </w:pP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Fig S1: </w:t>
      </w:r>
      <w:r>
        <w:rPr>
          <w:rStyle w:val="style22"/>
          <w:rFonts w:ascii="Arial" w:cs="Lucida Sans" w:eastAsia="Lucida Sans" w:hAnsi="Arial"/>
          <w:b/>
          <w:bCs/>
          <w:i w:val="false"/>
          <w:iCs w:val="false"/>
          <w:strike w:val="false"/>
          <w:dstrike w:val="false"/>
          <w:outline w:val="false"/>
          <w:shadow w:val="false"/>
          <w:color w:val="auto"/>
          <w:sz w:val="24"/>
          <w:szCs w:val="24"/>
          <w:u w:val="none"/>
          <w:em w:val="none"/>
          <w:lang w:val="en-US"/>
        </w:rPr>
        <w:t>G</w:t>
      </w:r>
      <w:r>
        <w:rPr>
          <w:rStyle w:val="style22"/>
          <w:rFonts w:ascii="Arial" w:cs="Lucida Sans" w:eastAsia="Lucida Sans" w:hAnsi="Arial"/>
          <w:b/>
          <w:bCs/>
          <w:i w:val="false"/>
          <w:iCs w:val="false"/>
          <w:strike w:val="false"/>
          <w:dstrike w:val="false"/>
          <w:outline w:val="false"/>
          <w:shadow w:val="false"/>
          <w:color w:val="auto"/>
          <w:sz w:val="24"/>
          <w:szCs w:val="24"/>
          <w:u w:val="none"/>
          <w:em w:val="none"/>
          <w:lang w:val="en-US"/>
        </w:rPr>
        <w:t>eneral workflow of data production, processing and analysis.</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hAnsi="Arial"/>
          <w:i w:val="false"/>
          <w:iCs w:val="false"/>
          <w:lang w:val="en-US"/>
        </w:rPr>
      </w:pPr>
      <w:r>
        <w:rPr>
          <w:rStyle w:val="style22"/>
          <w:rFonts w:ascii="Arial" w:hAnsi="Arial"/>
          <w:i w:val="false"/>
          <w:iCs w:val="false"/>
          <w:lang w:val="en-US"/>
        </w:rPr>
        <w:t xml:space="preserve">Fig S2: </w:t>
      </w:r>
      <w:r>
        <w:rPr>
          <w:rStyle w:val="style22"/>
          <w:rFonts w:ascii="Arial" w:hAnsi="Arial"/>
          <w:b/>
          <w:bCs/>
          <w:i w:val="false"/>
          <w:iCs w:val="false"/>
          <w:lang w:val="en-US"/>
        </w:rPr>
        <w:t>Measure of KLF9 gene expression by rt-qPCR.</w:t>
      </w:r>
      <w:r>
        <w:rPr>
          <w:rStyle w:val="style22"/>
          <w:rFonts w:ascii="Arial" w:hAnsi="Arial"/>
          <w:i w:val="false"/>
          <w:iCs w:val="false"/>
          <w:lang w:val="en-US"/>
        </w:rPr>
        <w:t xml:space="preserve"> Letters a and b indicate significant differences between the group means based on a two tailed student t-test.</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hAnsi="Arial"/>
          <w:i w:val="false"/>
          <w:iCs w:val="false"/>
          <w:lang w:val="en-US"/>
        </w:rPr>
      </w:pPr>
      <w:r>
        <w:rPr>
          <w:rStyle w:val="style22"/>
          <w:rFonts w:ascii="Arial" w:hAnsi="Arial"/>
          <w:i w:val="false"/>
          <w:iCs w:val="false"/>
          <w:lang w:val="en-US"/>
        </w:rPr>
        <w:t xml:space="preserve">Fig S3: </w:t>
      </w:r>
      <w:r>
        <w:rPr>
          <w:rStyle w:val="style22"/>
          <w:rFonts w:ascii="Arial" w:hAnsi="Arial"/>
          <w:b/>
          <w:bCs/>
          <w:i w:val="false"/>
          <w:iCs w:val="false"/>
          <w:lang w:val="en-US"/>
        </w:rPr>
        <w:t xml:space="preserve">Saturation analysis of RNA-seq data. </w:t>
      </w:r>
      <w:r>
        <w:rPr>
          <w:rStyle w:val="style22"/>
          <w:rFonts w:ascii="Arial" w:hAnsi="Arial"/>
          <w:i w:val="false"/>
          <w:iCs w:val="false"/>
          <w:lang w:val="en-US"/>
        </w:rPr>
        <w:t>The number of expressed gene (y axis) is plotted as a function and increasing number of reads (x axis).</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Fonts w:ascii="Arial" w:cs="Arial" w:eastAsia="Arial" w:hAnsi="Arial"/>
          <w:b w:val="false"/>
          <w:bCs w:val="false"/>
          <w:i w:val="false"/>
          <w:iCs w:val="false"/>
          <w:strike w:val="false"/>
          <w:dstrike w:val="false"/>
          <w:outline w:val="false"/>
          <w:shadow w:val="false"/>
          <w:color w:val="auto"/>
          <w:sz w:val="24"/>
          <w:szCs w:val="24"/>
          <w:u w:val="none"/>
          <w:em w:val="none"/>
          <w:lang w:val="en-US"/>
        </w:rPr>
      </w:pPr>
      <w:r>
        <w:rPr>
          <w:rStyle w:val="style22"/>
          <w:rFonts w:ascii="Arial" w:cs="Arial" w:eastAsia="Arial" w:hAnsi="Arial"/>
          <w:b w:val="false"/>
          <w:bCs w:val="false"/>
          <w:i w:val="false"/>
          <w:iCs w:val="false"/>
          <w:strike w:val="false"/>
          <w:dstrike w:val="false"/>
          <w:outline w:val="false"/>
          <w:shadow w:val="false"/>
          <w:color w:val="auto"/>
          <w:sz w:val="24"/>
          <w:szCs w:val="24"/>
          <w:u w:val="none"/>
          <w:em w:val="none"/>
          <w:lang w:val="en-US"/>
        </w:rPr>
        <w:t>Fig S4</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 </w:t>
      </w:r>
      <w:r>
        <w:rPr>
          <w:rStyle w:val="style22"/>
          <w:rFonts w:ascii="Arial" w:cs="Lucida Sans" w:eastAsia="Lucida Sans" w:hAnsi="Arial"/>
          <w:b/>
          <w:bCs/>
          <w:i w:val="false"/>
          <w:iCs w:val="false"/>
          <w:strike w:val="false"/>
          <w:dstrike w:val="false"/>
          <w:outline w:val="false"/>
          <w:shadow w:val="false"/>
          <w:color w:val="auto"/>
          <w:sz w:val="24"/>
          <w:szCs w:val="24"/>
          <w:u w:val="none"/>
          <w:em w:val="none"/>
          <w:lang w:val="en-US"/>
        </w:rPr>
        <w:t>Principal component analysis of RNA-Seq data</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The analysis was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carried out </w:t>
      </w:r>
      <w:r>
        <w:rPr>
          <w:rFonts w:ascii="Arial" w:cs="Arial" w:eastAsia="Arial" w:hAnsi="Arial"/>
          <w:b w:val="false"/>
          <w:bCs w:val="false"/>
          <w:i w:val="false"/>
          <w:iCs w:val="false"/>
          <w:strike w:val="false"/>
          <w:dstrike w:val="false"/>
          <w:outline w:val="false"/>
          <w:shadow w:val="false"/>
          <w:color w:val="auto"/>
          <w:sz w:val="24"/>
          <w:szCs w:val="24"/>
          <w:u w:val="none"/>
          <w:em w:val="none"/>
          <w:lang w:val="en-US"/>
        </w:rPr>
        <w:t>on raw data (A) or after reduction of batch effects (B).</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pPr>
      <w:r>
        <w:rPr>
          <w:rStyle w:val="style22"/>
          <w:rFonts w:ascii="Arial" w:cs="Arial" w:eastAsia="Arial" w:hAnsi="Arial"/>
          <w:b w:val="false"/>
          <w:bCs w:val="false"/>
          <w:i w:val="false"/>
          <w:iCs w:val="false"/>
          <w:strike w:val="false"/>
          <w:dstrike w:val="false"/>
          <w:outline w:val="false"/>
          <w:shadow w:val="false"/>
          <w:color w:val="auto"/>
          <w:sz w:val="24"/>
          <w:szCs w:val="24"/>
          <w:u w:val="none"/>
          <w:em w:val="none"/>
          <w:lang w:val="en-US"/>
        </w:rPr>
        <w:t>Fig S5:</w:t>
      </w:r>
      <w:r>
        <w:rPr>
          <w:rStyle w:val="style22"/>
          <w:rFonts w:ascii="Arial" w:cs="Arial" w:eastAsia="Arial" w:hAnsi="Arial"/>
          <w:b/>
          <w:bCs/>
          <w:i w:val="false"/>
          <w:iCs w:val="false"/>
          <w:strike w:val="false"/>
          <w:dstrike w:val="false"/>
          <w:outline w:val="false"/>
          <w:shadow w:val="false"/>
          <w:color w:val="auto"/>
          <w:sz w:val="24"/>
          <w:szCs w:val="24"/>
          <w:u w:val="none"/>
          <w:em w:val="none"/>
          <w:lang w:val="en-US"/>
        </w:rPr>
        <w:t xml:space="preserve"> RT-qPCR v</w:t>
      </w:r>
      <w:r>
        <w:rPr>
          <w:rStyle w:val="style22"/>
          <w:rFonts w:ascii="Arial" w:cs="Lucida Sans" w:eastAsia="Lucida Sans" w:hAnsi="Arial"/>
          <w:b/>
          <w:bCs/>
          <w:i w:val="false"/>
          <w:iCs w:val="false"/>
          <w:strike w:val="false"/>
          <w:dstrike w:val="false"/>
          <w:outline w:val="false"/>
          <w:shadow w:val="false"/>
          <w:color w:val="auto"/>
          <w:sz w:val="24"/>
          <w:szCs w:val="24"/>
          <w:u w:val="none"/>
          <w:em w:val="none"/>
          <w:lang w:val="en-US"/>
        </w:rPr>
        <w:t>alidations of gene expression levels measured by RNA-Seq</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Thirteen</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 genes were chosen from RNA-Seq results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over</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 wide dynamic range of expression,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as illustrated on the MA plots (A)</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Expression levels were measured by RT-qPCR and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normalized using rpl8 as internal control, with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three biological replicated</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 xml:space="preserve">. </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The relation</w:t>
      </w:r>
      <w:r>
        <w:rPr>
          <w:rStyle w:val="style22"/>
          <w:rFonts w:ascii="Arial" w:cs="Lucida Sans" w:eastAsia="Lucida Sans" w:hAnsi="Arial"/>
          <w:b w:val="false"/>
          <w:bCs w:val="false"/>
          <w:i w:val="false"/>
          <w:iCs w:val="false"/>
          <w:strike w:val="false"/>
          <w:dstrike w:val="false"/>
          <w:outline w:val="false"/>
          <w:shadow w:val="false"/>
          <w:color w:val="auto"/>
          <w:sz w:val="24"/>
          <w:szCs w:val="24"/>
          <w:u w:val="none"/>
          <w:em w:val="none"/>
          <w:lang w:val="en-US"/>
        </w:rPr>
        <w:t>ship between fold changes (in log2 scale) measured by RT-qPCR and by RNA-Seq is shown in panel B.</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hAnsi="Arial"/>
          <w:i w:val="false"/>
          <w:iCs w:val="false"/>
          <w:lang w:val="en-US"/>
        </w:rPr>
      </w:pPr>
      <w:r>
        <w:rPr>
          <w:rStyle w:val="style22"/>
          <w:rFonts w:ascii="Arial" w:hAnsi="Arial"/>
          <w:i w:val="false"/>
          <w:iCs w:val="false"/>
          <w:lang w:val="en-US"/>
        </w:rPr>
        <w:t xml:space="preserve">Fig S6: </w:t>
      </w:r>
      <w:r>
        <w:rPr>
          <w:rStyle w:val="style22"/>
          <w:rFonts w:ascii="Arial" w:hAnsi="Arial"/>
          <w:b/>
          <w:bCs/>
          <w:i w:val="false"/>
          <w:iCs w:val="false"/>
          <w:lang w:val="en-US"/>
        </w:rPr>
        <w:t xml:space="preserve">Interaction network between genes differentially expressed and biological functions and pathologies.  </w:t>
      </w:r>
      <w:r>
        <w:rPr>
          <w:rStyle w:val="style22"/>
          <w:rFonts w:ascii="Arial" w:hAnsi="Arial"/>
          <w:i w:val="false"/>
          <w:iCs w:val="false"/>
          <w:lang w:val="en-US"/>
        </w:rPr>
        <w:t>Yellow hexagons identify biological functions and pathologies, red vertices identifies genes with antagonistic expression profiles, green vertices identifies genes with potentiated expression profiles. Black links correspond to connections between genes and biological processes or pathologies,</w:t>
      </w:r>
      <w:r>
        <w:rPr>
          <w:rStyle w:val="style22"/>
          <w:rFonts w:ascii="Arial" w:hAnsi="Arial"/>
          <w:i w:val="false"/>
          <w:iCs w:val="false"/>
          <w:lang w:val="en-US"/>
        </w:rPr>
        <w:t xml:space="preserve"> </w:t>
      </w:r>
      <w:r>
        <w:rPr>
          <w:rStyle w:val="style22"/>
          <w:rFonts w:ascii="Arial" w:hAnsi="Arial"/>
          <w:i w:val="false"/>
          <w:iCs w:val="false"/>
          <w:lang w:val="en-US"/>
        </w:rPr>
        <w:t xml:space="preserve">red dotted links represent connections between pathologies </w:t>
      </w:r>
      <w:r>
        <w:rPr>
          <w:rStyle w:val="style22"/>
          <w:rFonts w:ascii="Arial" w:hAnsi="Arial"/>
          <w:i w:val="false"/>
          <w:iCs w:val="false"/>
          <w:lang w:val="en-US"/>
        </w:rPr>
        <w:t>and</w:t>
      </w:r>
      <w:r>
        <w:rPr>
          <w:rStyle w:val="style22"/>
          <w:rFonts w:ascii="Arial" w:hAnsi="Arial"/>
          <w:i w:val="false"/>
          <w:iCs w:val="false"/>
          <w:lang w:val="en-US"/>
        </w:rPr>
        <w:t xml:space="preserve"> </w:t>
      </w:r>
      <w:r>
        <w:rPr>
          <w:rStyle w:val="style22"/>
          <w:rFonts w:ascii="Arial" w:hAnsi="Arial"/>
          <w:i w:val="false"/>
          <w:iCs w:val="false"/>
          <w:lang w:val="en-US"/>
        </w:rPr>
        <w:t>blue links interactions between gene products.</w:t>
      </w:r>
    </w:p>
    <w:p>
      <w:pPr>
        <w:pStyle w:val="style0"/>
        <w:spacing w:line="360" w:lineRule="auto"/>
        <w:rPr>
          <w:rStyle w:val="style22"/>
          <w:rFonts w:ascii="Arial" w:hAnsi="Arial"/>
          <w:i w:val="false"/>
          <w:iCs w:val="false"/>
          <w:position w:val="0"/>
          <w:sz w:val="24"/>
          <w:vertAlign w:val="baseline"/>
          <w:lang w:val="en-US"/>
        </w:rPr>
      </w:pPr>
      <w:r>
        <w:rPr>
          <w:rStyle w:val="style22"/>
          <w:rFonts w:ascii="Arial" w:hAnsi="Arial"/>
          <w:i w:val="false"/>
          <w:iCs w:val="false"/>
          <w:lang w:val="en-US"/>
        </w:rPr>
        <w:t>F</w:t>
      </w:r>
      <w:r>
        <w:rPr>
          <w:rStyle w:val="style22"/>
          <w:rFonts w:ascii="Arial" w:hAnsi="Arial"/>
          <w:i w:val="false"/>
          <w:iCs w:val="false"/>
          <w:lang w:val="en-US"/>
        </w:rPr>
        <w:t xml:space="preserve">unctional interaction </w:t>
      </w:r>
      <w:r>
        <w:rPr>
          <w:rStyle w:val="style22"/>
          <w:rFonts w:ascii="Arial" w:hAnsi="Arial"/>
          <w:i w:val="false"/>
          <w:iCs w:val="false"/>
          <w:lang w:val="en-US"/>
        </w:rPr>
        <w:t>data between genes</w:t>
      </w:r>
      <w:r>
        <w:rPr>
          <w:rStyle w:val="style22"/>
          <w:rFonts w:ascii="Arial" w:hAnsi="Arial"/>
          <w:i w:val="false"/>
          <w:iCs w:val="false"/>
          <w:lang w:val="en-US"/>
        </w:rPr>
        <w:t xml:space="preserve"> </w:t>
      </w:r>
      <w:r>
        <w:rPr>
          <w:rStyle w:val="style22"/>
          <w:rFonts w:ascii="Arial" w:hAnsi="Arial"/>
          <w:i w:val="false"/>
          <w:iCs w:val="false"/>
          <w:lang w:val="en-US"/>
        </w:rPr>
        <w:t>were collected from</w:t>
      </w:r>
      <w:r>
        <w:rPr>
          <w:rStyle w:val="style22"/>
          <w:rFonts w:ascii="Arial" w:hAnsi="Arial"/>
          <w:i w:val="false"/>
          <w:iCs w:val="false"/>
          <w:lang w:val="en-US"/>
        </w:rPr>
        <w:t xml:space="preserve"> the BioGrid database </w:t>
      </w:r>
      <w:r>
        <w:rPr>
          <w:rStyle w:val="style22"/>
          <w:rFonts w:ascii="Arial" w:hAnsi="Arial"/>
          <w:i w:val="false"/>
          <w:iCs w:val="false"/>
          <w:position w:val="0"/>
          <w:sz w:val="24"/>
          <w:vertAlign w:val="baseline"/>
          <w:lang w:val="en-US"/>
        </w:rPr>
        <w:t>(Stark et al., 2011).</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hAnsi="Arial"/>
          <w:b/>
          <w:bCs/>
          <w:i w:val="false"/>
          <w:iCs w:val="false"/>
          <w:position w:val="0"/>
          <w:sz w:val="24"/>
          <w:vertAlign w:val="baseline"/>
          <w:lang w:val="en-US"/>
        </w:rPr>
      </w:pPr>
      <w:r>
        <w:rPr>
          <w:rStyle w:val="style22"/>
          <w:rFonts w:ascii="Arial" w:hAnsi="Arial"/>
          <w:i w:val="false"/>
          <w:iCs w:val="false"/>
          <w:position w:val="0"/>
          <w:sz w:val="24"/>
          <w:vertAlign w:val="baseline"/>
          <w:lang w:val="en-US"/>
        </w:rPr>
        <w:t>Fig S</w:t>
      </w:r>
      <w:r>
        <w:rPr>
          <w:rStyle w:val="style22"/>
          <w:rFonts w:ascii="Arial" w:hAnsi="Arial"/>
          <w:i w:val="false"/>
          <w:iCs w:val="false"/>
          <w:position w:val="0"/>
          <w:sz w:val="24"/>
          <w:vertAlign w:val="baseline"/>
          <w:lang w:val="en-US"/>
        </w:rPr>
        <w:t>7</w:t>
      </w:r>
      <w:r>
        <w:rPr>
          <w:rStyle w:val="style22"/>
          <w:rFonts w:ascii="Arial" w:hAnsi="Arial"/>
          <w:i w:val="false"/>
          <w:iCs w:val="false"/>
          <w:position w:val="0"/>
          <w:sz w:val="24"/>
          <w:vertAlign w:val="baseline"/>
          <w:lang w:val="en-US"/>
        </w:rPr>
        <w:t xml:space="preserve">: </w:t>
      </w:r>
      <w:r>
        <w:rPr>
          <w:rStyle w:val="style22"/>
          <w:rFonts w:ascii="Arial" w:hAnsi="Arial"/>
          <w:b/>
          <w:bCs/>
          <w:i w:val="false"/>
          <w:iCs w:val="false"/>
          <w:position w:val="0"/>
          <w:sz w:val="24"/>
          <w:vertAlign w:val="baseline"/>
          <w:lang w:val="en-US"/>
        </w:rPr>
        <w:t xml:space="preserve">Interaction network between genes differentially expressed and biological functions and pathologies. </w:t>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Fonts w:ascii="Droid Serif" w:hAnsi="Droid Serif"/>
          <w:lang w:val="en-US"/>
        </w:rPr>
      </w:pPr>
      <w:r>
        <w:rPr>
          <w:rFonts w:ascii="Droid Serif" w:hAnsi="Droid Serif"/>
          <w:lang w:val="en-US"/>
        </w:rPr>
      </w:r>
    </w:p>
    <w:p>
      <w:pPr>
        <w:pStyle w:val="style0"/>
        <w:spacing w:line="360" w:lineRule="auto"/>
        <w:rPr>
          <w:rStyle w:val="style22"/>
          <w:rFonts w:ascii="Arial" w:hAnsi="Arial"/>
          <w:b w:val="false"/>
          <w:bCs w:val="false"/>
          <w:i w:val="false"/>
          <w:iCs w:val="false"/>
          <w:position w:val="0"/>
          <w:sz w:val="28"/>
          <w:sz w:val="24"/>
          <w:szCs w:val="24"/>
          <w:vertAlign w:val="baseline"/>
          <w:lang w:val="en-US"/>
        </w:rPr>
      </w:pPr>
      <w:r>
        <w:rPr>
          <w:rStyle w:val="style22"/>
          <w:rFonts w:ascii="Arial" w:hAnsi="Arial"/>
          <w:b/>
          <w:bCs/>
          <w:i w:val="false"/>
          <w:iCs w:val="false"/>
          <w:position w:val="0"/>
          <w:sz w:val="28"/>
          <w:sz w:val="28"/>
          <w:szCs w:val="28"/>
          <w:vertAlign w:val="baseline"/>
          <w:lang w:val="en-US"/>
        </w:rPr>
        <w:t>Supplementary Tabl</w:t>
      </w:r>
      <w:r>
        <w:rPr>
          <w:rStyle w:val="style22"/>
          <w:rFonts w:ascii="Arial" w:hAnsi="Arial"/>
          <w:b/>
          <w:bCs/>
          <w:i w:val="false"/>
          <w:iCs w:val="false"/>
          <w:position w:val="0"/>
          <w:sz w:val="28"/>
          <w:sz w:val="28"/>
          <w:szCs w:val="28"/>
          <w:vertAlign w:val="baseline"/>
          <w:lang w:val="en-US"/>
        </w:rPr>
        <w:t>e</w:t>
      </w:r>
      <w:r>
        <w:rPr>
          <w:rStyle w:val="style22"/>
          <w:rFonts w:ascii="Arial" w:hAnsi="Arial"/>
          <w:b/>
          <w:bCs/>
          <w:i w:val="false"/>
          <w:iCs w:val="false"/>
          <w:position w:val="0"/>
          <w:sz w:val="28"/>
          <w:sz w:val="28"/>
          <w:szCs w:val="28"/>
          <w:vertAlign w:val="baseline"/>
          <w:lang w:val="en-US"/>
        </w:rPr>
        <w:t>s</w:t>
      </w:r>
      <w:r>
        <w:rPr>
          <w:rStyle w:val="style22"/>
          <w:rFonts w:ascii="Arial" w:hAnsi="Arial"/>
          <w:b/>
          <w:bCs/>
          <w:i w:val="false"/>
          <w:iCs w:val="false"/>
          <w:position w:val="0"/>
          <w:sz w:val="28"/>
          <w:sz w:val="28"/>
          <w:szCs w:val="28"/>
          <w:vertAlign w:val="baseline"/>
          <w:lang w:val="en-US"/>
        </w:rPr>
        <w:t xml:space="preserve"> </w:t>
      </w:r>
      <w:r>
        <w:rPr>
          <w:rStyle w:val="style22"/>
          <w:rFonts w:ascii="Arial" w:hAnsi="Arial"/>
          <w:b w:val="false"/>
          <w:bCs w:val="false"/>
          <w:i w:val="false"/>
          <w:iCs w:val="false"/>
          <w:position w:val="0"/>
          <w:sz w:val="28"/>
          <w:sz w:val="24"/>
          <w:szCs w:val="24"/>
          <w:vertAlign w:val="baseline"/>
          <w:lang w:val="en-US"/>
        </w:rPr>
        <w:t>(available from the website)</w:t>
      </w:r>
    </w:p>
    <w:p>
      <w:pPr>
        <w:pStyle w:val="style0"/>
        <w:spacing w:line="360" w:lineRule="auto"/>
        <w:rPr>
          <w:rFonts w:ascii="Arial" w:hAnsi="Arial"/>
          <w:b/>
          <w:bCs/>
          <w:sz w:val="28"/>
          <w:szCs w:val="28"/>
          <w:lang w:val="en-US"/>
        </w:rPr>
      </w:pPr>
      <w:r>
        <w:rPr>
          <w:rFonts w:ascii="Arial" w:hAnsi="Arial"/>
          <w:b/>
          <w:bCs/>
          <w:sz w:val="28"/>
          <w:szCs w:val="28"/>
          <w:lang w:val="en-US"/>
        </w:rPr>
      </w:r>
    </w:p>
    <w:p>
      <w:pPr>
        <w:pStyle w:val="style0"/>
        <w:spacing w:line="360" w:lineRule="auto"/>
        <w:rPr>
          <w:rStyle w:val="style22"/>
          <w:rFonts w:ascii="Arial" w:hAnsi="Arial"/>
          <w:b/>
          <w:bCs/>
          <w:i w:val="false"/>
          <w:iCs w:val="false"/>
          <w:position w:val="0"/>
          <w:sz w:val="28"/>
          <w:sz w:val="24"/>
          <w:szCs w:val="24"/>
          <w:vertAlign w:val="baseline"/>
          <w:lang w:val="en-US"/>
        </w:rPr>
      </w:pPr>
      <w:r>
        <w:rPr>
          <w:rStyle w:val="style22"/>
          <w:rFonts w:ascii="Arial" w:hAnsi="Arial"/>
          <w:b w:val="false"/>
          <w:bCs w:val="false"/>
          <w:i w:val="false"/>
          <w:iCs w:val="false"/>
          <w:position w:val="0"/>
          <w:sz w:val="28"/>
          <w:sz w:val="24"/>
          <w:szCs w:val="24"/>
          <w:vertAlign w:val="baseline"/>
          <w:lang w:val="en-US"/>
        </w:rPr>
        <w:t xml:space="preserve">Table S1: </w:t>
      </w:r>
      <w:r>
        <w:rPr>
          <w:rStyle w:val="style22"/>
          <w:rFonts w:ascii="Arial" w:hAnsi="Arial"/>
          <w:b/>
          <w:bCs/>
          <w:i w:val="false"/>
          <w:iCs w:val="false"/>
          <w:position w:val="0"/>
          <w:sz w:val="28"/>
          <w:sz w:val="24"/>
          <w:szCs w:val="24"/>
          <w:vertAlign w:val="baseline"/>
          <w:lang w:val="en-US"/>
        </w:rPr>
        <w:t>Mapping statistics.</w:t>
      </w:r>
    </w:p>
    <w:p>
      <w:pPr>
        <w:pStyle w:val="style0"/>
        <w:spacing w:line="360" w:lineRule="auto"/>
        <w:rPr>
          <w:rFonts w:ascii="Arial" w:hAnsi="Arial"/>
          <w:b/>
          <w:bCs/>
          <w:sz w:val="28"/>
          <w:szCs w:val="28"/>
          <w:lang w:val="en-US"/>
        </w:rPr>
      </w:pPr>
      <w:r>
        <w:rPr>
          <w:rFonts w:ascii="Arial" w:hAnsi="Arial"/>
          <w:b/>
          <w:bCs/>
          <w:sz w:val="28"/>
          <w:szCs w:val="28"/>
          <w:lang w:val="en-US"/>
        </w:rPr>
      </w:r>
    </w:p>
    <w:p>
      <w:pPr>
        <w:pStyle w:val="style0"/>
        <w:spacing w:line="360" w:lineRule="auto"/>
        <w:rPr>
          <w:rStyle w:val="style22"/>
          <w:rFonts w:ascii="Arial" w:hAnsi="Arial"/>
          <w:b/>
          <w:bCs/>
          <w:i w:val="false"/>
          <w:iCs w:val="false"/>
          <w:position w:val="0"/>
          <w:sz w:val="28"/>
          <w:sz w:val="24"/>
          <w:szCs w:val="24"/>
          <w:vertAlign w:val="baseline"/>
          <w:lang w:val="en-US"/>
        </w:rPr>
      </w:pPr>
      <w:r>
        <w:rPr>
          <w:rStyle w:val="style22"/>
          <w:rFonts w:ascii="Arial" w:hAnsi="Arial"/>
          <w:b w:val="false"/>
          <w:bCs w:val="false"/>
          <w:i w:val="false"/>
          <w:iCs w:val="false"/>
          <w:position w:val="0"/>
          <w:sz w:val="28"/>
          <w:sz w:val="24"/>
          <w:szCs w:val="24"/>
          <w:vertAlign w:val="baseline"/>
          <w:lang w:val="en-US"/>
        </w:rPr>
        <w:t xml:space="preserve">Table S2: </w:t>
      </w:r>
      <w:r>
        <w:rPr>
          <w:rStyle w:val="style22"/>
          <w:rFonts w:ascii="Arial" w:hAnsi="Arial"/>
          <w:b/>
          <w:bCs/>
          <w:i w:val="false"/>
          <w:iCs w:val="false"/>
          <w:position w:val="0"/>
          <w:sz w:val="28"/>
          <w:sz w:val="24"/>
          <w:szCs w:val="24"/>
          <w:vertAlign w:val="baseline"/>
          <w:lang w:val="en-US"/>
        </w:rPr>
        <w:t>Expression level of differentially expressed genes.</w:t>
      </w:r>
    </w:p>
    <w:p>
      <w:pPr>
        <w:pStyle w:val="style0"/>
        <w:spacing w:line="360" w:lineRule="auto"/>
        <w:rPr>
          <w:rFonts w:ascii="Arial" w:hAnsi="Arial"/>
          <w:b/>
          <w:bCs/>
          <w:sz w:val="28"/>
          <w:szCs w:val="28"/>
          <w:lang w:val="en-US"/>
        </w:rPr>
      </w:pPr>
      <w:r>
        <w:rPr>
          <w:rFonts w:ascii="Arial" w:hAnsi="Arial"/>
          <w:b/>
          <w:bCs/>
          <w:sz w:val="28"/>
          <w:szCs w:val="28"/>
          <w:lang w:val="en-US"/>
        </w:rPr>
      </w:r>
    </w:p>
    <w:p>
      <w:pPr>
        <w:pStyle w:val="style0"/>
        <w:spacing w:line="360" w:lineRule="auto"/>
        <w:rPr>
          <w:rStyle w:val="style22"/>
          <w:rFonts w:ascii="Arial" w:hAnsi="Arial"/>
          <w:b/>
          <w:bCs/>
          <w:i w:val="false"/>
          <w:iCs w:val="false"/>
          <w:position w:val="0"/>
          <w:sz w:val="28"/>
          <w:sz w:val="24"/>
          <w:szCs w:val="24"/>
          <w:vertAlign w:val="baseline"/>
          <w:lang w:val="en-US"/>
        </w:rPr>
      </w:pPr>
      <w:r>
        <w:rPr>
          <w:rStyle w:val="style22"/>
          <w:rFonts w:ascii="Arial" w:hAnsi="Arial"/>
          <w:b w:val="false"/>
          <w:bCs w:val="false"/>
          <w:i w:val="false"/>
          <w:iCs w:val="false"/>
          <w:position w:val="0"/>
          <w:sz w:val="28"/>
          <w:sz w:val="24"/>
          <w:szCs w:val="24"/>
          <w:vertAlign w:val="baseline"/>
          <w:lang w:val="en-US"/>
        </w:rPr>
        <w:t xml:space="preserve">Table S3: </w:t>
      </w:r>
      <w:r>
        <w:rPr>
          <w:rStyle w:val="style22"/>
          <w:rFonts w:ascii="Arial" w:hAnsi="Arial"/>
          <w:b/>
          <w:bCs/>
          <w:i w:val="false"/>
          <w:iCs w:val="false"/>
          <w:position w:val="0"/>
          <w:sz w:val="28"/>
          <w:sz w:val="24"/>
          <w:szCs w:val="24"/>
          <w:vertAlign w:val="baseline"/>
          <w:lang w:val="en-US"/>
        </w:rPr>
        <w:t>Expression level of genes affected by TH and GC crosstalk.</w:t>
      </w:r>
    </w:p>
    <w:p>
      <w:pPr>
        <w:pStyle w:val="style113"/>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modern"/>
    <w:pitch w:val="fixed"/>
  </w:font>
  <w:font w:name="Lohit Hindi">
    <w:charset w:val="01"/>
    <w:family w:val="auto"/>
    <w:pitch w:val="variable"/>
  </w:font>
  <w:font w:name="Arial">
    <w:charset w:val="01"/>
    <w:family w:val="swiss"/>
    <w:pitch w:val="default"/>
  </w:font>
  <w:font w:name="Arial">
    <w:charset w:val="01"/>
    <w:family w:val="swiss"/>
    <w:pitch w:val="variable"/>
  </w:font>
  <w:font w:name="ArialMT">
    <w:charset w:val="01"/>
    <w:family w:val="swiss"/>
    <w:pitch w:val="default"/>
  </w:font>
  <w:font w:name="Helvetica">
    <w:altName w:val="Arial"/>
    <w:charset w:val="01"/>
    <w:family w:val="roman"/>
    <w:pitch w:val="default"/>
  </w:font>
  <w:font w:name="Helvetica">
    <w:altName w:val="Arial"/>
    <w:charset w:val="01"/>
    <w:family w:val="swiss"/>
    <w:pitch w:val="default"/>
  </w:font>
  <w:font w:name="Droid Serif">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Hindi" w:eastAsia="DejaVu Sans" w:hAnsi="Liberation Serif"/>
      <w:color w:val="auto"/>
      <w:sz w:val="24"/>
      <w:szCs w:val="24"/>
      <w:lang w:bidi="hi-IN" w:eastAsia="zh-CN" w:val="fr-FR"/>
    </w:rPr>
  </w:style>
  <w:style w:styleId="style1" w:type="paragraph">
    <w:name w:val="Heading 1"/>
    <w:basedOn w:val="style0"/>
    <w:next w:val="style1"/>
    <w:pPr>
      <w:pageBreakBefore w:val="false"/>
      <w:spacing w:after="0" w:before="200" w:line="360" w:lineRule="auto"/>
      <w:contextualSpacing w:val="false"/>
    </w:pPr>
    <w:rPr>
      <w:rFonts w:ascii="Liberation Sans" w:cs="Trebuchet MS" w:eastAsia="Trebuchet MS" w:hAnsi="Liberation Sans"/>
      <w:b/>
      <w:sz w:val="32"/>
      <w:szCs w:val="32"/>
    </w:rPr>
  </w:style>
  <w:style w:styleId="style2" w:type="paragraph">
    <w:name w:val="Heading 2"/>
    <w:basedOn w:val="style0"/>
    <w:next w:val="style2"/>
    <w:pPr>
      <w:pageBreakBefore w:val="false"/>
      <w:spacing w:after="0" w:before="200" w:line="360" w:lineRule="auto"/>
      <w:ind w:hanging="0" w:left="0" w:right="0"/>
      <w:contextualSpacing w:val="false"/>
    </w:pPr>
    <w:rPr>
      <w:rFonts w:ascii="Liberation Sans" w:cs="Trebuchet MS" w:eastAsia="Trebuchet MS" w:hAnsi="Liberation Sans"/>
      <w:b/>
      <w:bCs/>
      <w:sz w:val="24"/>
      <w:szCs w:val="26"/>
    </w:rPr>
  </w:style>
  <w:style w:styleId="style15" w:type="character">
    <w:name w:val="Article - Figure"/>
    <w:next w:val="style15"/>
    <w:rPr>
      <w:rFonts w:cs="Droid Serif" w:eastAsia="Droid Serif"/>
      <w:b w:val="false"/>
      <w:bCs w:val="false"/>
      <w:i w:val="false"/>
      <w:iCs w:val="false"/>
      <w:strike w:val="false"/>
      <w:dstrike w:val="false"/>
      <w:color w:val="000000"/>
      <w:sz w:val="24"/>
      <w:szCs w:val="24"/>
      <w:u w:val="none"/>
      <w:shd w:fill="99CC66" w:val="clear"/>
    </w:rPr>
  </w:style>
  <w:style w:styleId="style16" w:type="character">
    <w:name w:val="Article - Supplemental Figure"/>
    <w:next w:val="style16"/>
    <w:rPr>
      <w:rFonts w:cs="Droid Serif" w:eastAsia="Droid Serif"/>
      <w:b w:val="false"/>
      <w:bCs w:val="false"/>
      <w:i w:val="false"/>
      <w:iCs w:val="false"/>
      <w:strike w:val="false"/>
      <w:dstrike w:val="false"/>
      <w:color w:val="000000"/>
      <w:sz w:val="24"/>
      <w:szCs w:val="24"/>
      <w:u w:val="none"/>
      <w:shd w:fill="669999" w:val="clear"/>
    </w:rPr>
  </w:style>
  <w:style w:styleId="style17" w:type="character">
    <w:name w:val="Article - Gene Name"/>
    <w:next w:val="style17"/>
    <w:rPr>
      <w:rFonts w:cs="Droid Serif" w:eastAsia="Droid Serif"/>
      <w:b w:val="false"/>
      <w:bCs w:val="false"/>
      <w:i/>
      <w:iCs/>
      <w:caps w:val="false"/>
      <w:smallCaps w:val="false"/>
      <w:strike w:val="false"/>
      <w:dstrike w:val="false"/>
      <w:color w:val="000000"/>
      <w:sz w:val="24"/>
      <w:szCs w:val="24"/>
      <w:u w:val="none"/>
      <w:shd w:fill="auto" w:val="clear"/>
    </w:rPr>
  </w:style>
  <w:style w:styleId="style18" w:type="character">
    <w:name w:val="Article - Product"/>
    <w:next w:val="style18"/>
    <w:rPr>
      <w:rFonts w:cs="Droid Serif" w:eastAsia="Droid Serif"/>
      <w:b w:val="false"/>
      <w:bCs w:val="false"/>
      <w:i w:val="false"/>
      <w:iCs w:val="false"/>
      <w:strike w:val="false"/>
      <w:dstrike w:val="false"/>
      <w:color w:val="000000"/>
      <w:sz w:val="24"/>
      <w:szCs w:val="24"/>
      <w:u w:val="none"/>
      <w:shd w:fill="FF99CC" w:val="clear"/>
    </w:rPr>
  </w:style>
  <w:style w:styleId="style19" w:type="character">
    <w:name w:val="Internet Link"/>
    <w:next w:val="style19"/>
    <w:rPr>
      <w:color w:val="000080"/>
      <w:u w:val="single"/>
      <w:lang w:bidi="zxx-" w:eastAsia="zxx-" w:val="zxx-"/>
    </w:rPr>
  </w:style>
  <w:style w:styleId="style20" w:type="character">
    <w:name w:val="Article - Figure number"/>
    <w:next w:val="style20"/>
    <w:rPr>
      <w:rFonts w:ascii="Liberation Sans" w:hAnsi="Liberation Sans"/>
    </w:rPr>
  </w:style>
  <w:style w:styleId="style21" w:type="character">
    <w:name w:val="Article - Figure title"/>
    <w:next w:val="style21"/>
    <w:rPr>
      <w:rFonts w:ascii="Liberation Sans" w:hAnsi="Liberation Sans"/>
      <w:b/>
      <w:bCs/>
    </w:rPr>
  </w:style>
  <w:style w:styleId="style22" w:type="character">
    <w:name w:val="Article - Figure body"/>
    <w:next w:val="style22"/>
    <w:rPr>
      <w:rFonts w:ascii="Liberation Serif" w:hAnsi="Liberation Serif"/>
    </w:rPr>
  </w:style>
  <w:style w:styleId="style23" w:type="character">
    <w:name w:val="MISSING REFERENCE"/>
    <w:basedOn w:val="style25"/>
    <w:next w:val="style23"/>
    <w:rPr>
      <w:shd w:fill="FF00FF" w:val="clear"/>
    </w:rPr>
  </w:style>
  <w:style w:styleId="style24" w:type="character">
    <w:name w:val="Teletype"/>
    <w:next w:val="style24"/>
    <w:rPr>
      <w:rFonts w:ascii="DejaVu Sans Mono" w:cs="DejaVu Sans Mono" w:eastAsia="DejaVu Sans Mono" w:hAnsi="DejaVu Sans Mono"/>
    </w:rPr>
  </w:style>
  <w:style w:styleId="style25" w:type="character">
    <w:name w:val="Source Text"/>
    <w:next w:val="style25"/>
    <w:rPr>
      <w:rFonts w:ascii="DejaVu Sans Mono" w:cs="DejaVu Sans Mono" w:eastAsia="DejaVu Sans Mono" w:hAnsi="DejaVu Sans Mono"/>
    </w:rPr>
  </w:style>
  <w:style w:styleId="style26" w:type="character">
    <w:name w:val="bibus_cit_base"/>
    <w:next w:val="style26"/>
    <w:rPr>
      <w:position w:val="0"/>
      <w:sz w:val="24"/>
      <w:vertAlign w:val="baseline"/>
    </w:rPr>
  </w:style>
  <w:style w:styleId="style27" w:type="character">
    <w:name w:val="bibus_index_base"/>
    <w:next w:val="style27"/>
    <w:rPr>
      <w:position w:val="0"/>
      <w:sz w:val="24"/>
      <w:vertAlign w:val="baseline"/>
    </w:rPr>
  </w:style>
  <w:style w:styleId="style28" w:type="character">
    <w:name w:val="bibus_index_basei"/>
    <w:basedOn w:val="style27"/>
    <w:next w:val="style28"/>
    <w:rPr>
      <w:i/>
      <w:position w:val="0"/>
      <w:sz w:val="24"/>
      <w:vertAlign w:val="baseline"/>
    </w:rPr>
  </w:style>
  <w:style w:styleId="style29" w:type="character">
    <w:name w:val="bibus_index_baseb"/>
    <w:basedOn w:val="style27"/>
    <w:next w:val="style29"/>
    <w:rPr>
      <w:b/>
      <w:position w:val="0"/>
      <w:sz w:val="24"/>
      <w:vertAlign w:val="baseline"/>
    </w:rPr>
  </w:style>
  <w:style w:styleId="style30" w:type="paragraph">
    <w:name w:val="Heading"/>
    <w:basedOn w:val="style0"/>
    <w:next w:val="style31"/>
    <w:pPr>
      <w:keepNext/>
      <w:spacing w:after="120" w:before="240"/>
      <w:contextualSpacing w:val="false"/>
    </w:pPr>
    <w:rPr>
      <w:rFonts w:ascii="Liberation Sans" w:cs="Lohit Hindi" w:eastAsia="DejaVu Sans" w:hAnsi="Liberation Sans"/>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Object with arrow"/>
    <w:basedOn w:val="style0"/>
    <w:next w:val="style35"/>
    <w:pPr/>
    <w:rPr/>
  </w:style>
  <w:style w:styleId="style36" w:type="paragraph">
    <w:name w:val="Object with shadow"/>
    <w:basedOn w:val="style0"/>
    <w:next w:val="style36"/>
    <w:pPr/>
    <w:rPr/>
  </w:style>
  <w:style w:styleId="style37" w:type="paragraph">
    <w:name w:val="Object without fill"/>
    <w:basedOn w:val="style0"/>
    <w:next w:val="style37"/>
    <w:pPr/>
    <w:rPr/>
  </w:style>
  <w:style w:styleId="style38" w:type="paragraph">
    <w:name w:val="Text"/>
    <w:basedOn w:val="style33"/>
    <w:next w:val="style38"/>
    <w:pPr/>
    <w:rPr/>
  </w:style>
  <w:style w:styleId="style39" w:type="paragraph">
    <w:name w:val="Text body justified"/>
    <w:basedOn w:val="style0"/>
    <w:next w:val="style39"/>
    <w:pPr>
      <w:jc w:val="left"/>
    </w:pPr>
    <w:rPr/>
  </w:style>
  <w:style w:styleId="style40" w:type="paragraph">
    <w:name w:val="First Line Indent"/>
    <w:basedOn w:val="style31"/>
    <w:next w:val="style40"/>
    <w:pPr>
      <w:spacing w:after="0" w:before="0"/>
      <w:ind w:firstLine="283" w:left="0" w:right="0"/>
      <w:contextualSpacing w:val="false"/>
    </w:pPr>
    <w:rPr/>
  </w:style>
  <w:style w:styleId="style41" w:type="paragraph">
    <w:name w:val="Title1"/>
    <w:basedOn w:val="style0"/>
    <w:next w:val="style41"/>
    <w:pPr>
      <w:jc w:val="center"/>
    </w:pPr>
    <w:rPr/>
  </w:style>
  <w:style w:styleId="style42" w:type="paragraph">
    <w:name w:val="Title2"/>
    <w:basedOn w:val="style0"/>
    <w:next w:val="style42"/>
    <w:pPr>
      <w:spacing w:after="57" w:before="57"/>
      <w:ind w:hanging="0" w:left="0" w:right="113"/>
      <w:contextualSpacing w:val="false"/>
      <w:jc w:val="center"/>
    </w:pPr>
    <w:rPr/>
  </w:style>
  <w:style w:styleId="style43" w:type="paragraph">
    <w:name w:val="WW-Heading"/>
    <w:basedOn w:val="style0"/>
    <w:next w:val="style43"/>
    <w:pPr>
      <w:spacing w:after="119" w:before="238"/>
      <w:contextualSpacing w:val="false"/>
    </w:pPr>
    <w:rPr/>
  </w:style>
  <w:style w:styleId="style44" w:type="paragraph">
    <w:name w:val="Heading1"/>
    <w:basedOn w:val="style0"/>
    <w:next w:val="style44"/>
    <w:pPr>
      <w:spacing w:after="119" w:before="238"/>
      <w:contextualSpacing w:val="false"/>
    </w:pPr>
    <w:rPr/>
  </w:style>
  <w:style w:styleId="style45" w:type="paragraph">
    <w:name w:val="Heading2"/>
    <w:basedOn w:val="style0"/>
    <w:next w:val="style45"/>
    <w:pPr>
      <w:spacing w:after="119" w:before="238"/>
      <w:contextualSpacing w:val="false"/>
    </w:pPr>
    <w:rPr/>
  </w:style>
  <w:style w:styleId="style46" w:type="paragraph">
    <w:name w:val="Dimension Line"/>
    <w:basedOn w:val="style0"/>
    <w:next w:val="style46"/>
    <w:pPr/>
    <w:rPr/>
  </w:style>
  <w:style w:styleId="style47" w:type="paragraph">
    <w:name w:val="Default~LT~Gliederung 1"/>
    <w:next w:val="style47"/>
    <w:pPr>
      <w:widowControl w:val="false"/>
      <w:suppressAutoHyphens w:val="true"/>
      <w:kinsoku w:val="true"/>
      <w:overflowPunct w:val="true"/>
      <w:autoSpaceDE w:val="false"/>
      <w:spacing w:after="283" w:before="0"/>
      <w:contextualSpacing w:val="false"/>
    </w:pPr>
    <w:rPr>
      <w:rFonts w:ascii="Lohit Hindi" w:cs="Lohit Hindi" w:eastAsia="Lohit Hindi" w:hAnsi="Lohit Hindi"/>
      <w:b w:val="false"/>
      <w:bCs w:val="false"/>
      <w:i w:val="false"/>
      <w:iCs w:val="false"/>
      <w:strike w:val="false"/>
      <w:dstrike w:val="false"/>
      <w:outline w:val="false"/>
      <w:shadow w:val="false"/>
      <w:color w:val="auto"/>
      <w:sz w:val="63"/>
      <w:szCs w:val="63"/>
      <w:u w:val="none"/>
      <w:em w:val="none"/>
      <w:lang w:bidi="hi-IN" w:eastAsia="zh-CN" w:val="fr-FR"/>
    </w:rPr>
  </w:style>
  <w:style w:styleId="style48" w:type="paragraph">
    <w:name w:val="Default~LT~Gliederung 2"/>
    <w:basedOn w:val="style47"/>
    <w:next w:val="style48"/>
    <w:pPr>
      <w:spacing w:after="227" w:before="0"/>
      <w:contextualSpacing w:val="false"/>
    </w:pPr>
    <w:rPr>
      <w:sz w:val="56"/>
      <w:szCs w:val="56"/>
    </w:rPr>
  </w:style>
  <w:style w:styleId="style49" w:type="paragraph">
    <w:name w:val="Default~LT~Gliederung 3"/>
    <w:basedOn w:val="style48"/>
    <w:next w:val="style49"/>
    <w:pPr>
      <w:spacing w:after="170" w:before="0"/>
      <w:contextualSpacing w:val="false"/>
    </w:pPr>
    <w:rPr>
      <w:sz w:val="48"/>
      <w:szCs w:val="48"/>
    </w:rPr>
  </w:style>
  <w:style w:styleId="style50" w:type="paragraph">
    <w:name w:val="Default~LT~Gliederung 4"/>
    <w:basedOn w:val="style49"/>
    <w:next w:val="style50"/>
    <w:pPr>
      <w:spacing w:after="113" w:before="0"/>
      <w:contextualSpacing w:val="false"/>
    </w:pPr>
    <w:rPr>
      <w:sz w:val="40"/>
      <w:szCs w:val="40"/>
    </w:rPr>
  </w:style>
  <w:style w:styleId="style51" w:type="paragraph">
    <w:name w:val="Default~LT~Gliederung 5"/>
    <w:basedOn w:val="style50"/>
    <w:next w:val="style51"/>
    <w:pPr>
      <w:spacing w:after="57" w:before="0"/>
      <w:contextualSpacing w:val="false"/>
    </w:pPr>
    <w:rPr/>
  </w:style>
  <w:style w:styleId="style52" w:type="paragraph">
    <w:name w:val="Default~LT~Gliederung 6"/>
    <w:basedOn w:val="style51"/>
    <w:next w:val="style52"/>
    <w:pPr/>
    <w:rPr/>
  </w:style>
  <w:style w:styleId="style53" w:type="paragraph">
    <w:name w:val="Default~LT~Gliederung 7"/>
    <w:basedOn w:val="style52"/>
    <w:next w:val="style53"/>
    <w:pPr/>
    <w:rPr/>
  </w:style>
  <w:style w:styleId="style54" w:type="paragraph">
    <w:name w:val="Default~LT~Gliederung 8"/>
    <w:basedOn w:val="style53"/>
    <w:next w:val="style54"/>
    <w:pPr/>
    <w:rPr/>
  </w:style>
  <w:style w:styleId="style55" w:type="paragraph">
    <w:name w:val="Default~LT~Gliederung 9"/>
    <w:basedOn w:val="style54"/>
    <w:next w:val="style55"/>
    <w:pPr/>
    <w:rPr/>
  </w:style>
  <w:style w:styleId="style56" w:type="paragraph">
    <w:name w:val="Default~LT~Titel"/>
    <w:next w:val="style56"/>
    <w:pPr>
      <w:widowControl w:val="false"/>
      <w:suppressAutoHyphens w:val="true"/>
      <w:kinsoku w:val="true"/>
      <w:overflowPunct w:val="true"/>
      <w:autoSpaceDE w:val="false"/>
      <w:jc w:val="center"/>
    </w:pPr>
    <w:rPr>
      <w:rFonts w:ascii="Lohit Hindi" w:cs="Lohit Hindi" w:eastAsia="Lohit Hindi" w:hAnsi="Lohit Hindi"/>
      <w:b w:val="false"/>
      <w:bCs w:val="false"/>
      <w:i w:val="false"/>
      <w:iCs w:val="false"/>
      <w:strike w:val="false"/>
      <w:dstrike w:val="false"/>
      <w:outline w:val="false"/>
      <w:shadow w:val="false"/>
      <w:color w:val="auto"/>
      <w:sz w:val="88"/>
      <w:szCs w:val="88"/>
      <w:u w:val="none"/>
      <w:em w:val="none"/>
      <w:lang w:bidi="hi-IN" w:eastAsia="zh-CN" w:val="fr-FR"/>
    </w:rPr>
  </w:style>
  <w:style w:styleId="style57" w:type="paragraph">
    <w:name w:val="Default~LT~Untertitel"/>
    <w:next w:val="style57"/>
    <w:pPr>
      <w:widowControl w:val="false"/>
      <w:suppressAutoHyphens w:val="true"/>
      <w:kinsoku w:val="true"/>
      <w:overflowPunct w:val="true"/>
      <w:autoSpaceDE w:val="false"/>
      <w:spacing w:after="0" w:before="0"/>
      <w:ind w:hanging="0" w:left="0" w:right="0"/>
      <w:contextualSpacing w:val="false"/>
      <w:jc w:val="center"/>
    </w:pPr>
    <w:rPr>
      <w:rFonts w:ascii="Lohit Hindi" w:cs="Lohit Hindi" w:eastAsia="Lohit Hindi" w:hAnsi="Lohit Hindi"/>
      <w:b w:val="false"/>
      <w:bCs w:val="false"/>
      <w:i w:val="false"/>
      <w:iCs w:val="false"/>
      <w:strike w:val="false"/>
      <w:dstrike w:val="false"/>
      <w:outline w:val="false"/>
      <w:shadow w:val="false"/>
      <w:color w:val="auto"/>
      <w:sz w:val="64"/>
      <w:szCs w:val="64"/>
      <w:u w:val="none"/>
      <w:em w:val="none"/>
      <w:lang w:bidi="hi-IN" w:eastAsia="zh-CN" w:val="fr-FR"/>
    </w:rPr>
  </w:style>
  <w:style w:styleId="style58" w:type="paragraph">
    <w:name w:val="Default~LT~Notizen"/>
    <w:next w:val="style58"/>
    <w:pPr>
      <w:widowControl w:val="false"/>
      <w:suppressAutoHyphens w:val="true"/>
      <w:kinsoku w:val="true"/>
      <w:overflowPunct w:val="true"/>
      <w:autoSpaceDE w:val="false"/>
      <w:spacing w:after="0" w:before="0"/>
      <w:ind w:hanging="340" w:left="340" w:right="0"/>
      <w:contextualSpacing w:val="false"/>
    </w:pPr>
    <w:rPr>
      <w:rFonts w:ascii="Lohit Hindi" w:cs="Lohit Hindi" w:eastAsia="Lohit Hindi" w:hAnsi="Lohit Hindi"/>
      <w:b w:val="false"/>
      <w:bCs w:val="false"/>
      <w:i w:val="false"/>
      <w:iCs w:val="false"/>
      <w:strike w:val="false"/>
      <w:dstrike w:val="false"/>
      <w:outline w:val="false"/>
      <w:shadow w:val="false"/>
      <w:color w:val="auto"/>
      <w:sz w:val="40"/>
      <w:szCs w:val="40"/>
      <w:u w:val="none"/>
      <w:em w:val="none"/>
      <w:lang w:bidi="hi-IN" w:eastAsia="zh-CN" w:val="fr-FR"/>
    </w:rPr>
  </w:style>
  <w:style w:styleId="style59" w:type="paragraph">
    <w:name w:val="Default~LT~Hintergrundobjekte"/>
    <w:next w:val="style59"/>
    <w:pPr>
      <w:widowControl w:val="false"/>
      <w:suppressAutoHyphens w:val="true"/>
      <w:kinsoku w:val="true"/>
      <w:overflowPunct w:val="true"/>
      <w:autoSpaceDE w:val="false"/>
    </w:pPr>
    <w:rPr>
      <w:rFonts w:ascii="Liberation Serif" w:cs="Lohit Hindi" w:eastAsia="DejaVu Sans" w:hAnsi="Liberation Serif"/>
      <w:color w:val="auto"/>
      <w:sz w:val="24"/>
      <w:szCs w:val="24"/>
      <w:lang w:bidi="hi-IN" w:eastAsia="zh-CN" w:val="fr-FR"/>
    </w:rPr>
  </w:style>
  <w:style w:styleId="style60" w:type="paragraph">
    <w:name w:val="Default~LT~Hintergrund"/>
    <w:next w:val="style60"/>
    <w:pPr>
      <w:widowControl w:val="false"/>
      <w:suppressAutoHyphens w:val="true"/>
      <w:kinsoku w:val="true"/>
      <w:overflowPunct w:val="true"/>
      <w:autoSpaceDE w:val="false"/>
    </w:pPr>
    <w:rPr>
      <w:rFonts w:ascii="Liberation Serif" w:cs="Lohit Hindi" w:eastAsia="DejaVu Sans" w:hAnsi="Liberation Serif"/>
      <w:color w:val="auto"/>
      <w:sz w:val="24"/>
      <w:szCs w:val="24"/>
      <w:lang w:bidi="hi-IN" w:eastAsia="zh-CN" w:val="fr-FR"/>
    </w:rPr>
  </w:style>
  <w:style w:styleId="style61" w:type="paragraph">
    <w:name w:val="default"/>
    <w:next w:val="style61"/>
    <w:pPr>
      <w:widowControl w:val="false"/>
      <w:suppressAutoHyphens w:val="true"/>
      <w:kinsoku w:val="true"/>
      <w:overflowPunct w:val="true"/>
      <w:autoSpaceDE w:val="false"/>
      <w:spacing w:after="0" w:before="0" w:line="200" w:lineRule="atLeast"/>
      <w:ind w:hanging="0" w:left="0" w:right="0"/>
      <w:contextualSpacing w:val="false"/>
    </w:pPr>
    <w:rPr>
      <w:rFonts w:ascii="Lohit Hindi" w:cs="Lohit Hindi" w:eastAsia="Lohit Hindi" w:hAnsi="Lohit Hindi"/>
      <w:color w:val="auto"/>
      <w:sz w:val="36"/>
      <w:szCs w:val="36"/>
      <w:lang w:bidi="hi-IN" w:eastAsia="zh-CN" w:val="fr-FR"/>
    </w:rPr>
  </w:style>
  <w:style w:styleId="style62" w:type="paragraph">
    <w:name w:val="gray1"/>
    <w:basedOn w:val="style61"/>
    <w:next w:val="style62"/>
    <w:pPr/>
    <w:rPr/>
  </w:style>
  <w:style w:styleId="style63" w:type="paragraph">
    <w:name w:val="gray2"/>
    <w:basedOn w:val="style61"/>
    <w:next w:val="style63"/>
    <w:pPr/>
    <w:rPr/>
  </w:style>
  <w:style w:styleId="style64" w:type="paragraph">
    <w:name w:val="gray3"/>
    <w:basedOn w:val="style61"/>
    <w:next w:val="style64"/>
    <w:pPr/>
    <w:rPr/>
  </w:style>
  <w:style w:styleId="style65" w:type="paragraph">
    <w:name w:val="bw1"/>
    <w:basedOn w:val="style61"/>
    <w:next w:val="style65"/>
    <w:pPr/>
    <w:rPr/>
  </w:style>
  <w:style w:styleId="style66" w:type="paragraph">
    <w:name w:val="bw2"/>
    <w:basedOn w:val="style61"/>
    <w:next w:val="style66"/>
    <w:pPr/>
    <w:rPr/>
  </w:style>
  <w:style w:styleId="style67" w:type="paragraph">
    <w:name w:val="bw3"/>
    <w:basedOn w:val="style61"/>
    <w:next w:val="style67"/>
    <w:pPr/>
    <w:rPr/>
  </w:style>
  <w:style w:styleId="style68" w:type="paragraph">
    <w:name w:val="orange1"/>
    <w:basedOn w:val="style61"/>
    <w:next w:val="style68"/>
    <w:pPr/>
    <w:rPr/>
  </w:style>
  <w:style w:styleId="style69" w:type="paragraph">
    <w:name w:val="orange2"/>
    <w:basedOn w:val="style61"/>
    <w:next w:val="style69"/>
    <w:pPr/>
    <w:rPr/>
  </w:style>
  <w:style w:styleId="style70" w:type="paragraph">
    <w:name w:val="orange3"/>
    <w:basedOn w:val="style61"/>
    <w:next w:val="style70"/>
    <w:pPr/>
    <w:rPr/>
  </w:style>
  <w:style w:styleId="style71" w:type="paragraph">
    <w:name w:val="turquise1"/>
    <w:basedOn w:val="style61"/>
    <w:next w:val="style71"/>
    <w:pPr/>
    <w:rPr/>
  </w:style>
  <w:style w:styleId="style72" w:type="paragraph">
    <w:name w:val="turquise2"/>
    <w:basedOn w:val="style61"/>
    <w:next w:val="style72"/>
    <w:pPr/>
    <w:rPr/>
  </w:style>
  <w:style w:styleId="style73" w:type="paragraph">
    <w:name w:val="turquise3"/>
    <w:basedOn w:val="style61"/>
    <w:next w:val="style73"/>
    <w:pPr/>
    <w:rPr/>
  </w:style>
  <w:style w:styleId="style74" w:type="paragraph">
    <w:name w:val="blue1"/>
    <w:basedOn w:val="style61"/>
    <w:next w:val="style74"/>
    <w:pPr/>
    <w:rPr/>
  </w:style>
  <w:style w:styleId="style75" w:type="paragraph">
    <w:name w:val="blue2"/>
    <w:basedOn w:val="style61"/>
    <w:next w:val="style75"/>
    <w:pPr/>
    <w:rPr/>
  </w:style>
  <w:style w:styleId="style76" w:type="paragraph">
    <w:name w:val="blue3"/>
    <w:basedOn w:val="style61"/>
    <w:next w:val="style76"/>
    <w:pPr/>
    <w:rPr/>
  </w:style>
  <w:style w:styleId="style77" w:type="paragraph">
    <w:name w:val="sun1"/>
    <w:basedOn w:val="style61"/>
    <w:next w:val="style77"/>
    <w:pPr/>
    <w:rPr/>
  </w:style>
  <w:style w:styleId="style78" w:type="paragraph">
    <w:name w:val="sun2"/>
    <w:basedOn w:val="style61"/>
    <w:next w:val="style78"/>
    <w:pPr/>
    <w:rPr/>
  </w:style>
  <w:style w:styleId="style79" w:type="paragraph">
    <w:name w:val="sun3"/>
    <w:basedOn w:val="style61"/>
    <w:next w:val="style79"/>
    <w:pPr/>
    <w:rPr/>
  </w:style>
  <w:style w:styleId="style80" w:type="paragraph">
    <w:name w:val="earth1"/>
    <w:basedOn w:val="style61"/>
    <w:next w:val="style80"/>
    <w:pPr/>
    <w:rPr/>
  </w:style>
  <w:style w:styleId="style81" w:type="paragraph">
    <w:name w:val="earth2"/>
    <w:basedOn w:val="style61"/>
    <w:next w:val="style81"/>
    <w:pPr/>
    <w:rPr/>
  </w:style>
  <w:style w:styleId="style82" w:type="paragraph">
    <w:name w:val="earth3"/>
    <w:basedOn w:val="style61"/>
    <w:next w:val="style82"/>
    <w:pPr/>
    <w:rPr/>
  </w:style>
  <w:style w:styleId="style83" w:type="paragraph">
    <w:name w:val="green1"/>
    <w:basedOn w:val="style61"/>
    <w:next w:val="style83"/>
    <w:pPr/>
    <w:rPr/>
  </w:style>
  <w:style w:styleId="style84" w:type="paragraph">
    <w:name w:val="green2"/>
    <w:basedOn w:val="style61"/>
    <w:next w:val="style84"/>
    <w:pPr/>
    <w:rPr/>
  </w:style>
  <w:style w:styleId="style85" w:type="paragraph">
    <w:name w:val="green3"/>
    <w:basedOn w:val="style61"/>
    <w:next w:val="style85"/>
    <w:pPr/>
    <w:rPr/>
  </w:style>
  <w:style w:styleId="style86" w:type="paragraph">
    <w:name w:val="seetang1"/>
    <w:basedOn w:val="style61"/>
    <w:next w:val="style86"/>
    <w:pPr/>
    <w:rPr/>
  </w:style>
  <w:style w:styleId="style87" w:type="paragraph">
    <w:name w:val="seetang2"/>
    <w:basedOn w:val="style61"/>
    <w:next w:val="style87"/>
    <w:pPr/>
    <w:rPr/>
  </w:style>
  <w:style w:styleId="style88" w:type="paragraph">
    <w:name w:val="seetang3"/>
    <w:basedOn w:val="style61"/>
    <w:next w:val="style88"/>
    <w:pPr/>
    <w:rPr/>
  </w:style>
  <w:style w:styleId="style89" w:type="paragraph">
    <w:name w:val="lightblue1"/>
    <w:basedOn w:val="style61"/>
    <w:next w:val="style89"/>
    <w:pPr/>
    <w:rPr/>
  </w:style>
  <w:style w:styleId="style90" w:type="paragraph">
    <w:name w:val="lightblue2"/>
    <w:basedOn w:val="style61"/>
    <w:next w:val="style90"/>
    <w:pPr/>
    <w:rPr/>
  </w:style>
  <w:style w:styleId="style91" w:type="paragraph">
    <w:name w:val="lightblue3"/>
    <w:basedOn w:val="style61"/>
    <w:next w:val="style91"/>
    <w:pPr/>
    <w:rPr/>
  </w:style>
  <w:style w:styleId="style92" w:type="paragraph">
    <w:name w:val="yellow1"/>
    <w:basedOn w:val="style61"/>
    <w:next w:val="style92"/>
    <w:pPr/>
    <w:rPr/>
  </w:style>
  <w:style w:styleId="style93" w:type="paragraph">
    <w:name w:val="yellow2"/>
    <w:basedOn w:val="style61"/>
    <w:next w:val="style93"/>
    <w:pPr/>
    <w:rPr/>
  </w:style>
  <w:style w:styleId="style94" w:type="paragraph">
    <w:name w:val="yellow3"/>
    <w:basedOn w:val="style61"/>
    <w:next w:val="style94"/>
    <w:pPr/>
    <w:rPr/>
  </w:style>
  <w:style w:styleId="style95" w:type="paragraph">
    <w:name w:val="Title"/>
    <w:basedOn w:val="style30"/>
    <w:next w:val="style96"/>
    <w:pPr>
      <w:jc w:val="center"/>
    </w:pPr>
    <w:rPr>
      <w:b/>
      <w:bCs/>
      <w:sz w:val="36"/>
      <w:szCs w:val="36"/>
    </w:rPr>
  </w:style>
  <w:style w:styleId="style96" w:type="paragraph">
    <w:name w:val="Subtitle"/>
    <w:basedOn w:val="style30"/>
    <w:next w:val="style31"/>
    <w:pPr>
      <w:jc w:val="center"/>
    </w:pPr>
    <w:rPr>
      <w:i/>
      <w:iCs/>
      <w:sz w:val="28"/>
      <w:szCs w:val="28"/>
    </w:rPr>
  </w:style>
  <w:style w:styleId="style97" w:type="paragraph">
    <w:name w:val="Background objects"/>
    <w:next w:val="style97"/>
    <w:pPr>
      <w:widowControl w:val="false"/>
      <w:suppressAutoHyphens w:val="true"/>
      <w:kinsoku w:val="true"/>
      <w:overflowPunct w:val="true"/>
      <w:autoSpaceDE w:val="false"/>
    </w:pPr>
    <w:rPr>
      <w:rFonts w:ascii="Liberation Serif" w:cs="Lohit Hindi" w:eastAsia="DejaVu Sans" w:hAnsi="Liberation Serif"/>
      <w:color w:val="auto"/>
      <w:sz w:val="24"/>
      <w:szCs w:val="24"/>
      <w:lang w:bidi="hi-IN" w:eastAsia="zh-CN" w:val="fr-FR"/>
    </w:rPr>
  </w:style>
  <w:style w:styleId="style98" w:type="paragraph">
    <w:name w:val="Background"/>
    <w:next w:val="style98"/>
    <w:pPr>
      <w:widowControl w:val="false"/>
      <w:suppressAutoHyphens w:val="true"/>
      <w:kinsoku w:val="true"/>
      <w:overflowPunct w:val="true"/>
      <w:autoSpaceDE w:val="false"/>
    </w:pPr>
    <w:rPr>
      <w:rFonts w:ascii="Liberation Serif" w:cs="Lohit Hindi" w:eastAsia="DejaVu Sans" w:hAnsi="Liberation Serif"/>
      <w:color w:val="auto"/>
      <w:sz w:val="24"/>
      <w:szCs w:val="24"/>
      <w:lang w:bidi="hi-IN" w:eastAsia="zh-CN" w:val="fr-FR"/>
    </w:rPr>
  </w:style>
  <w:style w:styleId="style99" w:type="paragraph">
    <w:name w:val="Notes"/>
    <w:next w:val="style99"/>
    <w:pPr>
      <w:widowControl w:val="false"/>
      <w:suppressAutoHyphens w:val="true"/>
      <w:kinsoku w:val="true"/>
      <w:overflowPunct w:val="true"/>
      <w:autoSpaceDE w:val="false"/>
      <w:spacing w:after="0" w:before="0"/>
      <w:ind w:hanging="340" w:left="340" w:right="0"/>
      <w:contextualSpacing w:val="false"/>
    </w:pPr>
    <w:rPr>
      <w:rFonts w:ascii="Lohit Hindi" w:cs="Lohit Hindi" w:eastAsia="Lohit Hindi" w:hAnsi="Lohit Hindi"/>
      <w:b w:val="false"/>
      <w:bCs w:val="false"/>
      <w:i w:val="false"/>
      <w:iCs w:val="false"/>
      <w:strike w:val="false"/>
      <w:dstrike w:val="false"/>
      <w:outline w:val="false"/>
      <w:shadow w:val="false"/>
      <w:color w:val="auto"/>
      <w:sz w:val="40"/>
      <w:szCs w:val="40"/>
      <w:u w:val="none"/>
      <w:em w:val="none"/>
      <w:lang w:bidi="hi-IN" w:eastAsia="zh-CN" w:val="fr-FR"/>
    </w:rPr>
  </w:style>
  <w:style w:styleId="style100" w:type="paragraph">
    <w:name w:val="Outline 1"/>
    <w:next w:val="style100"/>
    <w:pPr>
      <w:widowControl w:val="false"/>
      <w:suppressAutoHyphens w:val="true"/>
      <w:kinsoku w:val="true"/>
      <w:overflowPunct w:val="true"/>
      <w:autoSpaceDE w:val="false"/>
      <w:spacing w:after="283" w:before="0"/>
      <w:contextualSpacing w:val="false"/>
    </w:pPr>
    <w:rPr>
      <w:rFonts w:ascii="Lohit Hindi" w:cs="Lohit Hindi" w:eastAsia="Lohit Hindi" w:hAnsi="Lohit Hindi"/>
      <w:b w:val="false"/>
      <w:bCs w:val="false"/>
      <w:i w:val="false"/>
      <w:iCs w:val="false"/>
      <w:strike w:val="false"/>
      <w:dstrike w:val="false"/>
      <w:outline w:val="false"/>
      <w:shadow w:val="false"/>
      <w:color w:val="auto"/>
      <w:sz w:val="63"/>
      <w:szCs w:val="63"/>
      <w:u w:val="none"/>
      <w:em w:val="none"/>
      <w:lang w:bidi="hi-IN" w:eastAsia="zh-CN" w:val="fr-FR"/>
    </w:rPr>
  </w:style>
  <w:style w:styleId="style101" w:type="paragraph">
    <w:name w:val="Outline 2"/>
    <w:basedOn w:val="style100"/>
    <w:next w:val="style101"/>
    <w:pPr>
      <w:spacing w:after="227" w:before="0"/>
      <w:contextualSpacing w:val="false"/>
    </w:pPr>
    <w:rPr>
      <w:sz w:val="56"/>
      <w:szCs w:val="56"/>
    </w:rPr>
  </w:style>
  <w:style w:styleId="style102" w:type="paragraph">
    <w:name w:val="Outline 3"/>
    <w:basedOn w:val="style101"/>
    <w:next w:val="style102"/>
    <w:pPr>
      <w:spacing w:after="170" w:before="0"/>
      <w:contextualSpacing w:val="false"/>
    </w:pPr>
    <w:rPr>
      <w:sz w:val="48"/>
      <w:szCs w:val="48"/>
    </w:rPr>
  </w:style>
  <w:style w:styleId="style103" w:type="paragraph">
    <w:name w:val="Outline 4"/>
    <w:basedOn w:val="style102"/>
    <w:next w:val="style103"/>
    <w:pPr>
      <w:spacing w:after="113" w:before="0"/>
      <w:contextualSpacing w:val="false"/>
    </w:pPr>
    <w:rPr>
      <w:sz w:val="40"/>
      <w:szCs w:val="40"/>
    </w:rPr>
  </w:style>
  <w:style w:styleId="style104" w:type="paragraph">
    <w:name w:val="Outline 5"/>
    <w:basedOn w:val="style103"/>
    <w:next w:val="style104"/>
    <w:pPr>
      <w:spacing w:after="57" w:before="0"/>
      <w:contextualSpacing w:val="false"/>
    </w:pPr>
    <w:rPr/>
  </w:style>
  <w:style w:styleId="style105" w:type="paragraph">
    <w:name w:val="Outline 6"/>
    <w:basedOn w:val="style104"/>
    <w:next w:val="style105"/>
    <w:pPr/>
    <w:rPr/>
  </w:style>
  <w:style w:styleId="style106" w:type="paragraph">
    <w:name w:val="Outline 7"/>
    <w:basedOn w:val="style105"/>
    <w:next w:val="style106"/>
    <w:pPr/>
    <w:rPr/>
  </w:style>
  <w:style w:styleId="style107" w:type="paragraph">
    <w:name w:val="Outline 8"/>
    <w:basedOn w:val="style106"/>
    <w:next w:val="style107"/>
    <w:pPr/>
    <w:rPr/>
  </w:style>
  <w:style w:styleId="style108" w:type="paragraph">
    <w:name w:val="Outline 9"/>
    <w:basedOn w:val="style107"/>
    <w:next w:val="style108"/>
    <w:pPr/>
    <w:rPr/>
  </w:style>
  <w:style w:styleId="style109" w:type="paragraph">
    <w:name w:val="Object with no fill and no line"/>
    <w:basedOn w:val="style0"/>
    <w:next w:val="style109"/>
    <w:pPr/>
    <w:rPr/>
  </w:style>
  <w:style w:styleId="style110" w:type="paragraph">
    <w:name w:val="WW-Heading1"/>
    <w:basedOn w:val="style0"/>
    <w:next w:val="style110"/>
    <w:pPr>
      <w:spacing w:after="119" w:before="238"/>
      <w:contextualSpacing w:val="false"/>
    </w:pPr>
    <w:rPr/>
  </w:style>
  <w:style w:styleId="style111" w:type="paragraph">
    <w:name w:val="WW-Heading12"/>
    <w:basedOn w:val="style0"/>
    <w:next w:val="style111"/>
    <w:pPr>
      <w:spacing w:after="119" w:before="238"/>
      <w:contextualSpacing w:val="false"/>
    </w:pPr>
    <w:rPr/>
  </w:style>
  <w:style w:styleId="style112" w:type="paragraph">
    <w:name w:val="WW-Heading123"/>
    <w:basedOn w:val="style0"/>
    <w:next w:val="style112"/>
    <w:pPr>
      <w:spacing w:after="119" w:before="238"/>
      <w:contextualSpacing w:val="false"/>
    </w:pPr>
    <w:rPr/>
  </w:style>
  <w:style w:styleId="style113" w:type="paragraph">
    <w:name w:val="Bibliography Heading"/>
    <w:basedOn w:val="style30"/>
    <w:next w:val="style113"/>
    <w:pPr>
      <w:suppressLineNumbers/>
      <w:spacing w:after="0" w:before="0"/>
      <w:ind w:hanging="0" w:left="0" w:right="0"/>
      <w:contextualSpacing w:val="false"/>
    </w:pPr>
    <w:rPr>
      <w:b/>
      <w:bCs/>
      <w:sz w:val="32"/>
      <w:szCs w:val="32"/>
    </w:rPr>
  </w:style>
  <w:style w:styleId="style114" w:type="paragraph">
    <w:name w:val="Bibliography 1"/>
    <w:basedOn w:val="style34"/>
    <w:next w:val="style114"/>
    <w:pPr>
      <w:tabs>
        <w:tab w:leader="dot" w:pos="9972" w:val="right"/>
      </w:tabs>
      <w:spacing w:after="0" w:before="0"/>
      <w:ind w:hanging="0" w:left="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informatics.babraham.ac.uk/projects/fastqc/" TargetMode="External"/><Relationship Id="rId3" Type="http://schemas.openxmlformats.org/officeDocument/2006/relationships/hyperlink" Target="http://www.bioinformatics.babraham.ac.uk/projects/fastqc/" TargetMode="External"/><Relationship Id="rId4" Type="http://schemas.openxmlformats.org/officeDocument/2006/relationships/hyperlink" Target="http://www.ncbi.nlm.nih.gov/gen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38794</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2014-03-21T09:19:42Z</dcterms:created>
  <dcterms:modified xsi:type="dcterms:W3CDTF">2014-04-07T18:56:23Z</dcterms:modified>
  <cp:revision>142</cp:revision>
  <dc:title>Paper_LS_NB_bib-formatted</dc:title>
</cp:coreProperties>
</file>