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Genesys call center integration with Digipass authentication </w:t>
      </w:r>
      <w:r>
        <w:rPr>
          <w:b/>
          <w:bCs/>
          <w:sz w:val="26"/>
          <w:szCs w:val="26"/>
        </w:rPr>
        <w:t xml:space="preserve">system </w:t>
      </w:r>
      <w:r>
        <w:rPr>
          <w:b/>
          <w:bCs/>
          <w:sz w:val="26"/>
          <w:szCs w:val="26"/>
        </w:rPr>
        <w:t>at SEB Latvia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Agris Klimkans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Adventus Solutions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May 2016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</w:t>
      </w:r>
      <w:r>
        <w:rPr/>
        <w:t>software component</w:t>
      </w:r>
      <w:r>
        <w:rPr/>
        <w:t xml:space="preserve"> has been written for integrating the Digipass authentication services in the Genesys contact center. It enables authentication of customers during phone calls. Status of the customer is </w:t>
      </w:r>
      <w:r>
        <w:rPr/>
        <w:t>shown</w:t>
      </w:r>
      <w:r>
        <w:rPr/>
        <w:t xml:space="preserve"> in the agent's Genesys Workspace Desktop Environment application.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software component is a web application, written in Java and deployed on Apache Tomcat server.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2.1. </w:t>
      </w:r>
      <w:r>
        <w:rPr>
          <w:b/>
          <w:bCs/>
        </w:rPr>
        <w:t>Authentication Workflow: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3895725</wp:posOffset>
                </wp:positionH>
                <wp:positionV relativeFrom="paragraph">
                  <wp:posOffset>153035</wp:posOffset>
                </wp:positionV>
                <wp:extent cx="1273175" cy="4940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272600" cy="493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SonicMQ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306.75pt;margin-top:12.05pt;width:100.15pt;height:38.8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SonicMQ</w:t>
                      </w:r>
                    </w:p>
                  </w:txbxContent>
                </v:textbox>
                <w10:wrap type="square"/>
                <v:fill color2="#8d6030" o:detectmouseclick="t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1921510</wp:posOffset>
                </wp:positionH>
                <wp:positionV relativeFrom="paragraph">
                  <wp:posOffset>144780</wp:posOffset>
                </wp:positionV>
                <wp:extent cx="1273175" cy="49403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1272600" cy="493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Adventus Solutions</w:t>
                            </w:r>
                            <w:r>
                              <w:rPr/>
                            </w:r>
                            <w:r>
                              <w:rPr/>
                              <w:t>Web application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1.3pt;margin-top:11.4pt;width:100.15pt;height:38.8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Adventus Solutions</w:t>
                      </w:r>
                      <w:r>
                        <w:rPr/>
                      </w:r>
                      <w:r>
                        <w:rPr/>
                        <w:t>Web application</w:t>
                      </w:r>
                    </w:p>
                  </w:txbxContent>
                </v:textbox>
                <w10:wrap type="square"/>
                <v:fill color2="#8d6030" o:detectmouseclick="t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1273175" cy="49403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1272600" cy="493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Genesys URS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0pt;margin-top:11.55pt;width:100.15pt;height:38.8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Genesys URS</w:t>
                      </w:r>
                    </w:p>
                  </w:txbxContent>
                </v:textbox>
                <w10:wrap type="square"/>
                <v:fill color2="#8d6030" o:detectmouseclick="t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1410335</wp:posOffset>
                </wp:positionH>
                <wp:positionV relativeFrom="paragraph">
                  <wp:posOffset>66675</wp:posOffset>
                </wp:positionV>
                <wp:extent cx="511810" cy="17653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</w:rPr>
                              <w:t>REST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11.05pt;margin-top:5.25pt;width:40.2pt;height:13.8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</w:rPr>
                        <w:t>REST</w:t>
                      </w:r>
                    </w:p>
                  </w:txbxContent>
                </v:textbox>
                <w10:wrap type="square"/>
                <v:fill on="false" o:detectmouseclick="t"/>
                <v:stroke color="black" startarrow="block" startarrowwidth="medium" start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3427730</wp:posOffset>
                </wp:positionH>
                <wp:positionV relativeFrom="paragraph">
                  <wp:posOffset>86360</wp:posOffset>
                </wp:positionV>
                <wp:extent cx="511175" cy="23431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23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JMS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9pt;margin-top:6.8pt;width:40.15pt;height:18.3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JMS</w:t>
                      </w:r>
                    </w:p>
                  </w:txbxContent>
                </v:textbox>
                <w10:wrap type="square"/>
                <v:fill on="false" o:detectmouseclick="t"/>
                <v:stroke color="black" startarrow="block" startarrowwidth="medium" startarrowlength="medium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1272540</wp:posOffset>
                </wp:positionH>
                <wp:positionV relativeFrom="paragraph">
                  <wp:posOffset>109855</wp:posOffset>
                </wp:positionV>
                <wp:extent cx="649605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2pt,8.65pt" to="151.25pt,8.65pt" stroked="t" style="position:absolute">
                <v:stroke color="#3465a4" startarrow="block" startarrowwidth="medium" startarrowlength="medium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3194050</wp:posOffset>
                </wp:positionH>
                <wp:positionV relativeFrom="paragraph">
                  <wp:posOffset>144780</wp:posOffset>
                </wp:positionV>
                <wp:extent cx="702310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5pt,11.4pt" to="306.7pt,11.4pt" stroked="t" style="position:absolute">
                <v:stroke color="#3465a4" startarrow="block" startarrowwidth="medium" startarrowlength="medium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1272540</wp:posOffset>
                </wp:positionH>
                <wp:positionV relativeFrom="paragraph">
                  <wp:posOffset>142240</wp:posOffset>
                </wp:positionV>
                <wp:extent cx="649605" cy="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9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2pt,11.2pt" to="151.25pt,11.2pt" stroked="t" style="position:absolute;flip:x">
                <v:stroke color="#3465a4" startarrow="block" startarrowwidth="medium" startarrowlength="medium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3194050</wp:posOffset>
                </wp:positionH>
                <wp:positionV relativeFrom="paragraph">
                  <wp:posOffset>14605</wp:posOffset>
                </wp:positionV>
                <wp:extent cx="702310" cy="889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164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5pt,0.85pt" to="306.7pt,1.45pt" stroked="t" style="position:absolute;flip:x">
                <v:stroke color="#3465a4" startarrow="block" startarrowwidth="medium" startarrowlength="medium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2.2. Tools/components:</w:t>
      </w:r>
    </w:p>
    <w:p>
      <w:pPr>
        <w:pStyle w:val="Normal"/>
        <w:rPr/>
      </w:pPr>
      <w:r>
        <w:rPr/>
        <w:t xml:space="preserve">Eclipse vMars.2 Release (4.5.2) </w:t>
      </w:r>
      <w:r>
        <w:rPr/>
        <w:t>with JAXB v1.0.200 plugin</w:t>
      </w:r>
    </w:p>
    <w:p>
      <w:pPr>
        <w:pStyle w:val="Normal"/>
        <w:rPr/>
      </w:pPr>
      <w:r>
        <w:rPr/>
        <w:t>Apache Maven v3.3.3</w:t>
      </w:r>
    </w:p>
    <w:p>
      <w:pPr>
        <w:pStyle w:val="Normal"/>
        <w:rPr/>
      </w:pPr>
      <w:r>
        <w:rPr/>
        <w:t>Apache Tomcat v9.0.0.M3</w:t>
      </w:r>
    </w:p>
    <w:p>
      <w:pPr>
        <w:pStyle w:val="Normal"/>
        <w:rPr/>
      </w:pPr>
      <w:r>
        <w:rPr/>
        <w:t xml:space="preserve">JDK </w:t>
      </w:r>
      <w:r>
        <w:rPr/>
        <w:t>v8u60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Installation and startup: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Copy the web application archive file (SEB_JMS_ORCHESTRA.war) to the Tomcat webapps folder. Restart Tomcat.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 Operation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4.1. Client query function: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Request from Genesys URS: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GetChallengeCodeByPersonalCode?id=01020311111&amp;connid=00a8027af2cd0fd0</w:t>
      </w:r>
    </w:p>
    <w:p>
      <w:pPr>
        <w:pStyle w:val="Normal"/>
        <w:rPr/>
      </w:pPr>
      <w:r>
        <w:rPr/>
        <w:t>where</w:t>
      </w:r>
    </w:p>
    <w:p>
      <w:pPr>
        <w:pStyle w:val="Normal"/>
        <w:rPr/>
      </w:pPr>
      <w:r>
        <w:rPr/>
        <w:t>id – personal code, connid – unique connection id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Responses: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Successful authentication: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customerId:I23317|username:I13317|idCode:010203-11111|firstName:JĀNIS|lastName:KALNIŅŠ|userPhoneNumber:12345678|challengeCode:8568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Nonexisting customer: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error:NO_MATCH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Multiple customers:</w:t>
      </w:r>
    </w:p>
    <w:p>
      <w:pPr>
        <w:pStyle w:val="Normal"/>
        <w:rPr/>
      </w:pPr>
      <w:r>
        <w:rPr/>
        <w:t>error:MULTIPLE_MATCH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Generic error:</w:t>
      </w:r>
    </w:p>
    <w:p>
      <w:pPr>
        <w:pStyle w:val="Normal"/>
        <w:rPr/>
      </w:pPr>
      <w:r>
        <w:rPr/>
        <w:t xml:space="preserve">error:&lt;error </w:t>
      </w:r>
      <w:r>
        <w:rPr/>
        <w:t>name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4.2. Authentication code verification function: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Request from Genesys URS:</w:t>
      </w:r>
    </w:p>
    <w:p>
      <w:pPr>
        <w:pStyle w:val="Normal"/>
        <w:rPr/>
      </w:pPr>
      <w:r>
        <w:rPr/>
        <w:t>CheckAuthenticationCode?digipasscode=123456&amp;username=I13317&amp;connid=00a8027af2cd0cd7</w:t>
      </w:r>
    </w:p>
    <w:p>
      <w:pPr>
        <w:pStyle w:val="Normal"/>
        <w:rPr/>
      </w:pPr>
      <w:r>
        <w:rPr/>
        <w:t>where</w:t>
      </w:r>
    </w:p>
    <w:p>
      <w:pPr>
        <w:pStyle w:val="Normal"/>
        <w:rPr/>
      </w:pPr>
      <w:r>
        <w:rPr/>
        <w:t xml:space="preserve">digipasscode – </w:t>
      </w:r>
      <w:r>
        <w:rPr/>
        <w:t>6 digit code from calculator</w:t>
      </w:r>
    </w:p>
    <w:p>
      <w:pPr>
        <w:pStyle w:val="Normal"/>
        <w:rPr/>
      </w:pPr>
      <w:r>
        <w:rPr/>
        <w:t xml:space="preserve">username – </w:t>
      </w:r>
      <w:r>
        <w:rPr/>
        <w:t>user name (received from previous function)</w:t>
      </w:r>
    </w:p>
    <w:p>
      <w:pPr>
        <w:pStyle w:val="Normal"/>
        <w:rPr/>
      </w:pPr>
      <w:r>
        <w:rPr/>
        <w:t xml:space="preserve">connid - unique connection id </w:t>
      </w:r>
      <w:r>
        <w:rPr/>
        <w:t>(same as in previous function)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Responses: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Success:</w:t>
      </w:r>
    </w:p>
    <w:p>
      <w:pPr>
        <w:pStyle w:val="Normal"/>
        <w:rPr/>
      </w:pPr>
      <w:r>
        <w:rPr/>
        <w:t>result:OK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Wrong code:</w:t>
      </w:r>
    </w:p>
    <w:p>
      <w:pPr>
        <w:pStyle w:val="Normal"/>
        <w:rPr/>
      </w:pPr>
      <w:r>
        <w:rPr/>
        <w:t>result:WRONGCODE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Generic error:</w:t>
      </w:r>
    </w:p>
    <w:p>
      <w:pPr>
        <w:pStyle w:val="Normal"/>
        <w:rPr/>
      </w:pPr>
      <w:r>
        <w:rPr/>
        <w:t>error:&lt;</w:t>
      </w:r>
      <w:r>
        <w:rPr/>
        <w:t>error name</w:t>
      </w:r>
      <w:r>
        <w:rPr/>
        <w:t xml:space="preserve">&gt;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>. Configuration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SEB_JMS_ORCHESTRA/WEB-INF/web.xml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JMS broker:port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broker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awebs.ad4.seb.net:6526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JMS </w:t>
      </w:r>
      <w:r>
        <w:rPr>
          <w:rFonts w:ascii="Courier New" w:hAnsi="Courier New"/>
          <w:color w:val="000000"/>
          <w:sz w:val="20"/>
          <w:u w:val="single"/>
        </w:rPr>
        <w:t>username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usernameSonic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tester1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JMS password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passwordSonic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tester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JMS queue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queue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SEB_SERVICES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time in </w:t>
      </w:r>
      <w:r>
        <w:rPr>
          <w:rFonts w:ascii="Courier New" w:hAnsi="Courier New"/>
          <w:color w:val="000000"/>
          <w:sz w:val="20"/>
          <w:u w:val="single"/>
        </w:rPr>
        <w:t>ms</w:t>
      </w:r>
      <w:r>
        <w:rPr>
          <w:rFonts w:ascii="Courier New" w:hAnsi="Courier New"/>
          <w:color w:val="000000"/>
          <w:sz w:val="20"/>
        </w:rPr>
        <w:t xml:space="preserve"> to wait for a reply on temporary queue. If 0, blocks indefinitely until a message arrives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connectionTimeout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60000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interval between PingPong messages, in </w:t>
      </w:r>
      <w:r>
        <w:rPr>
          <w:rFonts w:ascii="Courier New" w:hAnsi="Courier New"/>
          <w:color w:val="000000"/>
          <w:sz w:val="20"/>
          <w:u w:val="single"/>
        </w:rPr>
        <w:t>ms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pingPongInterval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30000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JMS Message attribute TTL, in </w:t>
      </w:r>
      <w:r>
        <w:rPr>
          <w:rFonts w:ascii="Courier New" w:hAnsi="Courier New"/>
          <w:color w:val="000000"/>
          <w:sz w:val="20"/>
          <w:u w:val="single"/>
        </w:rPr>
        <w:t>ms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TTL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30000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JMS Message attribute responseMsgTTL, in </w:t>
      </w:r>
      <w:r>
        <w:rPr>
          <w:rFonts w:ascii="Courier New" w:hAnsi="Courier New"/>
          <w:color w:val="000000"/>
          <w:sz w:val="20"/>
          <w:u w:val="single"/>
        </w:rPr>
        <w:t>ms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responseMsgTTL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30000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  <w:u w:val="single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file with PingPong status </w:t>
      </w:r>
      <w:r>
        <w:rPr>
          <w:rFonts w:ascii="Courier New" w:hAnsi="Courier New"/>
          <w:color w:val="000000"/>
          <w:sz w:val="20"/>
        </w:rPr>
        <w:t>(for NMS)</w:t>
      </w:r>
      <w:r>
        <w:rPr>
          <w:rFonts w:ascii="Courier New" w:hAnsi="Courier New"/>
          <w:color w:val="000000"/>
          <w:sz w:val="20"/>
        </w:rPr>
        <w:t xml:space="preserve">, contains 0 - no services available, 1 - </w:t>
      </w:r>
      <w:r>
        <w:rPr>
          <w:rFonts w:ascii="Courier New" w:hAnsi="Courier New"/>
          <w:color w:val="000000"/>
          <w:sz w:val="20"/>
          <w:u w:val="single"/>
        </w:rPr>
        <w:t>ok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description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pingPongStatusFileName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param-name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   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PingPongStatusFile.txt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param-value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context-param</w:t>
      </w:r>
      <w:r>
        <w:rPr>
          <w:rFonts w:ascii="Courier New" w:hAnsi="Courier New"/>
          <w:color w:val="008080"/>
          <w:sz w:val="20"/>
        </w:rPr>
        <w:t>&gt;</w:t>
      </w:r>
    </w:p>
    <w:p>
      <w:pPr>
        <w:pStyle w:val="Normal"/>
        <w:ind w:hanging="0"/>
        <w:jc w:val="left"/>
        <w:rPr>
          <w:rFonts w:ascii="Courier New" w:hAnsi="Courier New"/>
          <w:color w:val="008080"/>
          <w:sz w:val="20"/>
        </w:rPr>
      </w:pPr>
      <w:r>
        <w:rPr>
          <w:i w:val="false"/>
          <w:iCs w:val="false"/>
        </w:rPr>
      </w:r>
    </w:p>
    <w:p>
      <w:pPr>
        <w:pStyle w:val="Normal"/>
        <w:rPr>
          <w:rFonts w:ascii="Courier New" w:hAnsi="Courier New"/>
          <w:color w:val="008080"/>
          <w:sz w:val="20"/>
        </w:rPr>
      </w:pPr>
      <w:r>
        <w:rPr>
          <w:i w:val="false"/>
          <w:iCs w:val="false"/>
        </w:rPr>
      </w:r>
    </w:p>
    <w:p>
      <w:pPr>
        <w:pStyle w:val="Normal"/>
        <w:rPr>
          <w:rFonts w:ascii="Courier New" w:hAnsi="Courier New"/>
          <w:color w:val="008080"/>
          <w:sz w:val="20"/>
        </w:rPr>
      </w:pPr>
      <w:r>
        <w:rPr>
          <w:i w:val="false"/>
          <w:iCs w:val="fals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>4.4.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 xml:space="preserve"> Logging</w:t>
      </w:r>
    </w:p>
    <w:p>
      <w:pPr>
        <w:pStyle w:val="Normal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urrently only in stdout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>and stderr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>. The file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>are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in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the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>Tomcat log folder.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Courier New">
    <w:charset w:val="ba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lv-LV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lv-LV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LibreOffice/4.4.5.2$Windows_x86 LibreOffice_project/a22f674fd25a3b6f45bdebf25400ed2adff0ff99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2016-05-20T10:06:28Z</dcterms:created>
  <dc:language>lv-LV</dc:language>
  <dcterms:modified xsi:type="dcterms:W3CDTF">2016-05-20T13:56:30Z</dcterms:modified>
  <cp:revision>15</cp:revision>
</cp:coreProperties>
</file>