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ehydra-package-guide"/>
    <w:p>
      <w:pPr>
        <w:pStyle w:val="Heading1"/>
      </w:pPr>
      <w:r>
        <w:t xml:space="preserve">Rehydra Package Guide</w:t>
      </w:r>
    </w:p>
    <w:p>
      <w:pPr>
        <w:pStyle w:val="FirstParagraph"/>
      </w:pPr>
      <w:r>
        <w:t xml:space="preserve">Version: 0.1.1</w:t>
      </w:r>
      <w:r>
        <w:br/>
      </w:r>
      <w:r>
        <w:t xml:space="preserve">Date: 2026-04-29</w:t>
      </w:r>
    </w:p>
    <w:bookmarkStart w:id="20" w:name="what-rehydra-does"/>
    <w:p>
      <w:pPr>
        <w:pStyle w:val="Heading2"/>
      </w:pPr>
      <w:r>
        <w:t xml:space="preserve">1) What Rehydra does</w:t>
      </w:r>
    </w:p>
    <w:p>
      <w:pPr>
        <w:pStyle w:val="FirstParagraph"/>
      </w:pPr>
      <w:r>
        <w:t xml:space="preserve">Rehydra provides a full workflow for drought-rewatering plant physiology analysis, from data preparation to segmentation, index calculation, memory effects, statistical comparisons, plots, and report generation.</w:t>
      </w:r>
    </w:p>
    <w:p>
      <w:pPr>
        <w:pStyle w:val="BodyText"/>
      </w:pPr>
      <w:r>
        <w:t xml:space="preserve">The package was designed for repeated drought cycles and genotype-level interpretation of acclimation and priming signals.</w:t>
      </w:r>
    </w:p>
    <w:bookmarkEnd w:id="20"/>
    <w:bookmarkStart w:id="21" w:name="minimum-data-structure"/>
    <w:p>
      <w:pPr>
        <w:pStyle w:val="Heading2"/>
      </w:pPr>
      <w:r>
        <w:t xml:space="preserve">2) Minimum data structure</w:t>
      </w:r>
    </w:p>
    <w:p>
      <w:pPr>
        <w:pStyle w:val="FirstParagraph"/>
      </w:pPr>
      <w:r>
        <w:t xml:space="preserve">Rehydra supports wide and long input formats. A practical long-format structure includes: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plant_id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genotype</w:t>
      </w:r>
      <w:r>
        <w:t xml:space="preserve"> </w:t>
      </w:r>
      <w:r>
        <w:t xml:space="preserve">(for example:</w:t>
      </w:r>
      <w:r>
        <w:t xml:space="preserve"> </w:t>
      </w:r>
      <w:r>
        <w:rPr>
          <w:rStyle w:val="VerbatimChar"/>
        </w:rPr>
        <w:t xml:space="preserve">Sensitive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Tolerant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time_days</w:t>
      </w:r>
      <w:r>
        <w:t xml:space="preserve"> </w:t>
      </w:r>
      <w:r>
        <w:t xml:space="preserve">or numeric time variable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treatment</w:t>
      </w:r>
      <w:r>
        <w:t xml:space="preserve"> </w:t>
      </w:r>
      <w:r>
        <w:t xml:space="preserve">(for example: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Drought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replicate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cycle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phase</w:t>
      </w:r>
      <w:r>
        <w:t xml:space="preserve"> </w:t>
      </w:r>
      <w:r>
        <w:t xml:space="preserve">(</w:t>
      </w:r>
      <w:r>
        <w:rPr>
          <w:rStyle w:val="VerbatimChar"/>
        </w:rPr>
        <w:t xml:space="preserve">PreDrought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Drought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Rewatering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PostDrought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variable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value</w:t>
      </w:r>
    </w:p>
    <w:p>
      <w:pPr>
        <w:pStyle w:val="FirstParagraph"/>
      </w:pPr>
      <w:r>
        <w:t xml:space="preserve">Bundled data (</w:t>
      </w:r>
      <w:r>
        <w:rPr>
          <w:rStyle w:val="VerbatimChar"/>
        </w:rPr>
        <w:t xml:space="preserve">rehydra_data</w:t>
      </w:r>
      <w:r>
        <w:t xml:space="preserve">) and bundled CSV (</w:t>
      </w:r>
      <w:r>
        <w:rPr>
          <w:rStyle w:val="VerbatimChar"/>
        </w:rPr>
        <w:t xml:space="preserve">inst/extdata/rehydra_example.csv</w:t>
      </w:r>
      <w:r>
        <w:t xml:space="preserve">) are aligned with this schema.</w:t>
      </w:r>
    </w:p>
    <w:bookmarkEnd w:id="21"/>
    <w:bookmarkStart w:id="22" w:name="core-workflow"/>
    <w:p>
      <w:pPr>
        <w:pStyle w:val="Heading2"/>
      </w:pPr>
      <w:r>
        <w:t xml:space="preserve">3) Core workflow</w:t>
      </w:r>
    </w:p>
    <w:p>
      <w:pPr>
        <w:numPr>
          <w:ilvl w:val="0"/>
          <w:numId w:val="1002"/>
        </w:numPr>
        <w:pStyle w:val="Compact"/>
      </w:pPr>
      <w:r>
        <w:t xml:space="preserve">Prepare and standardize data: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prepare_rehydra_data()</w:t>
      </w:r>
    </w:p>
    <w:p>
      <w:pPr>
        <w:numPr>
          <w:ilvl w:val="0"/>
          <w:numId w:val="1002"/>
        </w:numPr>
        <w:pStyle w:val="Compact"/>
      </w:pPr>
      <w:r>
        <w:t xml:space="preserve">Validate inputs: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check_rehydra_data()</w:t>
      </w:r>
    </w:p>
    <w:p>
      <w:pPr>
        <w:numPr>
          <w:ilvl w:val="0"/>
          <w:numId w:val="1002"/>
        </w:numPr>
        <w:pStyle w:val="Compact"/>
      </w:pPr>
      <w:r>
        <w:t xml:space="preserve">Segment drought-rewatering cycles: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segment_drought_cycle()</w:t>
      </w:r>
      <w:r>
        <w:t xml:space="preserve"> </w:t>
      </w:r>
      <w:r>
        <w:t xml:space="preserve">(automatic or manual)</w:t>
      </w:r>
    </w:p>
    <w:p>
      <w:pPr>
        <w:numPr>
          <w:ilvl w:val="0"/>
          <w:numId w:val="1002"/>
        </w:numPr>
        <w:pStyle w:val="Compact"/>
      </w:pPr>
      <w:r>
        <w:t xml:space="preserve">Compute phase-level dynamics: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damage_metrics()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recovery_metrics()</w:t>
      </w:r>
    </w:p>
    <w:p>
      <w:pPr>
        <w:numPr>
          <w:ilvl w:val="0"/>
          <w:numId w:val="1002"/>
        </w:numPr>
        <w:pStyle w:val="Compact"/>
      </w:pPr>
      <w:r>
        <w:t xml:space="preserve">Compute resilience indices: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resilience_index()</w:t>
      </w:r>
    </w:p>
    <w:p>
      <w:pPr>
        <w:numPr>
          <w:ilvl w:val="0"/>
          <w:numId w:val="1002"/>
        </w:numPr>
        <w:pStyle w:val="Compact"/>
      </w:pPr>
      <w:r>
        <w:t xml:space="preserve">Compute memory effects: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memory_effect()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priming_classification()</w:t>
      </w:r>
    </w:p>
    <w:p>
      <w:pPr>
        <w:numPr>
          <w:ilvl w:val="0"/>
          <w:numId w:val="1002"/>
        </w:numPr>
        <w:pStyle w:val="Compact"/>
      </w:pPr>
      <w:r>
        <w:t xml:space="preserve">Compare groups and summarize: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compare_genotypes()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stability_index()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summarize_rehydra()</w:t>
      </w:r>
    </w:p>
    <w:p>
      <w:pPr>
        <w:numPr>
          <w:ilvl w:val="0"/>
          <w:numId w:val="1002"/>
        </w:numPr>
        <w:pStyle w:val="Compact"/>
      </w:pPr>
      <w:r>
        <w:t xml:space="preserve">Visualize and export:</w:t>
      </w:r>
    </w:p>
    <w:p>
      <w:pPr>
        <w:numPr>
          <w:ilvl w:val="1"/>
          <w:numId w:val="1010"/>
        </w:numPr>
        <w:pStyle w:val="Compact"/>
      </w:pPr>
      <w:r>
        <w:t xml:space="preserve">plotting functions and</w:t>
      </w:r>
      <w:r>
        <w:t xml:space="preserve"> </w:t>
      </w:r>
      <w:r>
        <w:rPr>
          <w:rStyle w:val="VerbatimChar"/>
        </w:rPr>
        <w:t xml:space="preserve">rehydra_report()</w:t>
      </w:r>
    </w:p>
    <w:bookmarkEnd w:id="22"/>
    <w:bookmarkStart w:id="23" w:name="implemented-formulas"/>
    <w:p>
      <w:pPr>
        <w:pStyle w:val="Heading2"/>
      </w:pPr>
      <w:r>
        <w:t xml:space="preserve">4) Implemented formulas</w:t>
      </w:r>
    </w:p>
    <w:p>
      <w:pPr>
        <w:pStyle w:val="FirstParagraph"/>
      </w:pPr>
      <w:r>
        <w:t xml:space="preserve">Rehydra uses ratio-based resilience definitions:</w:t>
      </w:r>
    </w:p>
    <w:p>
      <w:pPr>
        <w:numPr>
          <w:ilvl w:val="0"/>
          <w:numId w:val="1011"/>
        </w:numPr>
        <w:pStyle w:val="Compact"/>
      </w:pPr>
      <w:r>
        <w:t xml:space="preserve">Resistance:</w:t>
      </w:r>
      <w:r>
        <w:t xml:space="preserve"> </w:t>
      </w:r>
      <w:r>
        <w:rPr>
          <w:rStyle w:val="VerbatimChar"/>
        </w:rPr>
        <w:t xml:space="preserve">Rt = Drought / PreDrought</w:t>
      </w:r>
    </w:p>
    <w:p>
      <w:pPr>
        <w:numPr>
          <w:ilvl w:val="0"/>
          <w:numId w:val="1011"/>
        </w:numPr>
        <w:pStyle w:val="Compact"/>
      </w:pPr>
      <w:r>
        <w:t xml:space="preserve">Recovery:</w:t>
      </w:r>
      <w:r>
        <w:t xml:space="preserve"> </w:t>
      </w:r>
      <w:r>
        <w:rPr>
          <w:rStyle w:val="VerbatimChar"/>
        </w:rPr>
        <w:t xml:space="preserve">Rc = PostDrought / Drought</w:t>
      </w:r>
    </w:p>
    <w:p>
      <w:pPr>
        <w:numPr>
          <w:ilvl w:val="0"/>
          <w:numId w:val="1011"/>
        </w:numPr>
        <w:pStyle w:val="Compact"/>
      </w:pPr>
      <w:r>
        <w:t xml:space="preserve">Resilience:</w:t>
      </w:r>
      <w:r>
        <w:t xml:space="preserve"> </w:t>
      </w:r>
      <w:r>
        <w:rPr>
          <w:rStyle w:val="VerbatimChar"/>
        </w:rPr>
        <w:t xml:space="preserve">Rs = PostDrought / PreDrought</w:t>
      </w:r>
    </w:p>
    <w:p>
      <w:pPr>
        <w:pStyle w:val="FirstParagraph"/>
      </w:pPr>
      <w:r>
        <w:t xml:space="preserve">Memory terms: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Mem_Rt = Rt_C2 - Rt_C1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Mem_Rc = Rc_C2 - Rc_C1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Mem_Rs = Rs_C2 - Rs_C1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Mem_Damage = damage_auc_C1 - damage_auc_C2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Mem_RecRate = recovery_rate_C2 - recovery_rate_C1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Mem_Residual = residual_cost_C1 - residual_cost_C2</w:t>
      </w:r>
    </w:p>
    <w:p>
      <w:pPr>
        <w:pStyle w:val="FirstParagraph"/>
      </w:pPr>
      <w:r>
        <w:t xml:space="preserve">Direction-aware transformations and a positive performance shift are applied before ratio calculations to stabilize interpretation across variables with different sign conventions (for example, water potential).</w:t>
      </w:r>
    </w:p>
    <w:bookmarkEnd w:id="23"/>
    <w:bookmarkStart w:id="26" w:name="segmentation-modes"/>
    <w:p>
      <w:pPr>
        <w:pStyle w:val="Heading2"/>
      </w:pPr>
      <w:r>
        <w:t xml:space="preserve">5) Segmentation modes</w:t>
      </w:r>
    </w:p>
    <w:bookmarkStart w:id="24" w:name="automatic-mode"/>
    <w:p>
      <w:pPr>
        <w:pStyle w:val="Heading3"/>
      </w:pPr>
      <w:r>
        <w:t xml:space="preserve">Automatic mode</w:t>
      </w:r>
    </w:p>
    <w:p>
      <w:pPr>
        <w:numPr>
          <w:ilvl w:val="0"/>
          <w:numId w:val="1013"/>
        </w:numPr>
        <w:pStyle w:val="Compact"/>
      </w:pPr>
      <w:r>
        <w:t xml:space="preserve">Detects cycle boundaries from the trajectory.</w:t>
      </w:r>
    </w:p>
    <w:p>
      <w:pPr>
        <w:numPr>
          <w:ilvl w:val="0"/>
          <w:numId w:val="1013"/>
        </w:numPr>
        <w:pStyle w:val="Compact"/>
      </w:pPr>
      <w:r>
        <w:t xml:space="preserve">Handles moderate noise and missing values.</w:t>
      </w:r>
    </w:p>
    <w:p>
      <w:pPr>
        <w:numPr>
          <w:ilvl w:val="0"/>
          <w:numId w:val="1013"/>
        </w:numPr>
        <w:pStyle w:val="Compact"/>
      </w:pPr>
      <w:r>
        <w:t xml:space="preserve">Returns cycle-phase assignments and confidence.</w:t>
      </w:r>
    </w:p>
    <w:p>
      <w:pPr>
        <w:numPr>
          <w:ilvl w:val="0"/>
          <w:numId w:val="1013"/>
        </w:numPr>
        <w:pStyle w:val="Compact"/>
      </w:pPr>
      <w:r>
        <w:t xml:space="preserve">Falls back to conservative behavior when boundaries are weak, with informative errors if fallback is disabled.</w:t>
      </w:r>
    </w:p>
    <w:bookmarkEnd w:id="24"/>
    <w:bookmarkStart w:id="25" w:name="manual-mode"/>
    <w:p>
      <w:pPr>
        <w:pStyle w:val="Heading3"/>
      </w:pPr>
      <w:r>
        <w:t xml:space="preserve">Manual mode</w:t>
      </w:r>
    </w:p>
    <w:p>
      <w:pPr>
        <w:numPr>
          <w:ilvl w:val="0"/>
          <w:numId w:val="1014"/>
        </w:numPr>
        <w:pStyle w:val="Compact"/>
      </w:pPr>
      <w:r>
        <w:t xml:space="preserve">Uses explicit phase windows.</w:t>
      </w:r>
    </w:p>
    <w:p>
      <w:pPr>
        <w:numPr>
          <w:ilvl w:val="0"/>
          <w:numId w:val="1014"/>
        </w:numPr>
        <w:pStyle w:val="Compact"/>
      </w:pPr>
      <w:r>
        <w:t xml:space="preserve">Recommended when domain knowledge (irrigation events) is known.</w:t>
      </w:r>
    </w:p>
    <w:p>
      <w:pPr>
        <w:numPr>
          <w:ilvl w:val="0"/>
          <w:numId w:val="1014"/>
        </w:numPr>
        <w:pStyle w:val="Compact"/>
      </w:pPr>
      <w:r>
        <w:t xml:space="preserve">Suitable for QC and reproducible benchmarking.</w:t>
      </w:r>
    </w:p>
    <w:bookmarkEnd w:id="25"/>
    <w:bookmarkEnd w:id="26"/>
    <w:bookmarkStart w:id="27" w:name="shiny-app-behavior"/>
    <w:p>
      <w:pPr>
        <w:pStyle w:val="Heading2"/>
      </w:pPr>
      <w:r>
        <w:t xml:space="preserve">6) Shiny app behavior</w:t>
      </w:r>
    </w:p>
    <w:p>
      <w:pPr>
        <w:pStyle w:val="FirstParagraph"/>
      </w:pPr>
      <w:r>
        <w:rPr>
          <w:rStyle w:val="VerbatimChar"/>
        </w:rPr>
        <w:t xml:space="preserve">run_rehydra_app()</w:t>
      </w:r>
      <w:r>
        <w:t xml:space="preserve"> </w:t>
      </w:r>
      <w:r>
        <w:t xml:space="preserve">launches a local app with:</w:t>
      </w:r>
    </w:p>
    <w:p>
      <w:pPr>
        <w:numPr>
          <w:ilvl w:val="0"/>
          <w:numId w:val="1015"/>
        </w:numPr>
        <w:pStyle w:val="Compact"/>
      </w:pPr>
      <w:r>
        <w:t xml:space="preserve">CSV upload.</w:t>
      </w:r>
    </w:p>
    <w:p>
      <w:pPr>
        <w:numPr>
          <w:ilvl w:val="0"/>
          <w:numId w:val="1015"/>
        </w:numPr>
        <w:pStyle w:val="Compact"/>
      </w:pPr>
      <w:r>
        <w:t xml:space="preserve">Column mapping for wide/long data.</w:t>
      </w:r>
    </w:p>
    <w:p>
      <w:pPr>
        <w:numPr>
          <w:ilvl w:val="0"/>
          <w:numId w:val="1015"/>
        </w:numPr>
        <w:pStyle w:val="Compact"/>
      </w:pPr>
      <w:r>
        <w:t xml:space="preserve">Automatic and manual segmentation.</w:t>
      </w:r>
    </w:p>
    <w:p>
      <w:pPr>
        <w:numPr>
          <w:ilvl w:val="0"/>
          <w:numId w:val="1015"/>
        </w:numPr>
        <w:pStyle w:val="Compact"/>
      </w:pPr>
      <w:r>
        <w:t xml:space="preserve">Trajectory, damage, recovery, resilience, memory, and comparison tabs.</w:t>
      </w:r>
    </w:p>
    <w:p>
      <w:pPr>
        <w:numPr>
          <w:ilvl w:val="0"/>
          <w:numId w:val="1015"/>
        </w:numPr>
        <w:pStyle w:val="Compact"/>
      </w:pPr>
      <w:r>
        <w:t xml:space="preserve">Downloadable CSV, figure, and HTML report.</w:t>
      </w:r>
    </w:p>
    <w:p>
      <w:pPr>
        <w:pStyle w:val="FirstParagraph"/>
      </w:pPr>
      <w:r>
        <w:t xml:space="preserve">The app now includes: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Use bundled example data</w:t>
      </w:r>
      <w:r>
        <w:t xml:space="preserve"> </w:t>
      </w:r>
      <w:r>
        <w:t xml:space="preserve">toggle.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Run bundled demo</w:t>
      </w:r>
      <w:r>
        <w:t xml:space="preserve"> </w:t>
      </w:r>
      <w:r>
        <w:t xml:space="preserve">button for one-click validation using a complete two-cycle dataset.</w:t>
      </w:r>
    </w:p>
    <w:p>
      <w:pPr>
        <w:pStyle w:val="FirstParagraph"/>
      </w:pPr>
      <w:r>
        <w:t xml:space="preserve">This is useful for onboarding, teaching, and user-side pipeline verification.</w:t>
      </w:r>
    </w:p>
    <w:bookmarkEnd w:id="27"/>
    <w:bookmarkStart w:id="28" w:name="statistical-interpretation-notes"/>
    <w:p>
      <w:pPr>
        <w:pStyle w:val="Heading2"/>
      </w:pPr>
      <w:r>
        <w:t xml:space="preserve">7) Statistical interpretation notes</w:t>
      </w:r>
    </w:p>
    <w:p>
      <w:pPr>
        <w:numPr>
          <w:ilvl w:val="0"/>
          <w:numId w:val="1017"/>
        </w:numPr>
        <w:pStyle w:val="Compact"/>
      </w:pPr>
      <w:r>
        <w:t xml:space="preserve">Ratio indices can become unstable if denominators approach zero; inspect distribution tails and NA patterns.</w:t>
      </w:r>
    </w:p>
    <w:p>
      <w:pPr>
        <w:numPr>
          <w:ilvl w:val="0"/>
          <w:numId w:val="1017"/>
        </w:numPr>
        <w:pStyle w:val="Compact"/>
      </w:pPr>
      <w:r>
        <w:t xml:space="preserve">Memory interpretation should be trait-aware and biologically contextual.</w:t>
      </w:r>
    </w:p>
    <w:p>
      <w:pPr>
        <w:numPr>
          <w:ilvl w:val="0"/>
          <w:numId w:val="1017"/>
        </w:numPr>
        <w:pStyle w:val="Compact"/>
      </w:pPr>
      <w:r>
        <w:t xml:space="preserve">Use bootstrap confidence intervals for uncertainty quantification whenever sample size allows.</w:t>
      </w:r>
    </w:p>
    <w:p>
      <w:pPr>
        <w:numPr>
          <w:ilvl w:val="0"/>
          <w:numId w:val="1017"/>
        </w:numPr>
        <w:pStyle w:val="Compact"/>
      </w:pPr>
      <w:r>
        <w:t xml:space="preserve">Interpret overcompensation (</w:t>
      </w:r>
      <w:r>
        <w:rPr>
          <w:rStyle w:val="VerbatimChar"/>
        </w:rPr>
        <w:t xml:space="preserve">Rs &gt; 1</w:t>
      </w:r>
      <w:r>
        <w:t xml:space="preserve">) cautiously; validate against biological plausibility and measurement noise.</w:t>
      </w:r>
    </w:p>
    <w:bookmarkEnd w:id="28"/>
    <w:bookmarkStart w:id="29" w:name="recommended-analytical-extensions"/>
    <w:p>
      <w:pPr>
        <w:pStyle w:val="Heading2"/>
      </w:pPr>
      <w:r>
        <w:t xml:space="preserve">8) Recommended analytical extensions</w:t>
      </w:r>
    </w:p>
    <w:p>
      <w:pPr>
        <w:pStyle w:val="FirstParagraph"/>
      </w:pPr>
      <w:r>
        <w:t xml:space="preserve">The package is already strong, but these additions would be valuable:</w:t>
      </w:r>
    </w:p>
    <w:p>
      <w:pPr>
        <w:numPr>
          <w:ilvl w:val="0"/>
          <w:numId w:val="1018"/>
        </w:numPr>
        <w:pStyle w:val="Compact"/>
      </w:pPr>
      <w:r>
        <w:t xml:space="preserve">Time-to-recovery threshold metrics:</w:t>
      </w:r>
    </w:p>
    <w:p>
      <w:pPr>
        <w:numPr>
          <w:ilvl w:val="1"/>
          <w:numId w:val="1019"/>
        </w:numPr>
        <w:pStyle w:val="Compact"/>
      </w:pPr>
      <w:r>
        <w:t xml:space="preserve">days to 50% and 90% return to baseline.</w:t>
      </w:r>
    </w:p>
    <w:p>
      <w:pPr>
        <w:numPr>
          <w:ilvl w:val="0"/>
          <w:numId w:val="1018"/>
        </w:numPr>
        <w:pStyle w:val="Compact"/>
      </w:pPr>
      <w:r>
        <w:t xml:space="preserve">Integrated drought intensity:</w:t>
      </w:r>
    </w:p>
    <w:p>
      <w:pPr>
        <w:numPr>
          <w:ilvl w:val="1"/>
          <w:numId w:val="1020"/>
        </w:numPr>
        <w:pStyle w:val="Compact"/>
      </w:pPr>
      <w:r>
        <w:t xml:space="preserve">cumulative deficit relative to control curve across drought windows.</w:t>
      </w:r>
    </w:p>
    <w:p>
      <w:pPr>
        <w:numPr>
          <w:ilvl w:val="0"/>
          <w:numId w:val="1018"/>
        </w:numPr>
        <w:pStyle w:val="Compact"/>
      </w:pPr>
      <w:r>
        <w:t xml:space="preserve">Dynamic slope diagnostics:</w:t>
      </w:r>
    </w:p>
    <w:p>
      <w:pPr>
        <w:numPr>
          <w:ilvl w:val="1"/>
          <w:numId w:val="1021"/>
        </w:numPr>
        <w:pStyle w:val="Compact"/>
      </w:pPr>
      <w:r>
        <w:t xml:space="preserve">maximum decline rate and maximum rehydration rate by cycle.</w:t>
      </w:r>
    </w:p>
    <w:p>
      <w:pPr>
        <w:numPr>
          <w:ilvl w:val="0"/>
          <w:numId w:val="1018"/>
        </w:numPr>
        <w:pStyle w:val="Compact"/>
      </w:pPr>
      <w:r>
        <w:t xml:space="preserve">Hysteresis metrics:</w:t>
      </w:r>
    </w:p>
    <w:p>
      <w:pPr>
        <w:numPr>
          <w:ilvl w:val="1"/>
          <w:numId w:val="1022"/>
        </w:numPr>
        <w:pStyle w:val="Compact"/>
      </w:pPr>
      <w:r>
        <w:t xml:space="preserve">separation between drying and rewatering trajectories over the same value range.</w:t>
      </w:r>
    </w:p>
    <w:p>
      <w:pPr>
        <w:numPr>
          <w:ilvl w:val="0"/>
          <w:numId w:val="1018"/>
        </w:numPr>
        <w:pStyle w:val="Compact"/>
      </w:pPr>
      <w:r>
        <w:t xml:space="preserve">Mixed-model comparison helpers:</w:t>
      </w:r>
    </w:p>
    <w:p>
      <w:pPr>
        <w:numPr>
          <w:ilvl w:val="1"/>
          <w:numId w:val="1023"/>
        </w:numPr>
        <w:pStyle w:val="Compact"/>
      </w:pPr>
      <w:r>
        <w:t xml:space="preserve">optional wrappers for repeated measures and random effects (</w:t>
      </w:r>
      <w:r>
        <w:rPr>
          <w:rStyle w:val="VerbatimChar"/>
        </w:rPr>
        <w:t xml:space="preserve">plant_id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Robust median-based alternatives:</w:t>
      </w:r>
    </w:p>
    <w:p>
      <w:pPr>
        <w:numPr>
          <w:ilvl w:val="1"/>
          <w:numId w:val="1024"/>
        </w:numPr>
        <w:pStyle w:val="Compact"/>
      </w:pPr>
      <w:r>
        <w:t xml:space="preserve">sensitivity analyses for outlier-heavy physiological series.</w:t>
      </w:r>
    </w:p>
    <w:bookmarkEnd w:id="29"/>
    <w:bookmarkStart w:id="30" w:name="quality-and-cran-readiness-checklist"/>
    <w:p>
      <w:pPr>
        <w:pStyle w:val="Heading2"/>
      </w:pPr>
      <w:r>
        <w:t xml:space="preserve">9) Quality and CRAN-readiness checklist</w:t>
      </w:r>
    </w:p>
    <w:p>
      <w:pPr>
        <w:pStyle w:val="FirstParagraph"/>
      </w:pPr>
      <w:r>
        <w:t xml:space="preserve">Before CRAN submission, confirm: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devtools::document()</w:t>
      </w:r>
      <w:r>
        <w:t xml:space="preserve"> </w:t>
      </w:r>
      <w:r>
        <w:t xml:space="preserve">updates docs and NAMESPACE automatically.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devtools::test()</w:t>
      </w:r>
      <w:r>
        <w:t xml:space="preserve"> </w:t>
      </w:r>
      <w:r>
        <w:t xml:space="preserve">passes with no failures.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devtools::check(args = '--as-cran')</w:t>
      </w:r>
      <w:r>
        <w:t xml:space="preserve"> </w:t>
      </w:r>
      <w:r>
        <w:t xml:space="preserve">returns 0 errors and 0 warnings.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inst/CITATION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cran-comments.md</w:t>
      </w:r>
      <w:r>
        <w:t xml:space="preserve"> </w:t>
      </w:r>
      <w:r>
        <w:t xml:space="preserve">are final.</w:t>
      </w:r>
    </w:p>
    <w:p>
      <w:pPr>
        <w:numPr>
          <w:ilvl w:val="0"/>
          <w:numId w:val="1025"/>
        </w:numPr>
        <w:pStyle w:val="Compact"/>
      </w:pPr>
      <w:r>
        <w:t xml:space="preserve">Examples are fast and do not require internet.</w:t>
      </w:r>
    </w:p>
    <w:p>
      <w:pPr>
        <w:numPr>
          <w:ilvl w:val="0"/>
          <w:numId w:val="1025"/>
        </w:numPr>
        <w:pStyle w:val="Compact"/>
      </w:pPr>
      <w:r>
        <w:t xml:space="preserve">Shiny app launches only when explicitly called.</w:t>
      </w:r>
    </w:p>
    <w:p>
      <w:pPr>
        <w:numPr>
          <w:ilvl w:val="0"/>
          <w:numId w:val="1025"/>
        </w:numPr>
        <w:pStyle w:val="Compact"/>
      </w:pPr>
      <w:r>
        <w:t xml:space="preserve">English-only package content is preserved.</w:t>
      </w:r>
    </w:p>
    <w:bookmarkEnd w:id="30"/>
    <w:bookmarkStart w:id="31" w:name="suggested-immediate-next-step"/>
    <w:p>
      <w:pPr>
        <w:pStyle w:val="Heading2"/>
      </w:pPr>
      <w:r>
        <w:t xml:space="preserve">10) Suggested immediate next step</w:t>
      </w:r>
    </w:p>
    <w:p>
      <w:pPr>
        <w:pStyle w:val="FirstParagraph"/>
      </w:pPr>
      <w:r>
        <w:t xml:space="preserve">Run one final full check on a clean R session and submit the generated source tarball from version</w:t>
      </w:r>
      <w:r>
        <w:t xml:space="preserve"> </w:t>
      </w:r>
      <w:r>
        <w:rPr>
          <w:rStyle w:val="VerbatimChar"/>
        </w:rPr>
        <w:t xml:space="preserve">0.1.1</w:t>
      </w:r>
      <w:r>
        <w:t xml:space="preserve"> </w:t>
      </w:r>
      <w:r>
        <w:t xml:space="preserve">(or the next bumped version if additional changes are made).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2026-04-29T15:01:52Z</dcterms:created>
  <dcterms:modified xsi:type="dcterms:W3CDTF">2026-04-29T15:01:52Z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