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938EE" w14:textId="77777777" w:rsidR="00DC386C" w:rsidRDefault="00DC386C">
      <w:pPr>
        <w:jc w:val="both"/>
        <w:rPr>
          <w:sz w:val="24"/>
          <w:szCs w:val="24"/>
        </w:rPr>
      </w:pPr>
    </w:p>
    <w:tbl>
      <w:tblPr>
        <w:tblStyle w:val="a"/>
        <w:tblW w:w="16770" w:type="dxa"/>
        <w:tblInd w:w="-14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1935"/>
        <w:gridCol w:w="2130"/>
        <w:gridCol w:w="1395"/>
        <w:gridCol w:w="1200"/>
        <w:gridCol w:w="1200"/>
        <w:gridCol w:w="1590"/>
        <w:gridCol w:w="1440"/>
        <w:gridCol w:w="1500"/>
        <w:gridCol w:w="1860"/>
        <w:gridCol w:w="1170"/>
      </w:tblGrid>
      <w:tr w:rsidR="00DC386C" w14:paraId="36052924" w14:textId="77777777">
        <w:tc>
          <w:tcPr>
            <w:tcW w:w="135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BE9BABC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93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0AD8194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Epidemiological concept</w:t>
            </w:r>
          </w:p>
        </w:tc>
        <w:tc>
          <w:tcPr>
            <w:tcW w:w="213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B510F50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39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FC55656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Meteorological variables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08E1F1F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Time resolution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74CC818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Time window</w:t>
            </w:r>
          </w:p>
        </w:tc>
        <w:tc>
          <w:tcPr>
            <w:tcW w:w="159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7A526C5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Users</w:t>
            </w:r>
          </w:p>
        </w:tc>
        <w:tc>
          <w:tcPr>
            <w:tcW w:w="144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5CD3C8A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Validation metrics</w:t>
            </w:r>
          </w:p>
        </w:tc>
        <w:tc>
          <w:tcPr>
            <w:tcW w:w="15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D986654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Strengths</w:t>
            </w:r>
          </w:p>
        </w:tc>
        <w:tc>
          <w:tcPr>
            <w:tcW w:w="186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A9A8972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Limitations</w:t>
            </w:r>
          </w:p>
        </w:tc>
        <w:tc>
          <w:tcPr>
            <w:tcW w:w="117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597A797" w14:textId="77777777" w:rsidR="00DC386C" w:rsidRDefault="00000000">
            <w:pPr>
              <w:widowControl w:val="0"/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References</w:t>
            </w:r>
          </w:p>
        </w:tc>
      </w:tr>
      <w:tr w:rsidR="00DC386C" w14:paraId="53E40BFF" w14:textId="77777777">
        <w:tc>
          <w:tcPr>
            <w:tcW w:w="135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F082962" w14:textId="77777777" w:rsidR="00DC386C" w:rsidRDefault="00000000">
            <w:pPr>
              <w:widowContro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BLITECAST</w:t>
            </w:r>
          </w:p>
        </w:tc>
        <w:tc>
          <w:tcPr>
            <w:tcW w:w="193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7289699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Rule-based late blight risk using Wallin Severity Values (SV) and blight favorable days</w:t>
            </w:r>
          </w:p>
        </w:tc>
        <w:tc>
          <w:tcPr>
            <w:tcW w:w="213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B26717A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Initial trigger at 18–20 SV or 10 favorable days. </w:t>
            </w:r>
          </w:p>
          <w:p w14:paraId="3CDC45F0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Spray intervals set by a matrix of recent SV × rain-favorable days</w:t>
            </w:r>
          </w:p>
        </w:tc>
        <w:tc>
          <w:tcPr>
            <w:tcW w:w="139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973E25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rFonts w:ascii="Arial Unicode MS" w:eastAsia="Arial Unicode MS" w:hAnsi="Arial Unicode MS" w:cs="Arial Unicode MS"/>
                <w:sz w:val="15"/>
                <w:szCs w:val="15"/>
              </w:rPr>
              <w:t>Air temperature, relative humidity (≥90%), rainfall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DBE77B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Hourly aggregated to daily SV, evaluated daily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F02D6EF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From emergence (rows visible) to vine kill or the end of cycle</w:t>
            </w:r>
          </w:p>
        </w:tc>
        <w:tc>
          <w:tcPr>
            <w:tcW w:w="159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AFC5E8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Start and adjust fungicide spray intervals</w:t>
            </w:r>
          </w:p>
          <w:p w14:paraId="5EC404E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Applied in North America but also adapted globally.</w:t>
            </w:r>
          </w:p>
        </w:tc>
        <w:tc>
          <w:tcPr>
            <w:tcW w:w="144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0FC651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Field comparisons showing similar control with fewer sprays (site/season dependent).</w:t>
            </w:r>
          </w:p>
        </w:tc>
        <w:tc>
          <w:tcPr>
            <w:tcW w:w="15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DBFCB8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Simple to use in field, climatic variables are easy to acquire </w:t>
            </w:r>
          </w:p>
        </w:tc>
        <w:tc>
          <w:tcPr>
            <w:tcW w:w="186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1F094A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Needs in-field sensors for RH/wetness data, assumes local inoculum presence, no include cultivar resistance</w:t>
            </w:r>
          </w:p>
        </w:tc>
        <w:tc>
          <w:tcPr>
            <w:tcW w:w="117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5846A0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Hijmans</w:t>
            </w:r>
            <w:proofErr w:type="spellEnd"/>
            <w:r>
              <w:rPr>
                <w:sz w:val="15"/>
                <w:szCs w:val="15"/>
              </w:rPr>
              <w:t xml:space="preserve"> et al., 2000; Trentin, 2006; Trentin et al., 2009</w:t>
            </w:r>
          </w:p>
        </w:tc>
      </w:tr>
      <w:tr w:rsidR="00DC386C" w14:paraId="357BB94E" w14:textId="77777777">
        <w:tc>
          <w:tcPr>
            <w:tcW w:w="135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EAD08BB" w14:textId="77777777" w:rsidR="00DC386C" w:rsidRDefault="00000000">
            <w:pPr>
              <w:widowControl w:val="0"/>
              <w:rPr>
                <w:b/>
                <w:bCs/>
                <w:sz w:val="15"/>
                <w:szCs w:val="15"/>
              </w:rPr>
            </w:pPr>
            <w:proofErr w:type="spellStart"/>
            <w:r>
              <w:rPr>
                <w:b/>
                <w:bCs/>
                <w:sz w:val="15"/>
                <w:szCs w:val="15"/>
              </w:rPr>
              <w:t>ProPhy</w:t>
            </w:r>
            <w:proofErr w:type="spellEnd"/>
          </w:p>
        </w:tc>
        <w:tc>
          <w:tcPr>
            <w:tcW w:w="193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F34D8A1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Expert decision support system combining protection window, cultivar resistance, and weather to schedule fungicide sprays</w:t>
            </w:r>
            <w:r>
              <w:rPr>
                <w:sz w:val="15"/>
                <w:szCs w:val="15"/>
              </w:rPr>
              <w:tab/>
            </w:r>
          </w:p>
        </w:tc>
        <w:tc>
          <w:tcPr>
            <w:tcW w:w="213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9678B81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rFonts w:ascii="Arial Unicode MS" w:eastAsia="Arial Unicode MS" w:hAnsi="Arial Unicode MS" w:cs="Arial Unicode MS"/>
                <w:sz w:val="15"/>
                <w:szCs w:val="15"/>
              </w:rPr>
              <w:t>More than 6h with RH ≥90% and more than 2h leaf wetness or rainfall (20:00–12:00), at 8–25 °C</w:t>
            </w:r>
          </w:p>
          <w:p w14:paraId="045FA6D0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The first fungicide spray application for sensitive varieties should be done when the crop reaches a height of 15 cm. For more resistant cultivars, the application should be done ten days later</w:t>
            </w:r>
          </w:p>
        </w:tc>
        <w:tc>
          <w:tcPr>
            <w:tcW w:w="139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48F2FF5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Temperature, RH, rainfall, leaf wetness (preferably in-canopy)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42FC542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Hourly sensing, daily decisions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7AF6D77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From early vegetative to senescence</w:t>
            </w:r>
          </w:p>
        </w:tc>
        <w:tc>
          <w:tcPr>
            <w:tcW w:w="159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00724B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Optimize timing by incorporating current protection and forecasts</w:t>
            </w:r>
          </w:p>
          <w:p w14:paraId="6D17E940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Europe (Netherlands origin) but was adapted in South America.</w:t>
            </w:r>
          </w:p>
        </w:tc>
        <w:tc>
          <w:tcPr>
            <w:tcW w:w="144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95C309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Trials report spray savings with maintained control</w:t>
            </w:r>
            <w:r>
              <w:rPr>
                <w:sz w:val="15"/>
                <w:szCs w:val="15"/>
              </w:rPr>
              <w:tab/>
            </w:r>
            <w:r>
              <w:rPr>
                <w:sz w:val="15"/>
                <w:szCs w:val="15"/>
              </w:rPr>
              <w:tab/>
            </w:r>
          </w:p>
        </w:tc>
        <w:tc>
          <w:tcPr>
            <w:tcW w:w="15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0C1D451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Incorpore</w:t>
            </w:r>
            <w:proofErr w:type="spellEnd"/>
            <w:r>
              <w:rPr>
                <w:sz w:val="15"/>
                <w:szCs w:val="15"/>
              </w:rPr>
              <w:t xml:space="preserve"> the leaf-wetness and a protection-window concept in addition to cultivar resistance. Great performance at fine-tuning spray timing </w:t>
            </w:r>
          </w:p>
        </w:tc>
        <w:tc>
          <w:tcPr>
            <w:tcW w:w="186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6FB2D19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Based on leaf-wetness measurement and fungicide weathering assumptions, it needs local calibration</w:t>
            </w:r>
          </w:p>
        </w:tc>
        <w:tc>
          <w:tcPr>
            <w:tcW w:w="117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CFDF3B7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Trentin, 2006; Trentin et al., 2009</w:t>
            </w:r>
          </w:p>
        </w:tc>
      </w:tr>
      <w:tr w:rsidR="00DC386C" w14:paraId="68286E6E" w14:textId="77777777">
        <w:tc>
          <w:tcPr>
            <w:tcW w:w="135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680A88B" w14:textId="77777777" w:rsidR="00DC386C" w:rsidRDefault="00000000">
            <w:pPr>
              <w:widowContro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SIMBLIGHT1</w:t>
            </w:r>
          </w:p>
        </w:tc>
        <w:tc>
          <w:tcPr>
            <w:tcW w:w="193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0CEDA1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Negative forecast model, early-warning for first late blight outbreaks at regional scale</w:t>
            </w:r>
          </w:p>
        </w:tc>
        <w:tc>
          <w:tcPr>
            <w:tcW w:w="213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A90F53A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rFonts w:ascii="Arial Unicode MS" w:eastAsia="Arial Unicode MS" w:hAnsi="Arial Unicode MS" w:cs="Arial Unicode MS"/>
                <w:sz w:val="15"/>
                <w:szCs w:val="15"/>
              </w:rPr>
              <w:t>Temperature 7–26 °C with ≥90% RH for several consecutive hours in one day</w:t>
            </w:r>
          </w:p>
          <w:p w14:paraId="361C8252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First epidemic onset is predicted when the cumulative risk index exceeds the defined threshold.</w:t>
            </w:r>
          </w:p>
        </w:tc>
        <w:tc>
          <w:tcPr>
            <w:tcW w:w="139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EC04BDE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Temperature, RH, rainfall/wetness daily summaries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22B79D0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Daily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8ECE546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From emergence to canopy closure that is the first risk focus</w:t>
            </w:r>
          </w:p>
        </w:tc>
        <w:tc>
          <w:tcPr>
            <w:tcW w:w="159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324778F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Regional alerts to start protection programs</w:t>
            </w:r>
          </w:p>
          <w:p w14:paraId="690B8D9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Developed/tested in Europe, but evaluated in the USA</w:t>
            </w:r>
          </w:p>
        </w:tc>
        <w:tc>
          <w:tcPr>
            <w:tcW w:w="144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B433E6E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Comparisons of warning dates vs observed first outbreaks, sometimes predicts earlier than observations </w:t>
            </w:r>
          </w:p>
        </w:tc>
        <w:tc>
          <w:tcPr>
            <w:tcW w:w="15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DBEEFBB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Works well at regional levels when </w:t>
            </w:r>
            <w:proofErr w:type="gramStart"/>
            <w:r>
              <w:rPr>
                <w:sz w:val="15"/>
                <w:szCs w:val="15"/>
              </w:rPr>
              <w:t>weather  information</w:t>
            </w:r>
            <w:proofErr w:type="gramEnd"/>
            <w:r>
              <w:rPr>
                <w:sz w:val="15"/>
                <w:szCs w:val="15"/>
              </w:rPr>
              <w:t xml:space="preserve"> is limited</w:t>
            </w:r>
          </w:p>
        </w:tc>
        <w:tc>
          <w:tcPr>
            <w:tcW w:w="186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0FFB6D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Does not explicitly model inoculum, tuned to temperate climates, it needs local calibration</w:t>
            </w:r>
          </w:p>
        </w:tc>
        <w:tc>
          <w:tcPr>
            <w:tcW w:w="117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D15609E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Olanya et al., 2012</w:t>
            </w:r>
          </w:p>
        </w:tc>
      </w:tr>
      <w:tr w:rsidR="00DC386C" w14:paraId="79891370" w14:textId="77777777">
        <w:tc>
          <w:tcPr>
            <w:tcW w:w="135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2215FE1" w14:textId="77777777" w:rsidR="00DC386C" w:rsidRDefault="00000000">
            <w:pPr>
              <w:widowContro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SIMPHYT1</w:t>
            </w:r>
          </w:p>
        </w:tc>
        <w:tc>
          <w:tcPr>
            <w:tcW w:w="193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568267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Negative forecast models to schedule fungicide sprays</w:t>
            </w:r>
          </w:p>
        </w:tc>
        <w:tc>
          <w:tcPr>
            <w:tcW w:w="213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7994488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rFonts w:ascii="Arial Unicode MS" w:eastAsia="Arial Unicode MS" w:hAnsi="Arial Unicode MS" w:cs="Arial Unicode MS"/>
                <w:sz w:val="15"/>
                <w:szCs w:val="15"/>
              </w:rPr>
              <w:t>More than 6h with RH ≥90% and more than 2h leaf wetness or rainfall (20:00–12:00), at 8–25 °C.</w:t>
            </w:r>
          </w:p>
        </w:tc>
        <w:tc>
          <w:tcPr>
            <w:tcW w:w="139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DE6D4F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Temperature, RH, rainfall/leaf wetness.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B8422F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Daily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73DB8B7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From emergence that is the first significant risk</w:t>
            </w:r>
          </w:p>
        </w:tc>
        <w:tc>
          <w:tcPr>
            <w:tcW w:w="159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5E428A8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First-spray decision aid, complements scouting</w:t>
            </w:r>
          </w:p>
          <w:p w14:paraId="4CF8AF9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European origin, but tested in other temperate regions</w:t>
            </w:r>
          </w:p>
        </w:tc>
        <w:tc>
          <w:tcPr>
            <w:tcW w:w="144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B75FA2A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Field comparisons of warning dates and observations</w:t>
            </w:r>
          </w:p>
        </w:tc>
        <w:tc>
          <w:tcPr>
            <w:tcW w:w="15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80B1F2E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Include the crop stage to the weather rules</w:t>
            </w:r>
          </w:p>
        </w:tc>
        <w:tc>
          <w:tcPr>
            <w:tcW w:w="186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DB82690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Requires local validation, no includes the explicit inoculum dynamics</w:t>
            </w:r>
          </w:p>
        </w:tc>
        <w:tc>
          <w:tcPr>
            <w:tcW w:w="117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CAC501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Olanya et al., 2012</w:t>
            </w:r>
          </w:p>
        </w:tc>
      </w:tr>
      <w:tr w:rsidR="00DC386C" w14:paraId="2D1B2DC4" w14:textId="77777777">
        <w:tc>
          <w:tcPr>
            <w:tcW w:w="135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ABB996A" w14:textId="77777777" w:rsidR="00DC386C" w:rsidRDefault="00000000">
            <w:pPr>
              <w:widowContro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LATEBLIGHT</w:t>
            </w:r>
          </w:p>
        </w:tc>
        <w:tc>
          <w:tcPr>
            <w:tcW w:w="193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9F93660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Process-based daily simulation of the asexual cycle (infection - latent - </w:t>
            </w:r>
            <w:r>
              <w:rPr>
                <w:sz w:val="15"/>
                <w:szCs w:val="15"/>
              </w:rPr>
              <w:lastRenderedPageBreak/>
              <w:t>sporulation - spread) with host growth/resistance, it also has an optional fungicide module</w:t>
            </w:r>
          </w:p>
        </w:tc>
        <w:tc>
          <w:tcPr>
            <w:tcW w:w="213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8A7C38F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lastRenderedPageBreak/>
              <w:t xml:space="preserve">Temperature responses for infection/latent/sporulation, initial inoculum, host </w:t>
            </w:r>
            <w:r>
              <w:rPr>
                <w:sz w:val="15"/>
                <w:szCs w:val="15"/>
              </w:rPr>
              <w:lastRenderedPageBreak/>
              <w:t>resistance parameters, leaf-wetness/humidity estimation</w:t>
            </w:r>
          </w:p>
        </w:tc>
        <w:tc>
          <w:tcPr>
            <w:tcW w:w="139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706381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lastRenderedPageBreak/>
              <w:t xml:space="preserve">Air temperature, humidity/leaf wetness, rainfall 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4A39159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Daily time step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20BAA86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From emergence to inoculum </w:t>
            </w:r>
            <w:r>
              <w:rPr>
                <w:sz w:val="15"/>
                <w:szCs w:val="15"/>
              </w:rPr>
              <w:lastRenderedPageBreak/>
              <w:t>initialized</w:t>
            </w:r>
          </w:p>
        </w:tc>
        <w:tc>
          <w:tcPr>
            <w:tcW w:w="159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4998A1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lastRenderedPageBreak/>
              <w:t xml:space="preserve">Scenario testing (spray schedules, resistance levels) and </w:t>
            </w:r>
            <w:r>
              <w:rPr>
                <w:sz w:val="15"/>
                <w:szCs w:val="15"/>
              </w:rPr>
              <w:lastRenderedPageBreak/>
              <w:t>simulation of disease progress curves</w:t>
            </w:r>
          </w:p>
          <w:p w14:paraId="71531254" w14:textId="77777777" w:rsidR="00DC386C" w:rsidRDefault="00DC386C">
            <w:pPr>
              <w:widowControl w:val="0"/>
              <w:rPr>
                <w:sz w:val="15"/>
                <w:szCs w:val="15"/>
              </w:rPr>
            </w:pPr>
          </w:p>
          <w:p w14:paraId="1AF3246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Developed in North America, but validated in the Andes </w:t>
            </w:r>
          </w:p>
        </w:tc>
        <w:tc>
          <w:tcPr>
            <w:tcW w:w="144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CC7DE2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lastRenderedPageBreak/>
              <w:t xml:space="preserve">Fit against observed epidemics using </w:t>
            </w:r>
            <w:r>
              <w:rPr>
                <w:sz w:val="15"/>
                <w:szCs w:val="15"/>
              </w:rPr>
              <w:lastRenderedPageBreak/>
              <w:t>AUDPC, RMSE, and equivalence/envelope tests</w:t>
            </w:r>
          </w:p>
        </w:tc>
        <w:tc>
          <w:tcPr>
            <w:tcW w:w="15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AA359F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lastRenderedPageBreak/>
              <w:t xml:space="preserve">Process-based simulator that allows scenario testing to </w:t>
            </w:r>
            <w:r>
              <w:rPr>
                <w:sz w:val="15"/>
                <w:szCs w:val="15"/>
              </w:rPr>
              <w:lastRenderedPageBreak/>
              <w:t>identify epidemic dynamics</w:t>
            </w:r>
          </w:p>
        </w:tc>
        <w:tc>
          <w:tcPr>
            <w:tcW w:w="186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7BFF922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lastRenderedPageBreak/>
              <w:t xml:space="preserve">It depends on parameterization and good wetness estimation, </w:t>
            </w:r>
            <w:r>
              <w:rPr>
                <w:sz w:val="15"/>
                <w:szCs w:val="15"/>
              </w:rPr>
              <w:lastRenderedPageBreak/>
              <w:t>daily steps may miss sub-daily events, inoculum immigration must be specified</w:t>
            </w:r>
          </w:p>
        </w:tc>
        <w:tc>
          <w:tcPr>
            <w:tcW w:w="117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AC545FF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lastRenderedPageBreak/>
              <w:t>Blandón</w:t>
            </w:r>
            <w:r>
              <w:rPr>
                <w:rFonts w:ascii="Cambria Math" w:eastAsia="Cambria Math" w:hAnsi="Cambria Math" w:cs="Cambria Math"/>
                <w:sz w:val="15"/>
                <w:szCs w:val="15"/>
              </w:rPr>
              <w:t>‑</w:t>
            </w:r>
            <w:r>
              <w:rPr>
                <w:sz w:val="15"/>
                <w:szCs w:val="15"/>
              </w:rPr>
              <w:t>Díaz et al., 2011</w:t>
            </w:r>
          </w:p>
        </w:tc>
      </w:tr>
      <w:tr w:rsidR="00DC386C" w14:paraId="77B2604A" w14:textId="77777777">
        <w:tc>
          <w:tcPr>
            <w:tcW w:w="135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6B781DD" w14:textId="77777777" w:rsidR="00DC386C" w:rsidRDefault="00000000">
            <w:pPr>
              <w:widowContro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SIMCAST</w:t>
            </w:r>
          </w:p>
        </w:tc>
        <w:tc>
          <w:tcPr>
            <w:tcW w:w="193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8FD9D9A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Spray-scheduling scheme combining SV accumulation with cultivar resistance class and fungicide weathering.</w:t>
            </w:r>
          </w:p>
        </w:tc>
        <w:tc>
          <w:tcPr>
            <w:tcW w:w="213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493FE21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SV threshold for first spray; matrix of resistance × recent weather to set interval length.</w:t>
            </w:r>
          </w:p>
        </w:tc>
        <w:tc>
          <w:tcPr>
            <w:tcW w:w="139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C89020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rFonts w:ascii="Arial Unicode MS" w:eastAsia="Arial Unicode MS" w:hAnsi="Arial Unicode MS" w:cs="Arial Unicode MS"/>
                <w:sz w:val="15"/>
                <w:szCs w:val="15"/>
              </w:rPr>
              <w:t>Hours with RH≥90% and temperature during wet periods; rainfall/wetness for scheduling.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F1F3EFA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Hourly, daily SV. The decisions are made daily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CBFC978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From emergence to senescence</w:t>
            </w:r>
          </w:p>
        </w:tc>
        <w:tc>
          <w:tcPr>
            <w:tcW w:w="159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4A0F9D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Set cultivar-specific spray intervals adaptively</w:t>
            </w:r>
          </w:p>
          <w:p w14:paraId="6E9D0FCE" w14:textId="77777777" w:rsidR="00DC386C" w:rsidRDefault="00DC386C">
            <w:pPr>
              <w:widowControl w:val="0"/>
              <w:rPr>
                <w:sz w:val="15"/>
                <w:szCs w:val="15"/>
              </w:rPr>
            </w:pPr>
          </w:p>
          <w:p w14:paraId="1A745137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Integrated into decision support system platforms</w:t>
            </w:r>
          </w:p>
        </w:tc>
        <w:tc>
          <w:tcPr>
            <w:tcW w:w="144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B5C7CB9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Field comparison studies</w:t>
            </w:r>
          </w:p>
        </w:tc>
        <w:tc>
          <w:tcPr>
            <w:tcW w:w="15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629CBEE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Include host resistance and fungicide weathering, generating adaptive spray intervals</w:t>
            </w:r>
          </w:p>
        </w:tc>
        <w:tc>
          <w:tcPr>
            <w:tcW w:w="186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C813391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Depends on correct resistance class and weathering assumptions; sensitive to microclimate; needs calibration.</w:t>
            </w:r>
          </w:p>
        </w:tc>
        <w:tc>
          <w:tcPr>
            <w:tcW w:w="117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3A40DC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Fry et al., </w:t>
            </w:r>
            <w:proofErr w:type="gramStart"/>
            <w:r>
              <w:rPr>
                <w:sz w:val="15"/>
                <w:szCs w:val="15"/>
              </w:rPr>
              <w:t>1983;Hijmans</w:t>
            </w:r>
            <w:proofErr w:type="gramEnd"/>
            <w:r>
              <w:rPr>
                <w:sz w:val="15"/>
                <w:szCs w:val="15"/>
              </w:rPr>
              <w:t xml:space="preserve"> et al., 2000</w:t>
            </w:r>
          </w:p>
        </w:tc>
      </w:tr>
      <w:tr w:rsidR="00DC386C" w14:paraId="1B2CB33C" w14:textId="77777777">
        <w:tc>
          <w:tcPr>
            <w:tcW w:w="135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124E99A" w14:textId="77777777" w:rsidR="00DC386C" w:rsidRDefault="00000000">
            <w:pPr>
              <w:widowContro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TOMCAST (modified for potato)</w:t>
            </w:r>
          </w:p>
        </w:tc>
        <w:tc>
          <w:tcPr>
            <w:tcW w:w="193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022700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Disease Severity Value (DSV)-based system for potato early blight (</w:t>
            </w:r>
            <w:r>
              <w:rPr>
                <w:i/>
                <w:iCs/>
                <w:sz w:val="15"/>
                <w:szCs w:val="15"/>
              </w:rPr>
              <w:t>Alternaria</w:t>
            </w:r>
            <w:r>
              <w:rPr>
                <w:sz w:val="15"/>
                <w:szCs w:val="15"/>
              </w:rPr>
              <w:t>), modified to include aerobiological spore counts.</w:t>
            </w:r>
          </w:p>
        </w:tc>
        <w:tc>
          <w:tcPr>
            <w:tcW w:w="213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43036B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Accumulate daily DSV (leaf wetness × mean temperature), spray warnings at DSV and spore-count thresholds</w:t>
            </w:r>
          </w:p>
        </w:tc>
        <w:tc>
          <w:tcPr>
            <w:tcW w:w="1395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8AF446C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Leaf wetness duration, daily mean temperature, airborne spore concentration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6E0C371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Hourly wetness and temperature summarized to daily DSV </w:t>
            </w:r>
          </w:p>
        </w:tc>
        <w:tc>
          <w:tcPr>
            <w:tcW w:w="12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7B6A896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From row closure to senescence (</w:t>
            </w:r>
            <w:r>
              <w:rPr>
                <w:i/>
                <w:iCs/>
                <w:sz w:val="15"/>
                <w:szCs w:val="15"/>
              </w:rPr>
              <w:t>Alternaria</w:t>
            </w:r>
            <w:r>
              <w:rPr>
                <w:sz w:val="15"/>
                <w:szCs w:val="15"/>
              </w:rPr>
              <w:t xml:space="preserve"> focus).</w:t>
            </w:r>
          </w:p>
        </w:tc>
        <w:tc>
          <w:tcPr>
            <w:tcW w:w="159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56E3081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Trigger fungicide applications </w:t>
            </w:r>
          </w:p>
          <w:p w14:paraId="6F476634" w14:textId="77777777" w:rsidR="00DC386C" w:rsidRDefault="00DC386C">
            <w:pPr>
              <w:widowControl w:val="0"/>
              <w:rPr>
                <w:sz w:val="15"/>
                <w:szCs w:val="15"/>
              </w:rPr>
            </w:pPr>
          </w:p>
          <w:p w14:paraId="2128D294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Validated in European potato areas, adaptable wherever spore traps are available</w:t>
            </w:r>
          </w:p>
        </w:tc>
        <w:tc>
          <w:tcPr>
            <w:tcW w:w="144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6232AA5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Correlations of spores or DSV with disease and AUDPC reductions in validations.</w:t>
            </w:r>
          </w:p>
        </w:tc>
        <w:tc>
          <w:tcPr>
            <w:tcW w:w="150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E27BC3A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As it includes airborne spore counts, reduced false alarms  </w:t>
            </w:r>
          </w:p>
        </w:tc>
        <w:tc>
          <w:tcPr>
            <w:tcW w:w="186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56CF76D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Requires spore sampling, site-specific thresholds</w:t>
            </w:r>
          </w:p>
        </w:tc>
        <w:tc>
          <w:tcPr>
            <w:tcW w:w="1170" w:type="dxa"/>
            <w:tcBorders>
              <w:left w:val="single" w:sz="8" w:space="0" w:color="FFFFFF"/>
              <w:right w:val="single" w:sz="8" w:space="0" w:color="FFFFFF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05D0243" w14:textId="77777777" w:rsidR="00DC386C" w:rsidRDefault="00000000">
            <w:pPr>
              <w:widowControl w:val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Meno et al., 2020</w:t>
            </w:r>
          </w:p>
        </w:tc>
      </w:tr>
    </w:tbl>
    <w:p w14:paraId="1CE4D80B" w14:textId="77777777" w:rsidR="00DC386C" w:rsidRDefault="00000000">
      <w:r>
        <w:rPr>
          <w:b/>
          <w:bCs/>
        </w:rPr>
        <w:t>Supplementary material 1.</w:t>
      </w:r>
      <w:r>
        <w:t xml:space="preserve"> Summary of deterministic models developed for potato diseases</w:t>
      </w:r>
    </w:p>
    <w:sectPr w:rsidR="00DC386C">
      <w:pgSz w:w="16834" w:h="11909" w:orient="landscape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B8B40A49-58AD-AF40-B9B7-8059B6E19479}"/>
    <w:embedBold r:id="rId2" w:fontKey="{A7C4D567-7BC4-FB4F-9C6C-12C5DD8DFBE0}"/>
    <w:embedItalic r:id="rId3" w:fontKey="{E79BF529-6614-A54D-BB41-356F38B97B6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D5A1F774-B98A-0B48-83B4-2440B39E316D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5" w:subsetted="1" w:fontKey="{6EE2B750-F7F8-5645-9317-1345913DFB84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6" w:fontKey="{1397A6AC-AB9C-BE4B-8738-EE945D3ED1B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63180768-93DE-A844-A325-6FE9C0289928}"/>
  </w:font>
  <w:font w:name="Cambria">
    <w:panose1 w:val="02040503050406030204"/>
    <w:charset w:val="00"/>
    <w:family w:val="roman"/>
    <w:notTrueType/>
    <w:pitch w:val="default"/>
    <w:embedRegular r:id="rId8" w:fontKey="{2FC1FD5F-BF93-D044-8344-F0CD72C2C92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6C"/>
    <w:rsid w:val="00A8129A"/>
    <w:rsid w:val="00D42498"/>
    <w:rsid w:val="00DC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33EAD1"/>
  <w15:docId w15:val="{85ADF0C9-D47D-4341-8291-818A97023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_trad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885</Words>
  <Characters>4868</Characters>
  <Application>Microsoft Office Word</Application>
  <DocSecurity>0</DocSecurity>
  <Lines>40</Lines>
  <Paragraphs>11</Paragraphs>
  <ScaleCrop>false</ScaleCrop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Laura  Valbuena Gaona</cp:lastModifiedBy>
  <cp:revision>2</cp:revision>
  <dcterms:created xsi:type="dcterms:W3CDTF">2026-01-27T21:35:00Z</dcterms:created>
  <dcterms:modified xsi:type="dcterms:W3CDTF">2026-01-27T21:37:00Z</dcterms:modified>
</cp:coreProperties>
</file>