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t xml:space="preserve">🧪 Guía para QA</w:t>
      </w:r>
    </w:p>
    <w:p>
      <w:pPr>
        <w:spacing w:after="60"/>
      </w:pPr>
      <w:r>
        <w:rPr>
          <w:i/>
          <w:iCs/>
        </w:rPr>
        <w:t xml:space="preserve">Cómo usar la automatización de API de Omnicanalidad: correrla, leer el reporte, crear casos nuevos y manejar los datos por ambiente.</w:t>
      </w:r>
    </w:p>
    <w:p>
      <w:pPr>
        <w:spacing w:after="300"/>
      </w:pPr>
      <w:r>
        <w:rPr>
          <w:color w:val="555555"/>
          <w:sz w:val="20"/>
          <w:szCs w:val="20"/>
        </w:rPr>
        <w:t xml:space="preserve">Proyecto: Omnicanalidad — POC de pruebas de API (Playwright + TypeScript + BDD)</w:t>
      </w:r>
    </w:p>
    <w:p>
      <w:pPr>
        <w:pStyle w:val="Heading1"/>
        <w:spacing w:after="160" w:before="360"/>
      </w:pPr>
      <w:r>
        <w:t xml:space="preserve">🧭 ¿Qué es esto?</w:t>
      </w:r>
    </w:p>
    <w:p>
      <w:pPr>
        <w:spacing w:after="160"/>
      </w:pPr>
      <w:r>
        <w:t xml:space="preserve">Es una automatización de pruebas de API: en vez de abrir un navegador y hacer clic, se le manda una petición a un servicio (GET, POST, DELETE...) y se valida la respuesta. Los casos se escriben en español, como una historia (Dado / Cuando / Entonces), para que cualquiera los pueda leer sin saber programar.</w:t>
      </w:r>
    </w:p>
    <w:p>
      <w:pPr>
        <w:spacing w:after="160"/>
      </w:pPr>
      <w:r>
        <w:t xml:space="preserve">Hoy corre contra una API pública de práctica (dummyjson.com), con una historia de ejemplo de banca digital. Cuando se conecten los servicios reales de Omnicanalidad, se reutiliza la misma estructura: solo cambian los casos y los datos de conexión, no la forma de trabajar.</w:t>
      </w:r>
    </w:p>
    <w:p>
      <w:pPr>
        <w:pStyle w:val="Heading1"/>
        <w:spacing w:after="160" w:before="360"/>
      </w:pPr>
      <w:r>
        <w:t xml:space="preserve">▶️ Cómo correr las pruebas</w:t>
      </w:r>
    </w:p>
    <w:p>
      <w:pPr>
        <w:pStyle w:val="ListParagraph"/>
        <w:numPr>
          <w:ilvl w:val="0"/>
          <w:numId w:val="2"/>
        </w:numPr>
        <w:spacing w:after="100"/>
      </w:pPr>
      <w:r>
        <w:t xml:space="preserve">Abre una terminal en la carpeta del proyecto.</w:t>
      </w:r>
    </w:p>
    <w:p>
      <w:pPr>
        <w:pStyle w:val="ListParagraph"/>
        <w:numPr>
          <w:ilvl w:val="0"/>
          <w:numId w:val="2"/>
        </w:numPr>
        <w:spacing w:after="100"/>
      </w:pPr>
      <w:r>
        <w:t xml:space="preserve">Solo la primera vez: npm install</w:t>
      </w:r>
    </w:p>
    <w:p>
      <w:pPr>
        <w:pStyle w:val="ListParagraph"/>
        <w:numPr>
          <w:ilvl w:val="0"/>
          <w:numId w:val="2"/>
        </w:numPr>
        <w:spacing w:after="100"/>
      </w:pPr>
      <w:r>
        <w:t xml:space="preserve">Solo la primera vez (o si cambió algo del ambiente): Copy-Item .env.example .env -Force</w:t>
      </w:r>
    </w:p>
    <w:p>
      <w:pPr>
        <w:pStyle w:val="ListParagraph"/>
        <w:numPr>
          <w:ilvl w:val="0"/>
          <w:numId w:val="2"/>
        </w:numPr>
        <w:spacing w:after="100"/>
      </w:pPr>
      <w:r>
        <w:t xml:space="preserve">Corre las pruebas: npm test</w:t>
      </w:r>
    </w:p>
    <w:p>
      <w:pPr>
        <w:pStyle w:val="ListParagraph"/>
        <w:numPr>
          <w:ilvl w:val="0"/>
          <w:numId w:val="2"/>
        </w:numPr>
        <w:spacing w:after="100"/>
      </w:pPr>
      <w:r>
        <w:t xml:space="preserve">Para abrir el reporte: npx playwright show-report</w:t>
      </w:r>
    </w:p>
    <w:p>
      <w:pPr>
        <w:pStyle w:val="Heading1"/>
        <w:spacing w:after="160" w:before="360"/>
      </w:pPr>
      <w:r>
        <w:t xml:space="preserve">📊 Cómo leer el reporte (repaso corto)</w:t>
      </w:r>
    </w:p>
    <w:p>
      <w:pPr>
        <w:pStyle w:val="ListParagraph"/>
        <w:numPr>
          <w:ilvl w:val="0"/>
          <w:numId w:val="3"/>
        </w:numPr>
        <w:spacing w:after="100"/>
      </w:pPr>
      <w:r>
        <w:t xml:space="preserve">⚙️ El ícono de engranaje, arriba a la derecha, cambia el tema claro/oscuro.</w:t>
      </w:r>
    </w:p>
    <w:p>
      <w:pPr>
        <w:pStyle w:val="ListParagraph"/>
        <w:numPr>
          <w:ilvl w:val="0"/>
          <w:numId w:val="3"/>
        </w:numPr>
        <w:spacing w:after="100"/>
      </w:pPr>
      <w:r>
        <w:t xml:space="preserve">🙈 "Before Hooks" se puede ignorar — es preparación interna, no dice nada sobre lo que se probó.</w:t>
      </w:r>
    </w:p>
    <w:p>
      <w:pPr>
        <w:pStyle w:val="ListParagraph"/>
        <w:numPr>
          <w:ilvl w:val="0"/>
          <w:numId w:val="3"/>
        </w:numPr>
        <w:spacing w:after="100"/>
      </w:pPr>
      <w:r>
        <w:t xml:space="preserve">🌎 Cada caso muestra "Ambiente: Prueba" (o el que tengas configurado) junto al título.</w:t>
      </w:r>
    </w:p>
    <w:p>
      <w:pPr>
        <w:pStyle w:val="ListParagraph"/>
        <w:numPr>
          <w:ilvl w:val="0"/>
          <w:numId w:val="3"/>
        </w:numPr>
        <w:spacing w:after="100"/>
      </w:pPr>
      <w:r>
        <w:t xml:space="preserve">📎 Abre "Attachments" en cada caso: ahí está el resumen en español de qué se probó y qué respondió la API.</w:t>
      </w:r>
    </w:p>
    <w:p>
      <w:pPr>
        <w:pStyle w:val="Heading1"/>
        <w:spacing w:after="160" w:before="360"/>
      </w:pPr>
      <w:r>
        <w:t xml:space="preserve">🗂️ Mapa rápido del proyecto</w:t>
      </w:r>
    </w:p>
    <w:p>
      <w:pPr>
        <w:spacing w:after="160"/>
      </w:pPr>
      <w:r>
        <w:t xml:space="preserve">Dónde vive cada cosa, por si necesitas tocarla: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700"/>
        <w:gridCol w:w="6650"/>
      </w:tblGrid>
      <w:tr>
        <w:tc>
          <w:tcPr>
            <w:tcW w:type="dxa" w:w="2700"/>
            <w:shd w:fill="DCE6F1" w:val="clear"/>
            <w:tcMar>
              <w:top w:type="dxa" w:w="100"/>
              <w:left w:type="dxa" w:w="120"/>
              <w:bottom w:type="dxa" w:w="100"/>
              <w:right w:type="dxa" w:w="120"/>
            </w:tcMar>
          </w:tcPr>
          <w:p>
            <w:r>
              <w:rPr>
                <w:b/>
                <w:bCs/>
              </w:rPr>
              <w:t xml:space="preserve">Carpeta / archivo</w:t>
            </w:r>
          </w:p>
        </w:tc>
        <w:tc>
          <w:tcPr>
            <w:tcW w:type="dxa" w:w="6650"/>
            <w:shd w:fill="DCE6F1" w:val="clear"/>
            <w:tcMar>
              <w:top w:type="dxa" w:w="100"/>
              <w:left w:type="dxa" w:w="120"/>
              <w:bottom w:type="dxa" w:w="100"/>
              <w:right w:type="dxa" w:w="120"/>
            </w:tcMar>
          </w:tcPr>
          <w:p>
            <w:r>
              <w:rPr>
                <w:b/>
                <w:bCs/>
              </w:rPr>
              <w:t xml:space="preserve">Para qué sirve</w:t>
            </w:r>
          </w:p>
        </w:tc>
      </w:tr>
      <w:tr>
        <w:tc>
          <w:tcPr>
            <w:tcW w:type="dxa" w:w="2700"/>
            <w:tcMar>
              <w:top w:type="dxa" w:w="100"/>
              <w:left w:type="dxa" w:w="120"/>
              <w:bottom w:type="dxa" w:w="100"/>
              <w:right w:type="dxa" w:w="120"/>
            </w:tcMar>
          </w:tcPr>
          <w:p>
            <w:r>
              <w:rPr>
                <w:b w:val="false"/>
                <w:bCs w:val="false"/>
              </w:rPr>
              <w:t xml:space="preserve">features/</w:t>
            </w:r>
          </w:p>
        </w:tc>
        <w:tc>
          <w:tcPr>
            <w:tcW w:type="dxa" w:w="6650"/>
            <w:tcMar>
              <w:top w:type="dxa" w:w="100"/>
              <w:left w:type="dxa" w:w="120"/>
              <w:bottom w:type="dxa" w:w="100"/>
              <w:right w:type="dxa" w:w="120"/>
            </w:tcMar>
          </w:tcPr>
          <w:p>
            <w:r>
              <w:rPr>
                <w:b w:val="false"/>
                <w:bCs w:val="false"/>
              </w:rPr>
              <w:t xml:space="preserve">Los casos de prueba, en español (Gherkin): Dado / Cuando / Entonces.</w:t>
            </w:r>
          </w:p>
        </w:tc>
      </w:tr>
      <w:tr>
        <w:tc>
          <w:tcPr>
            <w:tcW w:type="dxa" w:w="2700"/>
            <w:tcMar>
              <w:top w:type="dxa" w:w="100"/>
              <w:left w:type="dxa" w:w="120"/>
              <w:bottom w:type="dxa" w:w="100"/>
              <w:right w:type="dxa" w:w="120"/>
            </w:tcMar>
          </w:tcPr>
          <w:p>
            <w:r>
              <w:rPr>
                <w:b w:val="false"/>
                <w:bCs w:val="false"/>
              </w:rPr>
              <w:t xml:space="preserve">steps/</w:t>
            </w:r>
          </w:p>
        </w:tc>
        <w:tc>
          <w:tcPr>
            <w:tcW w:type="dxa" w:w="6650"/>
            <w:tcMar>
              <w:top w:type="dxa" w:w="100"/>
              <w:left w:type="dxa" w:w="120"/>
              <w:bottom w:type="dxa" w:w="100"/>
              <w:right w:type="dxa" w:w="120"/>
            </w:tcMar>
          </w:tcPr>
          <w:p>
            <w:r>
              <w:rPr>
                <w:b w:val="false"/>
                <w:bCs w:val="false"/>
              </w:rPr>
              <w:t xml:space="preserve">Traduce cada línea del Gherkin a una acción real (llama a un Service).</w:t>
            </w:r>
          </w:p>
        </w:tc>
      </w:tr>
      <w:tr>
        <w:tc>
          <w:tcPr>
            <w:tcW w:type="dxa" w:w="2700"/>
            <w:tcMar>
              <w:top w:type="dxa" w:w="100"/>
              <w:left w:type="dxa" w:w="120"/>
              <w:bottom w:type="dxa" w:w="100"/>
              <w:right w:type="dxa" w:w="120"/>
            </w:tcMar>
          </w:tcPr>
          <w:p>
            <w:r>
              <w:rPr>
                <w:b w:val="false"/>
                <w:bCs w:val="false"/>
              </w:rPr>
              <w:t xml:space="preserve">src/services/</w:t>
            </w:r>
          </w:p>
        </w:tc>
        <w:tc>
          <w:tcPr>
            <w:tcW w:type="dxa" w:w="6650"/>
            <w:tcMar>
              <w:top w:type="dxa" w:w="100"/>
              <w:left w:type="dxa" w:w="120"/>
              <w:bottom w:type="dxa" w:w="100"/>
              <w:right w:type="dxa" w:w="120"/>
            </w:tcMar>
          </w:tcPr>
          <w:p>
            <w:r>
              <w:rPr>
                <w:b w:val="false"/>
                <w:bCs w:val="false"/>
              </w:rPr>
              <w:t xml:space="preserve">Sabe cómo hablar con cada API (login, clientes, cuentas...).</w:t>
            </w:r>
          </w:p>
        </w:tc>
      </w:tr>
      <w:tr>
        <w:tc>
          <w:tcPr>
            <w:tcW w:type="dxa" w:w="2700"/>
            <w:tcMar>
              <w:top w:type="dxa" w:w="100"/>
              <w:left w:type="dxa" w:w="120"/>
              <w:bottom w:type="dxa" w:w="100"/>
              <w:right w:type="dxa" w:w="120"/>
            </w:tcMar>
          </w:tcPr>
          <w:p>
            <w:r>
              <w:rPr>
                <w:b w:val="false"/>
                <w:bCs w:val="false"/>
              </w:rPr>
              <w:t xml:space="preserve">src/fixtures/test.ts</w:t>
            </w:r>
          </w:p>
        </w:tc>
        <w:tc>
          <w:tcPr>
            <w:tcW w:type="dxa" w:w="6650"/>
            <w:tcMar>
              <w:top w:type="dxa" w:w="100"/>
              <w:left w:type="dxa" w:w="120"/>
              <w:bottom w:type="dxa" w:w="100"/>
              <w:right w:type="dxa" w:w="120"/>
            </w:tcMar>
          </w:tcPr>
          <w:p>
            <w:r>
              <w:rPr>
                <w:b w:val="false"/>
                <w:bCs w:val="false"/>
              </w:rPr>
              <w:t xml:space="preserve">Conecta todo — los steps piden lo que necesitan desde acá.</w:t>
            </w:r>
          </w:p>
        </w:tc>
      </w:tr>
      <w:tr>
        <w:tc>
          <w:tcPr>
            <w:tcW w:type="dxa" w:w="2700"/>
            <w:tcMar>
              <w:top w:type="dxa" w:w="100"/>
              <w:left w:type="dxa" w:w="120"/>
              <w:bottom w:type="dxa" w:w="100"/>
              <w:right w:type="dxa" w:w="120"/>
            </w:tcMar>
          </w:tcPr>
          <w:p>
            <w:r>
              <w:rPr>
                <w:b w:val="false"/>
                <w:bCs w:val="false"/>
              </w:rPr>
              <w:t xml:space="preserve">src/config/env.ts</w:t>
            </w:r>
          </w:p>
        </w:tc>
        <w:tc>
          <w:tcPr>
            <w:tcW w:type="dxa" w:w="6650"/>
            <w:tcMar>
              <w:top w:type="dxa" w:w="100"/>
              <w:left w:type="dxa" w:w="120"/>
              <w:bottom w:type="dxa" w:w="100"/>
              <w:right w:type="dxa" w:w="120"/>
            </w:tcMar>
          </w:tcPr>
          <w:p>
            <w:r>
              <w:rPr>
                <w:b w:val="false"/>
                <w:bCs w:val="false"/>
              </w:rPr>
              <w:t xml:space="preserve">Lee el .env y centraliza la configuración por ambiente.</w:t>
            </w:r>
          </w:p>
        </w:tc>
      </w:tr>
      <w:tr>
        <w:tc>
          <w:tcPr>
            <w:tcW w:type="dxa" w:w="2700"/>
            <w:tcMar>
              <w:top w:type="dxa" w:w="100"/>
              <w:left w:type="dxa" w:w="120"/>
              <w:bottom w:type="dxa" w:w="100"/>
              <w:right w:type="dxa" w:w="120"/>
            </w:tcMar>
          </w:tcPr>
          <w:p>
            <w:r>
              <w:rPr>
                <w:b w:val="false"/>
                <w:bCs w:val="false"/>
              </w:rPr>
              <w:t xml:space="preserve">.env / .env.example</w:t>
            </w:r>
          </w:p>
        </w:tc>
        <w:tc>
          <w:tcPr>
            <w:tcW w:type="dxa" w:w="6650"/>
            <w:tcMar>
              <w:top w:type="dxa" w:w="100"/>
              <w:left w:type="dxa" w:w="120"/>
              <w:bottom w:type="dxa" w:w="100"/>
              <w:right w:type="dxa" w:w="120"/>
            </w:tcMar>
          </w:tcPr>
          <w:p>
            <w:r>
              <w:rPr>
                <w:b w:val="false"/>
                <w:bCs w:val="false"/>
              </w:rPr>
              <w:t xml:space="preserve">Los datos que cambian según el ambiente (ver la sección 6).</w:t>
            </w:r>
          </w:p>
        </w:tc>
      </w:tr>
    </w:tbl>
    <w:p>
      <w:pPr>
        <w:spacing w:after="200"/>
      </w:pPr>
      <w:r>
        <w:t xml:space="preserve"/>
      </w:r>
    </w:p>
    <w:p>
      <w:pPr>
        <w:pStyle w:val="Heading1"/>
        <w:spacing w:after="160" w:before="360"/>
      </w:pPr>
      <w:r>
        <w:t xml:space="preserve">✍️ Cómo crear un caso de prueba nuevo, paso a paso</w:t>
      </w:r>
    </w:p>
    <w:p>
      <w:pPr>
        <w:spacing w:after="160"/>
      </w:pPr>
      <w:r>
        <w:t xml:space="preserve">No hace falta escribir código desde cero cada vez. Así se arma un caso nuevo:</w:t>
      </w:r>
    </w:p>
    <w:p>
      <w:pPr>
        <w:pStyle w:val="Heading2"/>
        <w:spacing w:after="120" w:before="260"/>
      </w:pPr>
      <w:r>
        <w:t xml:space="preserve">1️⃣ Escribe el escenario en español</w:t>
      </w:r>
    </w:p>
    <w:p>
      <w:pPr>
        <w:spacing w:after="160"/>
      </w:pPr>
      <w:r>
        <w:t xml:space="preserve">Abre un archivo .feature dentro de features/ (o crea uno nuevo) y escribe el escenario con Dado (precondición), Cuando (la acción que se prueba) y Entonces (qué se espera). Por ejemplo:</w:t>
      </w:r>
    </w:p>
    <w:p>
      <w:pPr>
        <w:pBdr>
          <w:top w:val="single" w:color="D0D0D0" w:sz="4"/>
          <w:bottom w:val="single" w:color="D0D0D0" w:sz="4"/>
          <w:left w:val="single" w:color="D0D0D0" w:sz="4"/>
          <w:right w:val="single" w:color="D0D0D0" w:sz="4"/>
        </w:pBdr>
        <w:shd w:fill="F2F2F2" w:val="clear"/>
        <w:spacing w:after="200" w:before="80"/>
        <w:ind w:left="360"/>
      </w:pPr>
      <w:r>
        <w:rPr>
          <w:rFonts w:ascii="Courier New" w:cs="Courier New" w:eastAsia="Courier New" w:hAnsi="Courier New"/>
          <w:sz w:val="19"/>
          <w:szCs w:val="19"/>
        </w:rPr>
        <w:t xml:space="preserve">Escenario: Consultar un segundo cliente</w:t>
      </w:r>
      <w:r>
        <w:br/>
        <w:t xml:space="preserve"/>
      </w:r>
      <w:r>
        <w:rPr>
          <w:rFonts w:ascii="Courier New" w:cs="Courier New" w:eastAsia="Courier New" w:hAnsi="Courier New"/>
          <w:sz w:val="19"/>
          <w:szCs w:val="19"/>
        </w:rPr>
        <w:t xml:space="preserve">  Dado que inicié sesión con el usuario "emilys" y la contraseña "emilyspass"</w:t>
      </w:r>
      <w:r>
        <w:br/>
        <w:t xml:space="preserve"/>
      </w:r>
      <w:r>
        <w:rPr>
          <w:rFonts w:ascii="Courier New" w:cs="Courier New" w:eastAsia="Courier New" w:hAnsi="Courier New"/>
          <w:sz w:val="19"/>
          <w:szCs w:val="19"/>
        </w:rPr>
        <w:t xml:space="preserve">  Cuando consulto el cliente con id 2</w:t>
      </w:r>
      <w:r>
        <w:br/>
        <w:t xml:space="preserve"/>
      </w:r>
      <w:r>
        <w:rPr>
          <w:rFonts w:ascii="Courier New" w:cs="Courier New" w:eastAsia="Courier New" w:hAnsi="Courier New"/>
          <w:sz w:val="19"/>
          <w:szCs w:val="19"/>
        </w:rPr>
        <w:t xml:space="preserve">  Entonces veo los datos de ese cliente</w:t>
      </w:r>
    </w:p>
    <w:p>
      <w:pPr>
        <w:pStyle w:val="Heading2"/>
        <w:spacing w:after="120" w:before="260"/>
      </w:pPr>
      <w:r>
        <w:t xml:space="preserve">2️⃣ Corre npm test</w:t>
      </w:r>
    </w:p>
    <w:p>
      <w:pPr>
        <w:spacing w:after="160"/>
      </w:pPr>
      <w:r>
        <w:t xml:space="preserve">Si alguna línea todavía no tiene una traducción a código, Playwright te lo va a decir clarito con un error, en vez de inventarse un caso vacío en silencio. Eso es a propósito (fail-on-gen): así nunca se te pasa un paso sin implementar.</w:t>
      </w:r>
    </w:p>
    <w:p>
      <w:pPr>
        <w:pStyle w:val="Heading2"/>
        <w:spacing w:after="120" w:before="260"/>
      </w:pPr>
      <w:r>
        <w:t xml:space="preserve">3️⃣ Agrega el step que falta</w:t>
      </w:r>
    </w:p>
    <w:p>
      <w:pPr>
        <w:spacing w:after="160"/>
      </w:pPr>
      <w:r>
        <w:t xml:space="preserve">Ve a steps/*.steps.ts y agrega la función para la línea nueva. Cada step es una frase (el mismo texto exacto del .feature) más una función que llama a un Service. Por ejemplo:</w:t>
      </w:r>
    </w:p>
    <w:p>
      <w:pPr>
        <w:pBdr>
          <w:top w:val="single" w:color="D0D0D0" w:sz="4"/>
          <w:bottom w:val="single" w:color="D0D0D0" w:sz="4"/>
          <w:left w:val="single" w:color="D0D0D0" w:sz="4"/>
          <w:right w:val="single" w:color="D0D0D0" w:sz="4"/>
        </w:pBdr>
        <w:shd w:fill="F2F2F2" w:val="clear"/>
        <w:spacing w:after="200" w:before="80"/>
        <w:ind w:left="360"/>
      </w:pPr>
      <w:r>
        <w:rPr>
          <w:rFonts w:ascii="Courier New" w:cs="Courier New" w:eastAsia="Courier New" w:hAnsi="Courier New"/>
          <w:sz w:val="19"/>
          <w:szCs w:val="19"/>
        </w:rPr>
        <w:t xml:space="preserve">When('consulto el cliente con id {int}', async ({ usersService, ctx }, id) =&gt; {</w:t>
      </w:r>
      <w:r>
        <w:br/>
        <w:t xml:space="preserve"/>
      </w:r>
      <w:r>
        <w:rPr>
          <w:rFonts w:ascii="Courier New" w:cs="Courier New" w:eastAsia="Courier New" w:hAnsi="Courier New"/>
          <w:sz w:val="19"/>
          <w:szCs w:val="19"/>
        </w:rPr>
        <w:t xml:space="preserve">  ctx.setResponse(await usersService.getById(id));</w:t>
      </w:r>
      <w:r>
        <w:br/>
        <w:t xml:space="preserve"/>
      </w:r>
      <w:r>
        <w:rPr>
          <w:rFonts w:ascii="Courier New" w:cs="Courier New" w:eastAsia="Courier New" w:hAnsi="Courier New"/>
          <w:sz w:val="19"/>
          <w:szCs w:val="19"/>
        </w:rPr>
        <w:t xml:space="preserve">});</w:t>
      </w:r>
    </w:p>
    <w:p>
      <w:pPr>
        <w:pStyle w:val="Heading2"/>
        <w:spacing w:after="120" w:before="260"/>
      </w:pPr>
      <w:r>
        <w:t xml:space="preserve">4️⃣ Si hace falta, crea o reutiliza un Service</w:t>
      </w:r>
    </w:p>
    <w:p>
      <w:pPr>
        <w:spacing w:after="160"/>
      </w:pPr>
      <w:r>
        <w:t xml:space="preserve">Si el paso necesita hablar con una API que todavía no tiene Service, se crea uno nuevo en src/services/ (heredando de BaseService) y se conecta una sola vez en src/fixtures/test.ts. Si ya existe un Service para esa API (como usersService en el ejemplo), simplemente se reutiliza.</w:t>
      </w:r>
    </w:p>
    <w:p>
      <w:pPr>
        <w:pStyle w:val="Heading2"/>
        <w:spacing w:after="120" w:before="260"/>
      </w:pPr>
      <w:r>
        <w:t xml:space="preserve">5️⃣ Corre npm test de nuevo</w:t>
      </w:r>
    </w:p>
    <w:p>
      <w:pPr>
        <w:spacing w:after="160"/>
      </w:pPr>
      <w:r>
        <w:t xml:space="preserve">Ahora sí debería generar y correr el caso nuevo junto con todos los demás.</w:t>
      </w:r>
    </w:p>
    <w:p>
      <w:pPr>
        <w:pStyle w:val="Heading2"/>
        <w:spacing w:after="120" w:before="260"/>
      </w:pPr>
      <w:r>
        <w:t xml:space="preserve">6️⃣ Revisa el reporte</w:t>
      </w:r>
    </w:p>
    <w:p>
      <w:pPr>
        <w:spacing w:after="160"/>
      </w:pPr>
      <w:r>
        <w:t xml:space="preserve">Abre npx playwright show-report y confirma que el resumen en español (dentro de "Attachments") se entiende sin tener que leer código.</w:t>
      </w:r>
    </w:p>
    <w:p>
      <w:pPr>
        <w:shd w:fill="EAF3FF" w:val="clear"/>
        <w:spacing w:after="200" w:before="100"/>
        <w:ind w:left="200"/>
      </w:pPr>
      <w:r>
        <w:rPr>
          <w:i/>
          <w:iCs/>
        </w:rPr>
        <w:t xml:space="preserve">💡 Reutiliza los steps que ya existen cuando puedas (ej. "que inicié sesión con el usuario..."). Si necesitas casi lo mismo, es mejor usar el texto exacto de un step existente que crear uno parecido — menos código repetido y menos que mantener.</w:t>
      </w:r>
    </w:p>
    <w:p>
      <w:pPr>
        <w:pStyle w:val="Heading1"/>
        <w:spacing w:after="160" w:before="360"/>
      </w:pPr>
      <w:r>
        <w:t xml:space="preserve">🌎 Dónde vive TODA la data por ambiente</w:t>
      </w:r>
    </w:p>
    <w:p>
      <w:pPr>
        <w:spacing w:after="160"/>
      </w:pPr>
      <w:r>
        <w:t xml:space="preserve">Todo lo que cambia según el ambiente (la URL de la API, el nombre del ambiente, o cualquier dato nuevo que haga falta mañana) vive en un solo lugar: el archivo .env. Nunca se escribe una URL ni un dato de ambiente directo dentro del código.</w:t>
      </w:r>
    </w:p>
    <w:p>
      <w:pPr>
        <w:pStyle w:val="ListParagraph"/>
        <w:numPr>
          <w:ilvl w:val="0"/>
          <w:numId w:val="3"/>
        </w:numPr>
        <w:spacing w:after="100"/>
      </w:pPr>
      <w:r>
        <w:t xml:space="preserve">📄 .env.example — la plantilla. Sí se sube a git. Cada variable tiene un comentario explicando para qué es.</w:t>
      </w:r>
    </w:p>
    <w:p>
      <w:pPr>
        <w:pStyle w:val="ListParagraph"/>
        <w:numPr>
          <w:ilvl w:val="0"/>
          <w:numId w:val="3"/>
        </w:numPr>
        <w:spacing w:after="100"/>
      </w:pPr>
      <w:r>
        <w:t xml:space="preserve">🔒 .env — el archivo real, con los valores de tu ambiente. NO se sube a git. Se crea copiando el ejemplo.</w:t>
      </w:r>
    </w:p>
    <w:p>
      <w:pPr>
        <w:spacing w:after="100" w:before="100"/>
      </w:pPr>
      <w:r>
        <w:t xml:space="preserve">Hoy tiene dos datos:</w:t>
      </w:r>
    </w:p>
    <w:p>
      <w:pPr>
        <w:pStyle w:val="ListParagraph"/>
        <w:numPr>
          <w:ilvl w:val="0"/>
          <w:numId w:val="3"/>
        </w:numPr>
        <w:spacing w:after="100"/>
      </w:pPr>
      <w:r>
        <w:t xml:space="preserve">🔑 API_URL — la URL base de la API que se está probando.</w:t>
      </w:r>
    </w:p>
    <w:p>
      <w:pPr>
        <w:pStyle w:val="ListParagraph"/>
        <w:numPr>
          <w:ilvl w:val="0"/>
          <w:numId w:val="3"/>
        </w:numPr>
        <w:spacing w:after="100"/>
      </w:pPr>
      <w:r>
        <w:t xml:space="preserve">🔑 AMBIENTE — el nombre del ambiente (Prueba, QA, Staging...), solo para que se vea en el reporte.</w:t>
      </w:r>
    </w:p>
    <w:p>
      <w:pPr>
        <w:pStyle w:val="Heading2"/>
        <w:spacing w:after="120" w:before="260"/>
      </w:pPr>
      <w:r>
        <w:t xml:space="preserve">Cómo agregar un dato nuevo por ambiente</w:t>
      </w:r>
    </w:p>
    <w:p>
      <w:pPr>
        <w:pStyle w:val="ListParagraph"/>
        <w:numPr>
          <w:ilvl w:val="0"/>
          <w:numId w:val="4"/>
        </w:numPr>
        <w:spacing w:after="100"/>
      </w:pPr>
      <w:r>
        <w:t xml:space="preserve">Agrega la línea en .env.example, con un comentario que explique qué es. Ejemplo: OTRO_SERVICIO_URL=https://...</w:t>
      </w:r>
    </w:p>
    <w:p>
      <w:pPr>
        <w:pStyle w:val="ListParagraph"/>
        <w:numPr>
          <w:ilvl w:val="0"/>
          <w:numId w:val="4"/>
        </w:numPr>
        <w:spacing w:after="100"/>
      </w:pPr>
      <w:r>
        <w:t xml:space="preserve">Agrega el mismo dato en tu .env real, con el valor que corresponda a tu ambiente.</w:t>
      </w:r>
    </w:p>
    <w:p>
      <w:pPr>
        <w:pStyle w:val="ListParagraph"/>
        <w:numPr>
          <w:ilvl w:val="0"/>
          <w:numId w:val="4"/>
        </w:numPr>
        <w:spacing w:after="100"/>
      </w:pPr>
      <w:r>
        <w:t xml:space="preserve">Ve a src/config/env.ts y declara el campo: en la interfaz Env y en el objeto env, leyéndolo con la función optional(...).</w:t>
      </w:r>
    </w:p>
    <w:p>
      <w:pPr>
        <w:pStyle w:val="ListParagraph"/>
        <w:numPr>
          <w:ilvl w:val="0"/>
          <w:numId w:val="4"/>
        </w:numPr>
        <w:spacing w:after="100"/>
      </w:pPr>
      <w:r>
        <w:t xml:space="preserve">Úsalo en tu código como env.nombreDelCampo — nunca leyendo process.env directo en otro archivo.</w:t>
      </w:r>
    </w:p>
    <w:p>
      <w:pPr>
        <w:shd w:fill="EAF3FF" w:val="clear"/>
        <w:spacing w:after="200" w:before="100"/>
        <w:ind w:left="200"/>
      </w:pPr>
      <w:r>
        <w:rPr>
          <w:i/>
          <w:iCs/>
        </w:rPr>
        <w:t xml:space="preserve">💡 El día que cambien de ambiente (por ejemplo de Prueba a QA), no se toca ni una línea de código — solo el .env.</w:t>
      </w:r>
    </w:p>
    <w:p>
      <w:pPr>
        <w:pStyle w:val="Heading1"/>
        <w:spacing w:after="160" w:before="360"/>
      </w:pPr>
      <w:r>
        <w:t xml:space="preserve">✅ Buenas prácticas rápidas</w:t>
      </w:r>
    </w:p>
    <w:p>
      <w:pPr>
        <w:pStyle w:val="ListParagraph"/>
        <w:numPr>
          <w:ilvl w:val="0"/>
          <w:numId w:val="3"/>
        </w:numPr>
        <w:spacing w:after="100"/>
      </w:pPr>
      <w:r>
        <w:t xml:space="preserve">Reutiliza los steps que ya existen antes de crear uno nuevo con texto parecido.</w:t>
      </w:r>
    </w:p>
    <w:p>
      <w:pPr>
        <w:pStyle w:val="ListParagraph"/>
        <w:numPr>
          <w:ilvl w:val="0"/>
          <w:numId w:val="3"/>
        </w:numPr>
        <w:spacing w:after="100"/>
      </w:pPr>
      <w:r>
        <w:t xml:space="preserve">Los Services nunca deben lanzar una excepción por un status que no sea 2xx — que el step decida qué es válido (así se pueden probar también los casos negativos).</w:t>
      </w:r>
    </w:p>
    <w:p>
      <w:pPr>
        <w:pStyle w:val="ListParagraph"/>
        <w:numPr>
          <w:ilvl w:val="0"/>
          <w:numId w:val="3"/>
        </w:numPr>
        <w:spacing w:after="100"/>
      </w:pPr>
      <w:r>
        <w:t xml:space="preserve">Toda llamada a una API debe llevar una description en español clara, para que el reporte se entienda sin leer código.</w:t>
      </w:r>
    </w:p>
    <w:p>
      <w:pPr>
        <w:pStyle w:val="ListParagraph"/>
        <w:numPr>
          <w:ilvl w:val="0"/>
          <w:numId w:val="3"/>
        </w:numPr>
        <w:spacing w:after="100"/>
      </w:pPr>
      <w:r>
        <w:t xml:space="preserve">Nunca subas tu .env real a git — solo .env.example.</w:t>
      </w:r>
    </w:p>
    <w:p>
      <w:pPr>
        <w:pStyle w:val="Heading1"/>
        <w:spacing w:after="160" w:before="360"/>
      </w:pPr>
      <w:r>
        <w:t xml:space="preserve">❓ Preguntas frecuentes</w:t>
      </w:r>
    </w:p>
    <w:p>
      <w:pPr>
        <w:spacing w:after="100"/>
      </w:pPr>
      <w:r>
        <w:rPr>
          <w:b/>
          <w:bCs/>
        </w:rPr>
        <w:t xml:space="preserve">¿Por qué mi caso nuevo no corrió?</w:t>
      </w:r>
    </w:p>
    <w:p>
      <w:pPr>
        <w:spacing w:after="160"/>
      </w:pPr>
      <w:r>
        <w:t xml:space="preserve">Revisa que el texto del Dado/Cuando/Entonces sea exactamente igual entre el .feature y el step (mismas palabras, mismas comillas). Un espacio o una palabra distinta cuenta como un step diferente para Playwright.</w:t>
      </w:r>
    </w:p>
    <w:p>
      <w:pPr>
        <w:spacing w:after="100"/>
      </w:pPr>
      <w:r>
        <w:rPr>
          <w:b/>
          <w:bCs/>
        </w:rPr>
        <w:t xml:space="preserve">¿Puedo probar contra otra API pública, distinta a dummyjson?</w:t>
      </w:r>
    </w:p>
    <w:p>
      <w:pPr>
        <w:spacing w:after="160"/>
      </w:pPr>
      <w:r>
        <w:t xml:space="preserve">Sí, cambiando API_URL en tu .env. Pero los endpoints (/auth/login, /users/{id}, etc.) están pensados para esa API — si cambias de API hay que revisar los Services también.</w:t>
      </w:r>
    </w:p>
    <w:p>
      <w:pPr>
        <w:spacing w:after="100"/>
      </w:pPr>
      <w:r>
        <w:rPr>
          <w:b/>
          <w:bCs/>
        </w:rPr>
        <w:t xml:space="preserve">Creé algo con un POST, ¿por qué no lo puedo buscar después?</w:t>
      </w:r>
    </w:p>
    <w:p>
      <w:pPr>
        <w:spacing w:after="160"/>
      </w:pPr>
      <w:r>
        <w:t xml:space="preserve">Depende de la API. dummyjson.com (la que usamos de práctica) no guarda de verdad lo que crea — solo simula la respuesta. Con las APIs reales de Omnicanalidad esto sí se espera que funcione de verdad.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2026-09-04T23:04:24.653Z</dcterms:created>
  <dcterms:modified xsi:type="dcterms:W3CDTF">2026-09-04T23:04:24.653Z</dcterms:modified>
</cp:coreProperties>
</file>

<file path=docProps/custom.xml><?xml version="1.0" encoding="utf-8"?>
<Properties xmlns="http://schemas.openxmlformats.org/officeDocument/2006/custom-properties" xmlns:vt="http://schemas.openxmlformats.org/officeDocument/2006/docPropsVTypes"/>
</file>