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2.9 (Apache licensed) using REFERENCE JAXB in Azul Systems, Inc. Java 11.0.11 on Mac OS X -->
    <w:p>
      <w:pPr>
        <w:jc w:val="center"/>
      </w:pPr>
      <w:r>
        <w:t/>
      </w:r>
      <w:r>
        <w:drawing>
          <wp:inline distT="0" distB="0" distL="0" distR="0">
            <wp:extent cx="5943600" cy="432418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4680"/>
        <w:gridCol w:w="4680"/>
      </w:tblGrid>
      <w:tr>
        <w:tc>
          <w:tcPr>
            <w:tcW w:w="4680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Variable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model1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height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age_base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0.214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site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1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(empty)</w:t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2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-3.316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3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-8.095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4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-11.510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5</w:t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-15.866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4680" w:type="dxa"/>
            <w:tcBorders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8.233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tree_ID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var(_cons)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2.171</w:t>
            </w:r>
            <w:r>
              <w:t xml:space="preserve">***</w:t>
            </w:r>
          </w:p>
        </w:tc>
      </w:tr>
      <w:tr>
        <w:tc>
          <w:tcPr>
            <w:tcW w:w="4680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Residual</w:t>
            </w:r>
          </w:p>
        </w:tc>
        <w:tc>
          <w:tcPr>
            <w:tcW w:w="4680" w:type="dxa"/>
            <w:tcBorders>
              <w:top w:val="single" w:color="000000"/>
              <w:left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/>
            </w:r>
            <w:r>
              <w:t xml:space="preserve">   </w:t>
            </w:r>
          </w:p>
        </w:tc>
      </w:tr>
      <w:tr>
        <w:tc>
          <w:tcPr>
            <w:tcW w:w="4680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var(e)</w:t>
            </w:r>
          </w:p>
        </w:tc>
        <w:tc>
          <w:tcPr>
            <w:tcW w:w="4680" w:type="dxa"/>
            <w:tcBorders>
              <w:left w:val="single" w:color="000000"/>
              <w:bottom w:val="single" w:color="000000"/>
            </w:tcBorders>
          </w:tcPr>
          <w:p>
            <w:pPr>
              <w:spacing w:after="0" w:lineRule="auto"/>
              <w:jc w:val="right"/>
            </w:pPr>
            <w:r>
              <w:t xml:space="preserve">8.393</w:t>
            </w:r>
            <w:r>
              <w:t xml:space="preserve">***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w15="http://schemas.microsoft.com/office/word/2012/wordml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