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8.png" ContentType="image/png"/>
  <Override PartName="/word/media/rId31.png" ContentType="image/png"/>
  <Override PartName="/word/media/rId1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2026-03-26</w:t>
      </w:r>
    </w:p>
    <w:p>
      <w:pPr>
        <w:pStyle w:val="FirstParagraph"/>
      </w:pPr>
      <w:r>
        <w:t xml:space="preserve">Scroll to explore</w:t>
      </w:r>
      <w:r>
        <w:t xml:space="preserve"> </w:t>
      </w:r>
      <w:r>
        <w:t xml:space="preserve">⬇️</w:t>
      </w:r>
    </w:p>
    <w:bookmarkStart w:id="9"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9"/>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10" w:name="cr-earth"/>
    <w:bookmarkEnd w:id="10"/>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11"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11"/>
    <w:p>
      <w:pPr>
        <w:pStyle w:val="FirstParagraph"/>
      </w:pPr>
      <w:r>
        <w:t xml:space="preserve">This reminds us of the famous saying by the statistician George Box about statistical models</w:t>
      </w:r>
      <w:r>
        <w:t xml:space="preserve"> </w:t>
      </w:r>
      <w:r>
        <w:t xml:space="preserve">(Hand, 2014)</w:t>
      </w:r>
      <w:r>
        <w:t xml:space="preserve">:</w:t>
      </w:r>
    </w:p>
    <w:bookmarkStart w:id="12"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12"/>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13" w:name="cr-box2"/>
    <w:p>
      <w:pPr>
        <w:pStyle w:val="BlockText"/>
      </w:pPr>
      <w:r>
        <w:t xml:space="preserve">“All models are wrong, but some are useful.”</w:t>
      </w:r>
      <w:r>
        <w:t xml:space="preserve"> </w:t>
      </w:r>
      <w:r>
        <w:t xml:space="preserve">(Box, 1979)</w:t>
      </w:r>
    </w:p>
    <w:bookmarkEnd w:id="13"/>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17" w:name="cr-flowchart"/>
    <w:p>
      <w:pPr>
        <w:pStyle w:val="BodyText"/>
      </w:pPr>
    </w:p>
    <w:p>
      <w:pPr>
        <w:pStyle w:val="BodyText"/>
      </w:pPr>
      <w:r>
        <w:drawing>
          <wp:inline>
            <wp:extent cx="2670048" cy="694944"/>
            <wp:effectExtent b="0" l="0" r="0" t="0"/>
            <wp:docPr descr="" title="" id="15" name="Picture"/>
            <a:graphic>
              <a:graphicData uri="http://schemas.openxmlformats.org/drawingml/2006/picture">
                <pic:pic>
                  <pic:nvPicPr>
                    <pic:cNvPr descr="be-less-wrong_files/figure-docx/mermaid-figure-1.png" id="16" name="Picture"/>
                    <pic:cNvPicPr>
                      <a:picLocks noChangeArrowheads="1" noChangeAspect="1"/>
                    </pic:cNvPicPr>
                  </pic:nvPicPr>
                  <pic:blipFill>
                    <a:blip r:embed="rId14"/>
                    <a:stretch>
                      <a:fillRect/>
                    </a:stretch>
                  </pic:blipFill>
                  <pic:spPr bwMode="auto">
                    <a:xfrm>
                      <a:off x="0" y="0"/>
                      <a:ext cx="2670048" cy="694944"/>
                    </a:xfrm>
                    <a:prstGeom prst="rect">
                      <a:avLst/>
                    </a:prstGeom>
                    <a:noFill/>
                    <a:ln w="9525">
                      <a:noFill/>
                      <a:headEnd/>
                      <a:tailEnd/>
                    </a:ln>
                  </pic:spPr>
                </pic:pic>
              </a:graphicData>
            </a:graphic>
          </wp:inline>
        </w:drawing>
      </w:r>
    </w:p>
    <w:p>
      <w:pPr>
        <w:pStyle w:val="BodyText"/>
      </w:pPr>
    </w:p>
    <w:bookmarkEnd w:id="17"/>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23" w:name="cr-p0"/>
    <w:tbl>
      <w:tblPr>
        <w:tblStyle w:val="Table"/>
        <w:tblW w:type="pct" w:w="5000"/>
        <w:tblLayout w:type="fixed"/>
        <w:tblLook w:firstRow="0" w:lastRow="0" w:firstColumn="0" w:lastColumn="0" w:noHBand="0" w:noVBand="0" w:val="0000"/>
      </w:tblPr>
      <w:tblGrid>
        <w:gridCol w:w="7920"/>
      </w:tblGrid>
      <w:tr>
        <w:tc>
          <w:tcPr/>
          <w:bookmarkStart w:id="22" w:name="fig-p0"/>
          <w:p>
            <w:pPr>
              <w:pStyle w:val="Compact"/>
              <w:jc w:val="center"/>
            </w:pPr>
            <w:bookmarkStart w:id="21" w:name="fig-p0"/>
            <w:r>
              <w:drawing>
                <wp:inline>
                  <wp:extent cx="5334000" cy="3200400"/>
                  <wp:effectExtent b="0" l="0" r="0" t="0"/>
                  <wp:docPr descr="" title="" id="19" name="Picture"/>
                  <a:graphic>
                    <a:graphicData uri="http://schemas.openxmlformats.org/drawingml/2006/picture">
                      <pic:pic>
                        <pic:nvPicPr>
                          <pic:cNvPr descr="be-less-wrong_files/figure-docx/fig-p0-1.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bookmarkEnd w:id="21"/>
          </w:p>
          <w:p>
            <w:pPr>
              <w:jc w:val="center"/>
            </w:pPr>
            <w:pPr>
              <w:jc w:val="left"/>
              <w:spacing w:before="200"/>
              <w:pStyle w:val="ImageCaption"/>
            </w:pPr>
            <w:r>
              <w:t xml:space="preserve">Figure 1</w:t>
            </w:r>
          </w:p>
          <w:bookmarkEnd w:id="22"/>
        </w:tc>
      </w:tr>
    </w:tbl>
    <w:bookmarkEnd w:id="23"/>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25" w:name="cr-notrecommended"/>
    <w:bookmarkStart w:id="24"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24"/>
    <w:bookmarkEnd w:id="25"/>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29" w:name="cr-flowchart2"/>
    <w:p>
      <w:pPr>
        <w:pStyle w:val="BodyText"/>
      </w:pPr>
    </w:p>
    <w:p>
      <w:pPr>
        <w:pStyle w:val="BodyText"/>
      </w:pPr>
      <w:r>
        <w:drawing>
          <wp:inline>
            <wp:extent cx="2660904" cy="1700784"/>
            <wp:effectExtent b="0" l="0" r="0" t="0"/>
            <wp:docPr descr="" title="" id="27" name="Picture"/>
            <a:graphic>
              <a:graphicData uri="http://schemas.openxmlformats.org/drawingml/2006/picture">
                <pic:pic>
                  <pic:nvPicPr>
                    <pic:cNvPr descr="be-less-wrong_files/figure-docx/mermaid-figure-2.png" id="28" name="Picture"/>
                    <pic:cNvPicPr>
                      <a:picLocks noChangeArrowheads="1" noChangeAspect="1"/>
                    </pic:cNvPicPr>
                  </pic:nvPicPr>
                  <pic:blipFill>
                    <a:blip r:embed="rId26"/>
                    <a:stretch>
                      <a:fillRect/>
                    </a:stretch>
                  </pic:blipFill>
                  <pic:spPr bwMode="auto">
                    <a:xfrm>
                      <a:off x="0" y="0"/>
                      <a:ext cx="2660904" cy="1700784"/>
                    </a:xfrm>
                    <a:prstGeom prst="rect">
                      <a:avLst/>
                    </a:prstGeom>
                    <a:noFill/>
                    <a:ln w="9525">
                      <a:noFill/>
                      <a:headEnd/>
                      <a:tailEnd/>
                    </a:ln>
                  </pic:spPr>
                </pic:pic>
              </a:graphicData>
            </a:graphic>
          </wp:inline>
        </w:drawing>
      </w:r>
    </w:p>
    <w:p>
      <w:pPr>
        <w:pStyle w:val="BodyText"/>
      </w:pPr>
    </w:p>
    <w:bookmarkEnd w:id="29"/>
    <w:p>
      <w:pPr>
        <w:pStyle w:val="BodyText"/>
      </w:pPr>
      <w:r>
        <w:t xml:space="preserve">Our conclusion seems to have flipped!</w:t>
      </w:r>
    </w:p>
    <w:bookmarkStart w:id="30"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30"/>
    <w:bookmarkStart w:id="36" w:name="cr-p0-group"/>
    <w:tbl>
      <w:tblPr>
        <w:tblStyle w:val="Table"/>
        <w:tblW w:type="pct" w:w="5000"/>
        <w:tblLayout w:type="fixed"/>
        <w:tblLook w:firstRow="0" w:lastRow="0" w:firstColumn="0" w:lastColumn="0" w:noHBand="0" w:noVBand="0" w:val="0000"/>
      </w:tblPr>
      <w:tblGrid>
        <w:gridCol w:w="7920"/>
      </w:tblGrid>
      <w:tr>
        <w:tc>
          <w:tcPr/>
          <w:bookmarkStart w:id="35" w:name="fig-p0-group"/>
          <w:p>
            <w:pPr>
              <w:pStyle w:val="Compact"/>
              <w:jc w:val="center"/>
            </w:pPr>
            <w:bookmarkStart w:id="34" w:name="fig-p0-group"/>
            <w:r>
              <w:drawing>
                <wp:inline>
                  <wp:extent cx="5334000" cy="3200400"/>
                  <wp:effectExtent b="0" l="0" r="0" t="0"/>
                  <wp:docPr descr="" title="" id="32" name="Picture"/>
                  <a:graphic>
                    <a:graphicData uri="http://schemas.openxmlformats.org/drawingml/2006/picture">
                      <pic:pic>
                        <pic:nvPicPr>
                          <pic:cNvPr descr="be-less-wrong_files/figure-docx/fig-p0-group-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bookmarkEnd w:id="34"/>
          </w:p>
          <w:p>
            <w:pPr>
              <w:jc w:val="center"/>
            </w:pPr>
            <w:pPr>
              <w:jc w:val="left"/>
              <w:spacing w:before="200"/>
              <w:pStyle w:val="ImageCaption"/>
            </w:pPr>
            <w:r>
              <w:t xml:space="preserve">Figure 2</w:t>
            </w:r>
          </w:p>
          <w:bookmarkEnd w:id="35"/>
        </w:tc>
      </w:tr>
    </w:tbl>
    <w:bookmarkEnd w:id="36"/>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37"/>
      </w:r>
    </w:p>
    <w:bookmarkStart w:id="39" w:name="cr-Simpson"/>
    <w:bookmarkStart w:id="38"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38"/>
    <w:bookmarkEnd w:id="39"/>
    <w:p>
      <w:pPr>
        <w:pStyle w:val="BodyText"/>
      </w:pPr>
      <w:r>
        <w:t xml:space="preserve">Adding more variables will not always</w:t>
      </w:r>
      <w:r>
        <w:t xml:space="preserve"> </w:t>
      </w:r>
      <w:r>
        <w:rPr>
          <w:i/>
          <w:iCs/>
        </w:rPr>
        <w:t xml:space="preserve">flip</w:t>
      </w:r>
      <w:r>
        <w:t xml:space="preserve"> </w:t>
      </w:r>
      <w:r>
        <w:t xml:space="preserve">our conclusions.</w:t>
      </w:r>
    </w:p>
    <w:bookmarkStart w:id="41" w:name="cr-multivariate"/>
    <w:bookmarkStart w:id="40"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40"/>
    <w:bookmarkEnd w:id="41"/>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43" w:name="cr-variables"/>
    <w:bookmarkStart w:id="42"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42"/>
    <w:bookmarkEnd w:id="43"/>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50" w:name="cr-thoughtexperiment"/>
    <w:bookmarkStart w:id="49"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ombined"/>
          <w:p>
            <w:pPr>
              <w:pStyle w:val="Compact"/>
              <w:jc w:val="center"/>
            </w:pPr>
            <w:bookmarkStart w:id="47" w:name="fig-combined"/>
            <w:r>
              <w:drawing>
                <wp:inline>
                  <wp:extent cx="5334000" cy="3200400"/>
                  <wp:effectExtent b="0" l="0" r="0" t="0"/>
                  <wp:docPr descr="" title="" id="45" name="Picture"/>
                  <a:graphic>
                    <a:graphicData uri="http://schemas.openxmlformats.org/drawingml/2006/picture">
                      <pic:pic>
                        <pic:nvPicPr>
                          <pic:cNvPr descr="be-less-wrong_files/figure-docx/fig-combined-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bookmarkEnd w:id="47"/>
          </w:p>
          <w:p>
            <w:pPr>
              <w:jc w:val="center"/>
            </w:pPr>
            <w:pPr>
              <w:jc w:val="left"/>
              <w:spacing w:before="200"/>
              <w:pStyle w:val="ImageCaption"/>
            </w:pPr>
            <w:r>
              <w:t xml:space="preserve">Figure 3</w:t>
            </w:r>
          </w:p>
          <w:bookmarkEnd w:id="48"/>
        </w:tc>
      </w:tr>
    </w:tbl>
    <w:bookmarkEnd w:id="49"/>
    <w:bookmarkEnd w:id="50"/>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51"/>
      </w:r>
      <m:oMath>
        <m:sSup>
          <m:e>
            <m:r>
              <m:t>​</m:t>
            </m:r>
          </m:e>
          <m:sup>
            <m:r>
              <m:rPr>
                <m:sty m:val="p"/>
              </m:rPr>
              <m:t>,</m:t>
            </m:r>
          </m:sup>
        </m:sSup>
      </m:oMath>
      <w:r>
        <w:t xml:space="preserve"> </w:t>
      </w:r>
      <w:r>
        <w:rPr>
          <w:rStyle w:val="FootnoteReference"/>
        </w:rPr>
        <w:footnoteReference w:id="52"/>
      </w:r>
      <m:oMath>
        <m:sSup>
          <m:e>
            <m:r>
              <m:t>​</m:t>
            </m:r>
          </m:e>
          <m:sup>
            <m:r>
              <m:rPr>
                <m:sty m:val="p"/>
              </m:rPr>
              <m:t>,</m:t>
            </m:r>
          </m:sup>
        </m:sSup>
      </m:oMath>
      <w:r>
        <w:t xml:space="preserve"> </w:t>
      </w:r>
      <w:r>
        <w:rPr>
          <w:rStyle w:val="FootnoteReference"/>
        </w:rPr>
        <w:footnoteReference w:id="53"/>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55" w:name="cr-belesswrong"/>
    <w:bookmarkStart w:id="54"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54"/>
    <w:bookmarkEnd w:id="55"/>
    <w:bookmarkStart w:id="80" w:name="refs"/>
    <w:bookmarkStart w:id="56"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56"/>
    <w:bookmarkStart w:id="5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57"/>
    <w:bookmarkStart w:id="5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58">
        <w:r>
          <w:rPr>
            <w:rStyle w:val="Hyperlink"/>
          </w:rPr>
          <w:t xml:space="preserve">https://doi.org/10.1038/nrn3475</w:t>
        </w:r>
      </w:hyperlink>
    </w:p>
    <w:bookmarkEnd w:id="59"/>
    <w:bookmarkStart w:id="6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60"/>
    <w:bookmarkStart w:id="62"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61">
        <w:r>
          <w:rPr>
            <w:rStyle w:val="Hyperlink"/>
          </w:rPr>
          <w:t xml:space="preserve">https://doi.org/10.1002/icd.2375</w:t>
        </w:r>
      </w:hyperlink>
    </w:p>
    <w:bookmarkEnd w:id="62"/>
    <w:bookmarkStart w:id="64"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63">
        <w:r>
          <w:rPr>
            <w:rStyle w:val="Hyperlink"/>
          </w:rPr>
          <w:t xml:space="preserve">https://doi.org/10.1146/annurev-soc-071913-043455</w:t>
        </w:r>
      </w:hyperlink>
    </w:p>
    <w:bookmarkEnd w:id="64"/>
    <w:bookmarkStart w:id="66"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65">
        <w:r>
          <w:rPr>
            <w:rStyle w:val="Hyperlink"/>
          </w:rPr>
          <w:t xml:space="preserve">https://doi.org/10.2139/ssrn.1010426</w:t>
        </w:r>
      </w:hyperlink>
    </w:p>
    <w:bookmarkEnd w:id="66"/>
    <w:bookmarkStart w:id="68"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67">
        <w:r>
          <w:rPr>
            <w:rStyle w:val="Hyperlink"/>
          </w:rPr>
          <w:t xml:space="preserve">https://doi.org/10.1214/13-STS446</w:t>
        </w:r>
      </w:hyperlink>
    </w:p>
    <w:bookmarkEnd w:id="68"/>
    <w:bookmarkStart w:id="70"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69">
        <w:r>
          <w:rPr>
            <w:rStyle w:val="Hyperlink"/>
          </w:rPr>
          <w:t xml:space="preserve">https://doi.org/10.1017/S0140525X0999152X</w:t>
        </w:r>
      </w:hyperlink>
    </w:p>
    <w:bookmarkEnd w:id="70"/>
    <w:bookmarkStart w:id="71"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1"/>
    <w:bookmarkStart w:id="72"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2"/>
    <w:bookmarkStart w:id="74"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3">
        <w:r>
          <w:rPr>
            <w:rStyle w:val="Hyperlink"/>
          </w:rPr>
          <w:t xml:space="preserve">https://www.demographic-research.org/volumes/vol32/23/</w:t>
        </w:r>
      </w:hyperlink>
    </w:p>
    <w:bookmarkEnd w:id="74"/>
    <w:bookmarkStart w:id="75"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75"/>
    <w:bookmarkStart w:id="77"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76">
        <w:r>
          <w:rPr>
            <w:rStyle w:val="Hyperlink"/>
          </w:rPr>
          <w:t xml:space="preserve">http://www.jstor.org/stable/2984065</w:t>
        </w:r>
      </w:hyperlink>
    </w:p>
    <w:bookmarkEnd w:id="77"/>
    <w:bookmarkStart w:id="79"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78">
        <w:r>
          <w:rPr>
            <w:rStyle w:val="Hyperlink"/>
          </w:rPr>
          <w:t xml:space="preserve">https://doi.org/10.1093/aje/kws412</w:t>
        </w:r>
      </w:hyperlink>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51">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52">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53">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Third, the logistical demands of RCT’s may lead to studies with</w:t>
      </w:r>
      <w:r>
        <w:t xml:space="preserve"> </w:t>
      </w:r>
      <w:r>
        <w:rPr>
          <w:i/>
          <w:iCs/>
        </w:rPr>
        <w:t xml:space="preserve">shorter time frames</w:t>
      </w:r>
      <w:r>
        <w:t xml:space="preserve"> </w:t>
      </w:r>
      <w:r>
        <w:t xml:space="preserve">(several months or a year) when many phenomena would be better observed over a</w:t>
      </w:r>
      <w:r>
        <w:t xml:space="preserve"> </w:t>
      </w:r>
      <w:r>
        <w:rPr>
          <w:i/>
          <w:iCs/>
        </w:rPr>
        <w:t xml:space="preserve">longer time frame</w:t>
      </w:r>
      <w:r>
        <w:t xml:space="preserve"> </w:t>
      </w:r>
      <w:r>
        <w:t xml:space="preserve">of several years, or even many years.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8" Target="media/rId18.png" /><Relationship Type="http://schemas.openxmlformats.org/officeDocument/2006/relationships/image" Id="rId31" Target="media/rId31.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hyperlink" Id="rId76"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78" Target="https://doi.org/10.1093/aje/kws412"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3"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76"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78" Target="https://doi.org/10.1093/aje/kws412"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3"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2026-03-26T19:08:44Z</dcterms:created>
  <dcterms:modified xsi:type="dcterms:W3CDTF">2026-03-26T19:08:44Z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2026-03-26</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hare">
    <vt:lpwstr/>
  </property>
  <property fmtid="{D5CDD505-2E9C-101B-9397-08002B2CF9AE}" pid="15" name="subtitle">
    <vt:lpwstr>Why Use Quantitative Methods?</vt:lpwstr>
  </property>
  <property fmtid="{D5CDD505-2E9C-101B-9397-08002B2CF9AE}" pid="16" name="toc-title">
    <vt:lpwstr>Table of contents</vt:lpwstr>
  </property>
</Properties>
</file>