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2025-01-05</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w:t>
      </w:r>
      <w:r>
        <w:t xml:space="preserve">All models are wrong, but some are useful.</w:t>
      </w:r>
      <w:r>
        <w:t xml:space="preserve">”</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350008" cy="475488"/>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350008" cy="1271016"/>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3" w:name="cr-belesswrong"/>
    <w:bookmarkStart w:id="62"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2"/>
    <w:bookmarkEnd w:id="63"/>
    <w:bookmarkStart w:id="76" w:name="refs"/>
    <w:bookmarkStart w:id="64"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4"/>
    <w:bookmarkStart w:id="66"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5">
        <w:r>
          <w:rPr>
            <w:rStyle w:val="Hyperlink"/>
          </w:rPr>
          <w:t xml:space="preserve">https://doi.org/10.2139/ssrn.1010426</w:t>
        </w:r>
      </w:hyperlink>
      <w:r>
        <w:t xml:space="preserve">.</w:t>
      </w:r>
    </w:p>
    <w:bookmarkEnd w:id="66"/>
    <w:bookmarkStart w:id="68"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7">
        <w:r>
          <w:rPr>
            <w:rStyle w:val="Hyperlink"/>
          </w:rPr>
          <w:t xml:space="preserve">https://doi.org/10.1214/13-STS446</w:t>
        </w:r>
      </w:hyperlink>
      <w:r>
        <w:t xml:space="preserve">.</w:t>
      </w:r>
    </w:p>
    <w:bookmarkEnd w:id="68"/>
    <w:bookmarkStart w:id="69"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69"/>
    <w:bookmarkStart w:id="70"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0"/>
    <w:bookmarkStart w:id="72"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1">
        <w:r>
          <w:rPr>
            <w:rStyle w:val="Hyperlink"/>
          </w:rPr>
          <w:t xml:space="preserve">https://www.demographic-research.org/volumes/vol32/23/</w:t>
        </w:r>
      </w:hyperlink>
      <w:r>
        <w:t xml:space="preserve">.</w:t>
      </w:r>
    </w:p>
    <w:bookmarkEnd w:id="72"/>
    <w:bookmarkStart w:id="73"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3"/>
    <w:bookmarkStart w:id="75"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4">
        <w:r>
          <w:rPr>
            <w:rStyle w:val="Hyperlink"/>
          </w:rPr>
          <w:t xml:space="preserve">http://www.jstor.org/stable/2984065</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2025-01-05T19:35:27Z</dcterms:created>
  <dcterms:modified xsi:type="dcterms:W3CDTF">2025-01-05T19:35:27Z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