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2025-06-07</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and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m:oMath>
        <m:sSup>
          <m:e>
            <m:r>
              <m:t>​</m:t>
            </m:r>
          </m:e>
          <m:sup>
            <m:r>
              <m:rPr>
                <m:sty m:val="p"/>
              </m:rPr>
              <m:t>,</m:t>
            </m:r>
          </m:sup>
        </m:sSup>
      </m:oMath>
      <w:r>
        <w:t xml:space="preserve"> </w:t>
      </w:r>
      <w:r>
        <w:rPr>
          <w:rStyle w:val="FootnoteReference"/>
        </w:rPr>
        <w:footnoteReference w:id="64"/>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84"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9" w:name="ref-Elwert2014"/>
    <w:p>
      <w:pPr>
        <w:pStyle w:val="Bibliography"/>
      </w:pPr>
      <w:r>
        <w:t xml:space="preserve">Elwert, Felix, and Christopher Winship. 2014.</w:t>
      </w:r>
      <w:r>
        <w:t xml:space="preserve"> </w:t>
      </w:r>
      <w:r>
        <w:t xml:space="preserve">“Endogenous Selection Bias: The Problem of Conditioning on a Collider Variable.”</w:t>
      </w:r>
      <w:r>
        <w:t xml:space="preserve"> </w:t>
      </w:r>
      <w:r>
        <w:rPr>
          <w:i/>
          <w:iCs/>
        </w:rPr>
        <w:t xml:space="preserve">Annual Review of Sociology</w:t>
      </w:r>
      <w:r>
        <w:t xml:space="preserve"> </w:t>
      </w:r>
      <w:r>
        <w:t xml:space="preserve">40 (July): 31–53.</w:t>
      </w:r>
      <w:r>
        <w:t xml:space="preserve"> </w:t>
      </w:r>
      <w:hyperlink r:id="rId68">
        <w:r>
          <w:rPr>
            <w:rStyle w:val="Hyperlink"/>
          </w:rPr>
          <w:t xml:space="preserve">https://doi.org/10.1146/annurev-soc-071913-043455</w:t>
        </w:r>
      </w:hyperlink>
      <w:r>
        <w:t xml:space="preserve">.</w:t>
      </w:r>
    </w:p>
    <w:bookmarkEnd w:id="69"/>
    <w:bookmarkStart w:id="71"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70">
        <w:r>
          <w:rPr>
            <w:rStyle w:val="Hyperlink"/>
          </w:rPr>
          <w:t xml:space="preserve">https://doi.org/10.2139/ssrn.1010426</w:t>
        </w:r>
      </w:hyperlink>
      <w:r>
        <w:t xml:space="preserve">.</w:t>
      </w:r>
    </w:p>
    <w:bookmarkEnd w:id="71"/>
    <w:bookmarkStart w:id="73"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2">
        <w:r>
          <w:rPr>
            <w:rStyle w:val="Hyperlink"/>
          </w:rPr>
          <w:t xml:space="preserve">https://doi.org/10.1214/13-STS446</w:t>
        </w:r>
      </w:hyperlink>
      <w:r>
        <w:t xml:space="preserve">.</w:t>
      </w:r>
    </w:p>
    <w:bookmarkEnd w:id="73"/>
    <w:bookmarkStart w:id="74" w:name="ref-langbliese"/>
    <w:p>
      <w:pPr>
        <w:pStyle w:val="Bibliography"/>
      </w:pPr>
      <w:r>
        <w:t xml:space="preserve">Lang, Jonas W. B., and Paul D. Bliese. in press.</w:t>
      </w:r>
      <w:r>
        <w:t xml:space="preserve"> </w:t>
      </w:r>
      <w:r>
        <w:t xml:space="preserve">“Multilevel Research Designs.”</w:t>
      </w:r>
      <w:r>
        <w:t xml:space="preserve"> </w:t>
      </w:r>
      <w:r>
        <w:t xml:space="preserve">In</w:t>
      </w:r>
      <w:r>
        <w:t xml:space="preserve"> </w:t>
      </w:r>
      <w:r>
        <w:rPr>
          <w:i/>
          <w:iCs/>
        </w:rPr>
        <w:t xml:space="preserve">How to Get Published in the Best Industrial-Organizational Psychology Journals</w:t>
      </w:r>
      <w:r>
        <w:t xml:space="preserve">, edited by N. Bowling, M. K. Shoss, and Z. Zhou. Edward Elgar Publishing.</w:t>
      </w:r>
    </w:p>
    <w:bookmarkEnd w:id="74"/>
    <w:bookmarkStart w:id="75"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5"/>
    <w:bookmarkStart w:id="76"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6"/>
    <w:bookmarkStart w:id="78"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7">
        <w:r>
          <w:rPr>
            <w:rStyle w:val="Hyperlink"/>
          </w:rPr>
          <w:t xml:space="preserve">https://www.demographic-research.org/volumes/vol32/23/</w:t>
        </w:r>
      </w:hyperlink>
      <w:r>
        <w:t xml:space="preserve">.</w:t>
      </w:r>
    </w:p>
    <w:bookmarkEnd w:id="78"/>
    <w:bookmarkStart w:id="79"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9"/>
    <w:bookmarkStart w:id="81"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80">
        <w:r>
          <w:rPr>
            <w:rStyle w:val="Hyperlink"/>
          </w:rPr>
          <w:t xml:space="preserve">http://www.jstor.org/stable/2984065</w:t>
        </w:r>
      </w:hyperlink>
      <w:r>
        <w:t xml:space="preserve">.</w:t>
      </w:r>
    </w:p>
    <w:bookmarkEnd w:id="81"/>
    <w:bookmarkStart w:id="83" w:name="ref-Westreich2013"/>
    <w:p>
      <w:pPr>
        <w:pStyle w:val="Bibliography"/>
      </w:pPr>
      <w:r>
        <w:t xml:space="preserve">Westreich, Daniel, and Sander Greenland. 2013.</w:t>
      </w:r>
      <w:r>
        <w:t xml:space="preserve"> </w:t>
      </w:r>
      <w:r>
        <w:t xml:space="preserve">“The Table 2 Fallacy: Presenting and Interpreting Confounder and Modifier Coefficients.”</w:t>
      </w:r>
      <w:r>
        <w:t xml:space="preserve"> </w:t>
      </w:r>
      <w:r>
        <w:rPr>
          <w:i/>
          <w:iCs/>
        </w:rPr>
        <w:t xml:space="preserve">American Journal of Epidemiology</w:t>
      </w:r>
      <w:r>
        <w:t xml:space="preserve"> </w:t>
      </w:r>
      <w:r>
        <w:t xml:space="preserve">177 (February): 292–98.</w:t>
      </w:r>
      <w:r>
        <w:t xml:space="preserve"> </w:t>
      </w:r>
      <w:hyperlink r:id="rId82">
        <w:r>
          <w:rPr>
            <w:rStyle w:val="Hyperlink"/>
          </w:rPr>
          <w:t xml:space="preserve">https://doi.org/10.1093/aje/kws412</w:t>
        </w:r>
      </w:hyperlink>
      <w:r>
        <w:t xml:space="preserve">.</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 Lang and Bliese in press)</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and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and Winship 2014)</w:t>
      </w:r>
      <w:r>
        <w:t xml:space="preserve">.</w:t>
      </w:r>
    </w:p>
  </w:footnote>
  <w:footnote w:id="64">
    <w:p>
      <w:pPr>
        <w:pStyle w:val="FootnoteText"/>
      </w:pPr>
      <w:r>
        <w:rPr>
          <w:rStyle w:val="FootnoteReference"/>
        </w:rPr>
        <w:footnoteRef/>
      </w:r>
      <w:r>
        <w:t xml:space="preserve"> </w:t>
      </w:r>
      <w:r>
        <w:t xml:space="preserve">Further, one could argue, somewhat convincingly, that an RCT (</w:t>
      </w:r>
      <w:r>
        <w:rPr>
          <w:i/>
          <w:iCs/>
        </w:rPr>
        <w:t xml:space="preserve">randomized controlled trial</w:t>
      </w:r>
      <w:r>
        <w:t xml:space="preserve">) would solve the major issue inspiring this presentation. By</w:t>
      </w:r>
      <w:r>
        <w:t xml:space="preserve"> </w:t>
      </w:r>
      <w:r>
        <w:rPr>
          <w:i/>
          <w:iCs/>
        </w:rPr>
        <w:t xml:space="preserve">randomly</w:t>
      </w:r>
      <w:r>
        <w:t xml:space="preserve"> </w:t>
      </w:r>
      <w:r>
        <w:t xml:space="preserve">assigning study participants to a</w:t>
      </w:r>
      <w:r>
        <w:t xml:space="preserve"> </w:t>
      </w:r>
      <w:r>
        <w:rPr>
          <w:i/>
          <w:iCs/>
        </w:rPr>
        <w:t xml:space="preserve">treatment</w:t>
      </w:r>
      <w:r>
        <w:t xml:space="preserve"> </w:t>
      </w:r>
      <w:r>
        <w:t xml:space="preserve">and</w:t>
      </w:r>
      <w:r>
        <w:t xml:space="preserve"> </w:t>
      </w:r>
      <w:r>
        <w:rPr>
          <w:i/>
          <w:iCs/>
        </w:rPr>
        <w:t xml:space="preserve">control</w:t>
      </w:r>
      <w:r>
        <w:t xml:space="preserve"> </w:t>
      </w:r>
      <w:r>
        <w:t xml:space="preserve">group, we would avoid the possibility that our results could be statistically confounded by other factors, and thus avoid the possibility that our results would</w:t>
      </w:r>
      <w:r>
        <w:t xml:space="preserve"> </w:t>
      </w:r>
      <w:r>
        <w:rPr>
          <w:i/>
          <w:iCs/>
        </w:rPr>
        <w:t xml:space="preserve">flip</w:t>
      </w:r>
      <w:r>
        <w:t xml:space="preserve"> </w:t>
      </w:r>
      <w:r>
        <w:t xml:space="preserve">or</w:t>
      </w:r>
      <w:r>
        <w:t xml:space="preserve"> </w:t>
      </w:r>
      <w:r>
        <w:rPr>
          <w:i/>
          <w:iCs/>
        </w:rPr>
        <w:t xml:space="preserve">substantially change</w:t>
      </w:r>
      <w:r>
        <w:t xml:space="preserve"> </w:t>
      </w:r>
      <w:r>
        <w:t xml:space="preserve">as we add more variables to the model. However, what is not often enough acknowledged is that RCT’s are often based upon small</w:t>
      </w:r>
      <w:r>
        <w:t xml:space="preserve"> </w:t>
      </w:r>
      <w:r>
        <w:rPr>
          <w:i/>
          <w:iCs/>
        </w:rPr>
        <w:t xml:space="preserve">clinically available</w:t>
      </w:r>
      <w:r>
        <w:t xml:space="preserve"> </w:t>
      </w:r>
      <w:r>
        <w:t xml:space="preserve">or</w:t>
      </w:r>
      <w:r>
        <w:t xml:space="preserve"> </w:t>
      </w:r>
      <w:r>
        <w:rPr>
          <w:i/>
          <w:iCs/>
        </w:rPr>
        <w:t xml:space="preserve">conveniently available</w:t>
      </w:r>
      <w:r>
        <w:t xml:space="preserve"> </w:t>
      </w:r>
      <w:r>
        <w:t xml:space="preserve">samples that may not</w:t>
      </w:r>
      <w:r>
        <w:t xml:space="preserve"> </w:t>
      </w:r>
      <w:r>
        <w:rPr>
          <w:i/>
          <w:iCs/>
        </w:rPr>
        <w:t xml:space="preserve">generalize</w:t>
      </w:r>
      <w:r>
        <w:t xml:space="preserve"> </w:t>
      </w:r>
      <w:r>
        <w:t xml:space="preserve">well to other populations or people. Large observational studies with diverse populations–and models with many appropriate control variables–certainly have their role.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8" Target="https://doi.org/10.1146/annurev-soc-071913-043455" TargetMode="External" /><Relationship Type="http://schemas.openxmlformats.org/officeDocument/2006/relationships/hyperlink" Id="rId72" Target="https://doi.org/10.1214/13-STS446" TargetMode="External" /><Relationship Type="http://schemas.openxmlformats.org/officeDocument/2006/relationships/hyperlink" Id="rId70" Target="https://doi.org/10.2139/ssrn.1010426" TargetMode="External" /><Relationship Type="http://schemas.openxmlformats.org/officeDocument/2006/relationships/hyperlink" Id="rId77"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8" Target="https://doi.org/10.1146/annurev-soc-071913-043455" TargetMode="External" /><Relationship Type="http://schemas.openxmlformats.org/officeDocument/2006/relationships/hyperlink" Id="rId72" Target="https://doi.org/10.1214/13-STS446" TargetMode="External" /><Relationship Type="http://schemas.openxmlformats.org/officeDocument/2006/relationships/hyperlink" Id="rId70" Target="https://doi.org/10.2139/ssrn.1010426" TargetMode="External" /><Relationship Type="http://schemas.openxmlformats.org/officeDocument/2006/relationships/hyperlink" Id="rId77"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2025-06-07T16:09:49Z</dcterms:created>
  <dcterms:modified xsi:type="dcterms:W3CDTF">2025-06-07T16:09:49Z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2025-06-07</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