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2024-12-26</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5096080"/>
            <wp:effectExtent b="0" l="0" r="0" t="0"/>
            <wp:docPr descr="Earth" title="" id="22" name="Picture"/>
            <a:graphic>
              <a:graphicData uri="http://schemas.openxmlformats.org/drawingml/2006/picture">
                <pic:pic>
                  <pic:nvPicPr>
                    <pic:cNvPr descr="earth.png" id="23" name="Picture"/>
                    <pic:cNvPicPr>
                      <a:picLocks noChangeArrowheads="1" noChangeAspect="1"/>
                    </pic:cNvPicPr>
                  </pic:nvPicPr>
                  <pic:blipFill>
                    <a:blip r:embed="rId21"/>
                    <a:stretch>
                      <a:fillRect/>
                    </a:stretch>
                  </pic:blipFill>
                  <pic:spPr bwMode="auto">
                    <a:xfrm>
                      <a:off x="0" y="0"/>
                      <a:ext cx="5334000" cy="5096080"/>
                    </a:xfrm>
                    <a:prstGeom prst="rect">
                      <a:avLst/>
                    </a:prstGeom>
                    <a:noFill/>
                    <a:ln w="9525">
                      <a:noFill/>
                      <a:headEnd/>
                      <a:tailEnd/>
                    </a:ln>
                  </pic:spPr>
                </pic:pic>
              </a:graphicData>
            </a:graphic>
          </wp:inline>
        </w:drawing>
      </w:r>
    </w:p>
    <w:p>
      <w:pPr>
        <w:pStyle w:val="ImageCaption"/>
      </w:pPr>
      <w:r>
        <w:t xml:space="preserve">Earth</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p>
      <w:pPr>
        <w:pStyle w:val="BodyText"/>
      </w:pPr>
      <w:r>
        <w:t xml:space="preserve">Adding more variables will not always</w:t>
      </w:r>
      <w:r>
        <w:t xml:space="preserve"> </w:t>
      </w:r>
      <w:r>
        <w:rPr>
          <w:i/>
          <w:iCs/>
        </w:rPr>
        <w:t xml:space="preserve">flip</w:t>
      </w:r>
      <w:r>
        <w:t xml:space="preserve"> </w:t>
      </w:r>
      <w:r>
        <w:t xml:space="preserve">our conclusions. But often, adding additional variables means that an original conclusion that we thought was substantively or statistically significant is no longer significant.</w:t>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5" w:name="cr-variables"/>
    <w:bookmarkStart w:id="54"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4"/>
    <w:bookmarkEnd w:id="55"/>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2" w:name="cr-thoughtexperiment"/>
    <w:bookmarkStart w:id="61"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fig-combined"/>
          <w:p>
            <w:pPr>
              <w:pStyle w:val="Compact"/>
              <w:jc w:val="center"/>
            </w:pPr>
            <w:bookmarkStart w:id="59" w:name="fig-combined"/>
            <w:r>
              <w:drawing>
                <wp:inline>
                  <wp:extent cx="5334000" cy="3200400"/>
                  <wp:effectExtent b="0" l="0" r="0" t="0"/>
                  <wp:docPr descr="" title="" id="57" name="Picture"/>
                  <a:graphic>
                    <a:graphicData uri="http://schemas.openxmlformats.org/drawingml/2006/picture">
                      <pic:pic>
                        <pic:nvPicPr>
                          <pic:cNvPr descr="be-less-wrong_files/figure-docx/fig-combined-1.png" id="58"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bookmarkEnd w:id="59"/>
          </w:p>
          <w:p>
            <w:pPr>
              <w:jc w:val="center"/>
            </w:pPr>
            <w:pPr>
              <w:jc w:val="start"/>
              <w:spacing w:before="200"/>
              <w:pStyle w:val="ImageCaption"/>
            </w:pPr>
            <w:r>
              <w:t xml:space="preserve">Figure 3</w:t>
            </w:r>
          </w:p>
          <w:bookmarkEnd w:id="60"/>
        </w:tc>
      </w:tr>
    </w:tbl>
    <w:bookmarkEnd w:id="61"/>
    <w:bookmarkEnd w:id="62"/>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4" w:name="cr-belesswrong"/>
    <w:bookmarkStart w:id="63"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3"/>
    <w:bookmarkEnd w:id="64"/>
    <w:bookmarkStart w:id="77" w:name="refs"/>
    <w:bookmarkStart w:id="65"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5"/>
    <w:bookmarkStart w:id="67"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6">
        <w:r>
          <w:rPr>
            <w:rStyle w:val="Hyperlink"/>
          </w:rPr>
          <w:t xml:space="preserve">https://doi.org/10.2139/ssrn.1010426</w:t>
        </w:r>
      </w:hyperlink>
      <w:r>
        <w:t xml:space="preserve">.</w:t>
      </w:r>
    </w:p>
    <w:bookmarkEnd w:id="67"/>
    <w:bookmarkStart w:id="69"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68">
        <w:r>
          <w:rPr>
            <w:rStyle w:val="Hyperlink"/>
          </w:rPr>
          <w:t xml:space="preserve">https://doi.org/10.1214/13-STS446</w:t>
        </w:r>
      </w:hyperlink>
      <w:r>
        <w:t xml:space="preserve">.</w:t>
      </w:r>
    </w:p>
    <w:bookmarkEnd w:id="69"/>
    <w:bookmarkStart w:id="70"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0"/>
    <w:bookmarkStart w:id="71"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1"/>
    <w:bookmarkStart w:id="73"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2">
        <w:r>
          <w:rPr>
            <w:rStyle w:val="Hyperlink"/>
          </w:rPr>
          <w:t xml:space="preserve">https://www.demographic-research.org/volumes/vol32/23/</w:t>
        </w:r>
      </w:hyperlink>
      <w:r>
        <w:t xml:space="preserve">.</w:t>
      </w:r>
    </w:p>
    <w:bookmarkEnd w:id="73"/>
    <w:bookmarkStart w:id="74"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4"/>
    <w:bookmarkStart w:id="76"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5">
        <w:r>
          <w:rPr>
            <w:rStyle w:val="Hyperlink"/>
          </w:rPr>
          <w:t xml:space="preserve">http://www.jstor.org/stable/2984065</w:t>
        </w:r>
      </w:hyperlink>
      <w:r>
        <w:t xml:space="preserve">.</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5" Target="http://www.jstor.org/stable/2984065" TargetMode="External" /><Relationship Type="http://schemas.openxmlformats.org/officeDocument/2006/relationships/hyperlink" Id="rId68" Target="https://doi.org/10.1214/13-STS446" TargetMode="External" /><Relationship Type="http://schemas.openxmlformats.org/officeDocument/2006/relationships/hyperlink" Id="rId66" Target="https://doi.org/10.2139/ssrn.1010426" TargetMode="External" /><Relationship Type="http://schemas.openxmlformats.org/officeDocument/2006/relationships/hyperlink" Id="rId72"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5" Target="http://www.jstor.org/stable/2984065" TargetMode="External" /><Relationship Type="http://schemas.openxmlformats.org/officeDocument/2006/relationships/hyperlink" Id="rId68" Target="https://doi.org/10.1214/13-STS446" TargetMode="External" /><Relationship Type="http://schemas.openxmlformats.org/officeDocument/2006/relationships/hyperlink" Id="rId66" Target="https://doi.org/10.2139/ssrn.1010426" TargetMode="External" /><Relationship Type="http://schemas.openxmlformats.org/officeDocument/2006/relationships/hyperlink" Id="rId72"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2024-12-26T22:05:28Z</dcterms:created>
  <dcterms:modified xsi:type="dcterms:W3CDTF">2024-12-26T22:05:28Z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2024-12-26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Why Use Quantitative Methods?</vt:lpwstr>
  </property>
  <property fmtid="{D5CDD505-2E9C-101B-9397-08002B2CF9AE}" pid="12" name="toc-title">
    <vt:lpwstr>Table of contents</vt:lpwstr>
  </property>
</Properties>
</file>