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2025-07-08</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4"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8" w:name="ref-DiezRoux2003"/>
    <w:p>
      <w:pPr>
        <w:pStyle w:val="Bibliography"/>
      </w:pPr>
      <w:r>
        <w:t xml:space="preserve">Diez Roux, Ana. 2003.</w:t>
      </w:r>
      <w:r>
        <w:t xml:space="preserve"> </w:t>
      </w:r>
      <w:r>
        <w:t xml:space="preserve">“Potentialities and Limitations of Multilevel Analysis in Public Health and Epidemiology.”</w:t>
      </w:r>
      <w:r>
        <w:t xml:space="preserve"> </w:t>
      </w:r>
      <w:r>
        <w:t xml:space="preserve">In</w:t>
      </w:r>
      <w:r>
        <w:t xml:space="preserve"> </w:t>
      </w:r>
      <w:r>
        <w:rPr>
          <w:i/>
          <w:iCs/>
        </w:rPr>
        <w:t xml:space="preserve">Methodology and Epistemology of Multilevel Analysis: Approaches from Different Social Sciences</w:t>
      </w:r>
      <w:r>
        <w:t xml:space="preserve">, edited by Daniel Courgeau, 93–119. Kluwer Academic Publishers.</w:t>
      </w:r>
    </w:p>
    <w:bookmarkEnd w:id="68"/>
    <w:bookmarkStart w:id="70"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9">
        <w:r>
          <w:rPr>
            <w:rStyle w:val="Hyperlink"/>
          </w:rPr>
          <w:t xml:space="preserve">https://doi.org/10.1146/annurev-soc-071913-043455</w:t>
        </w:r>
      </w:hyperlink>
      <w:r>
        <w:t xml:space="preserve">.</w:t>
      </w:r>
    </w:p>
    <w:bookmarkEnd w:id="70"/>
    <w:bookmarkStart w:id="72"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71">
        <w:r>
          <w:rPr>
            <w:rStyle w:val="Hyperlink"/>
          </w:rPr>
          <w:t xml:space="preserve">https://doi.org/10.2139/ssrn.1010426</w:t>
        </w:r>
      </w:hyperlink>
      <w:r>
        <w:t xml:space="preserve">.</w:t>
      </w:r>
    </w:p>
    <w:bookmarkEnd w:id="72"/>
    <w:bookmarkStart w:id="74"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3">
        <w:r>
          <w:rPr>
            <w:rStyle w:val="Hyperlink"/>
          </w:rPr>
          <w:t xml:space="preserve">https://doi.org/10.1214/13-STS446</w:t>
        </w:r>
      </w:hyperlink>
      <w:r>
        <w:t xml:space="preserve">.</w:t>
      </w:r>
    </w:p>
    <w:bookmarkEnd w:id="74"/>
    <w:bookmarkStart w:id="75"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5"/>
    <w:bookmarkStart w:id="76"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6"/>
    <w:bookmarkStart w:id="78"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7">
        <w:r>
          <w:rPr>
            <w:rStyle w:val="Hyperlink"/>
          </w:rPr>
          <w:t xml:space="preserve">https://www.demographic-research.org/volumes/vol32/23/</w:t>
        </w:r>
      </w:hyperlink>
      <w:r>
        <w:t xml:space="preserve">.</w:t>
      </w:r>
    </w:p>
    <w:bookmarkEnd w:id="78"/>
    <w:bookmarkStart w:id="79"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9"/>
    <w:bookmarkStart w:id="81"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80">
        <w:r>
          <w:rPr>
            <w:rStyle w:val="Hyperlink"/>
          </w:rPr>
          <w:t xml:space="preserve">http://www.jstor.org/stable/2984065</w:t>
        </w:r>
      </w:hyperlink>
      <w:r>
        <w:t xml:space="preserve">.</w:t>
      </w:r>
    </w:p>
    <w:bookmarkEnd w:id="81"/>
    <w:bookmarkStart w:id="83"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2">
        <w:r>
          <w:rPr>
            <w:rStyle w:val="Hyperlink"/>
          </w:rPr>
          <w:t xml:space="preserve">https://doi.org/10.1093/aje/kws412</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Diez Roux 2003)</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 statistically confounded 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However,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9" Target="https://doi.org/10.1146/annurev-soc-071913-043455" TargetMode="External" /><Relationship Type="http://schemas.openxmlformats.org/officeDocument/2006/relationships/hyperlink" Id="rId73" Target="https://doi.org/10.1214/13-STS446" TargetMode="External" /><Relationship Type="http://schemas.openxmlformats.org/officeDocument/2006/relationships/hyperlink" Id="rId71" Target="https://doi.org/10.2139/ssrn.1010426" TargetMode="External" /><Relationship Type="http://schemas.openxmlformats.org/officeDocument/2006/relationships/hyperlink" Id="rId77"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9" Target="https://doi.org/10.1146/annurev-soc-071913-043455" TargetMode="External" /><Relationship Type="http://schemas.openxmlformats.org/officeDocument/2006/relationships/hyperlink" Id="rId73" Target="https://doi.org/10.1214/13-STS446" TargetMode="External" /><Relationship Type="http://schemas.openxmlformats.org/officeDocument/2006/relationships/hyperlink" Id="rId71" Target="https://doi.org/10.2139/ssrn.1010426" TargetMode="External" /><Relationship Type="http://schemas.openxmlformats.org/officeDocument/2006/relationships/hyperlink" Id="rId77"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2025-07-08T18:24:50Z</dcterms:created>
  <dcterms:modified xsi:type="dcterms:W3CDTF">2025-07-08T18:24:50Z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2025-07-08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