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2025-09-20</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&amp;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6" w:name="refs"/>
    <w:bookmarkStart w:id="67" w:name="ref-Box1979"/>
    <w:p>
      <w:pPr>
        <w:pStyle w:val="Bibliography"/>
      </w:pPr>
      <w:r>
        <w:t xml:space="preserve">Box, G. (1979). Robustness in the strategy of scientific model building. In R. L. Launer &amp; G. N. Wilkinson (Eds.),</w:t>
      </w:r>
      <w:r>
        <w:t xml:space="preserve"> </w:t>
      </w:r>
      <w:r>
        <w:rPr>
          <w:i/>
          <w:iCs/>
        </w:rPr>
        <w:t xml:space="preserve">Robustness in statistics</w:t>
      </w:r>
      <w:r>
        <w:t xml:space="preserve">. Academic Press, Inc. [Harcourt Brace Jovanovich, Publishers], New York-London.</w:t>
      </w:r>
    </w:p>
    <w:bookmarkEnd w:id="67"/>
    <w:bookmarkStart w:id="69" w:name="ref-Button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 365–376.</w:t>
      </w:r>
      <w:r>
        <w:t xml:space="preserve"> </w:t>
      </w:r>
      <w:hyperlink r:id="rId68">
        <w:r>
          <w:rPr>
            <w:rStyle w:val="Hyperlink"/>
          </w:rPr>
          <w:t xml:space="preserve">https://doi.org/10.1038/nrn3475</w:t>
        </w:r>
      </w:hyperlink>
    </w:p>
    <w:bookmarkEnd w:id="69"/>
    <w:bookmarkStart w:id="70" w:name="ref-DiezRoux2003"/>
    <w:p>
      <w:pPr>
        <w:pStyle w:val="Bibliography"/>
      </w:pPr>
      <w:r>
        <w:t xml:space="preserve">Diez Roux, A. (2003). Potentialities and limitations of multilevel analysis in public health and epidemiology. In D. Courgeau (Ed.),</w:t>
      </w:r>
      <w:r>
        <w:t xml:space="preserve"> </w:t>
      </w:r>
      <w:r>
        <w:rPr>
          <w:i/>
          <w:iCs/>
        </w:rPr>
        <w:t xml:space="preserve">Methodology and epistemology of multilevel analysis: Approaches from different social sciences</w:t>
      </w:r>
      <w:r>
        <w:t xml:space="preserve"> </w:t>
      </w:r>
      <w:r>
        <w:t xml:space="preserve">(pp. 93–119). Kluwer Academic Publishers.</w:t>
      </w:r>
    </w:p>
    <w:bookmarkEnd w:id="70"/>
    <w:bookmarkStart w:id="72" w:name="ref-Elwert2014"/>
    <w:p>
      <w:pPr>
        <w:pStyle w:val="Bibliography"/>
      </w:pPr>
      <w:r>
        <w:t xml:space="preserve">Elwert, F., &amp; Winship, C. (2014). Endogenous selection bias: The problem of conditioning on a collider variable.</w:t>
      </w:r>
      <w:r>
        <w:t xml:space="preserve"> </w:t>
      </w:r>
      <w:r>
        <w:rPr>
          <w:i/>
          <w:iCs/>
        </w:rPr>
        <w:t xml:space="preserve">Annual Review of Sociology</w:t>
      </w:r>
      <w:r>
        <w:t xml:space="preserve">,</w:t>
      </w:r>
      <w:r>
        <w:t xml:space="preserve"> </w:t>
      </w:r>
      <w:r>
        <w:rPr>
          <w:i/>
          <w:iCs/>
        </w:rPr>
        <w:t xml:space="preserve">40</w:t>
      </w:r>
      <w:r>
        <w:t xml:space="preserve">, 31–53.</w:t>
      </w:r>
      <w:r>
        <w:t xml:space="preserve"> </w:t>
      </w:r>
      <w:hyperlink r:id="rId71">
        <w:r>
          <w:rPr>
            <w:rStyle w:val="Hyperlink"/>
          </w:rPr>
          <w:t xml:space="preserve">https://doi.org/10.1146/annurev-soc-071913-043455</w:t>
        </w:r>
      </w:hyperlink>
    </w:p>
    <w:bookmarkEnd w:id="72"/>
    <w:bookmarkStart w:id="74" w:name="ref-Gelman2007"/>
    <w:p>
      <w:pPr>
        <w:pStyle w:val="Bibliography"/>
      </w:pPr>
      <w:r>
        <w:t xml:space="preserve">Gelman, A., Shor, B., Bafumi, J., &amp; Park, D. (2007). 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w:t>
      </w:r>
      <w:r>
        <w:t xml:space="preserve"> </w:t>
      </w:r>
      <w:r>
        <w:rPr>
          <w:i/>
          <w:iCs/>
        </w:rPr>
        <w:t xml:space="preserve">2</w:t>
      </w:r>
      <w:r>
        <w:t xml:space="preserve">, 345–367.</w:t>
      </w:r>
      <w:r>
        <w:t xml:space="preserve"> </w:t>
      </w:r>
      <w:hyperlink r:id="rId73">
        <w:r>
          <w:rPr>
            <w:rStyle w:val="Hyperlink"/>
          </w:rPr>
          <w:t xml:space="preserve">https://doi.org/10.2139/ssrn.1010426</w:t>
        </w:r>
      </w:hyperlink>
    </w:p>
    <w:bookmarkEnd w:id="74"/>
    <w:bookmarkStart w:id="76" w:name="ref-Hand2014"/>
    <w:p>
      <w:pPr>
        <w:pStyle w:val="Bibliography"/>
      </w:pPr>
      <w:r>
        <w:t xml:space="preserve">Hand, D. J. (2014).</w:t>
      </w:r>
      <w:r>
        <w:t xml:space="preserve"> </w:t>
      </w:r>
      <w:r>
        <w:t xml:space="preserve">Wonderful Examples, but Let’s not Close Our Eyes</w:t>
      </w:r>
      <w:r>
        <w:t xml:space="preserve">.</w:t>
      </w:r>
      <w:r>
        <w:t xml:space="preserve"> </w:t>
      </w:r>
      <w:r>
        <w:rPr>
          <w:i/>
          <w:iCs/>
        </w:rPr>
        <w:t xml:space="preserve">Statistical Science</w:t>
      </w:r>
      <w:r>
        <w:t xml:space="preserve">,</w:t>
      </w:r>
      <w:r>
        <w:t xml:space="preserve"> </w:t>
      </w:r>
      <w:r>
        <w:rPr>
          <w:i/>
          <w:iCs/>
        </w:rPr>
        <w:t xml:space="preserve">29</w:t>
      </w:r>
      <w:r>
        <w:t xml:space="preserve">(1), 98–100.</w:t>
      </w:r>
      <w:r>
        <w:t xml:space="preserve"> </w:t>
      </w:r>
      <w:hyperlink r:id="rId75">
        <w:r>
          <w:rPr>
            <w:rStyle w:val="Hyperlink"/>
          </w:rPr>
          <w:t xml:space="preserve">https://doi.org/10.1214/13-STS446</w:t>
        </w:r>
      </w:hyperlink>
    </w:p>
    <w:bookmarkEnd w:id="76"/>
    <w:bookmarkStart w:id="77" w:name="ref-MR0554183"/>
    <w:p>
      <w:pPr>
        <w:pStyle w:val="Bibliography"/>
      </w:pPr>
      <w:r>
        <w:t xml:space="preserve">Launer, R. L., &amp; Wilkinson, G. N. (1979). Robustness in statistics. In R. L. Launer &amp; G. N. Wilkinson (Eds.),</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w:t>
      </w:r>
      <w:r>
        <w:t xml:space="preserve">(p. xvi+296). Academic Press, Inc. [Harcourt Brace Jovanovich, Publishers], New York-London.</w:t>
      </w:r>
    </w:p>
    <w:bookmarkEnd w:id="77"/>
    <w:bookmarkStart w:id="78" w:name="ref-Martin-Baro1994B"/>
    <w:p>
      <w:pPr>
        <w:pStyle w:val="Bibliography"/>
      </w:pPr>
      <w:r>
        <w:t xml:space="preserve">Martín-Baró, I. (1994). Toward a liberation psychology. In A. Aron &amp; S. Corne (Eds.),</w:t>
      </w:r>
      <w:r>
        <w:t xml:space="preserve"> </w:t>
      </w:r>
      <w:r>
        <w:rPr>
          <w:i/>
          <w:iCs/>
        </w:rPr>
        <w:t xml:space="preserve">Writings for a liberation psychology</w:t>
      </w:r>
      <w:r>
        <w:t xml:space="preserve">. Harvard University Press.</w:t>
      </w:r>
    </w:p>
    <w:bookmarkEnd w:id="78"/>
    <w:bookmarkStart w:id="80" w:name="ref-Nieuwenhuis2015"/>
    <w:p>
      <w:pPr>
        <w:pStyle w:val="Bibliography"/>
      </w:pPr>
      <w:r>
        <w:t xml:space="preserve">Nieuwenhuis, R. (2015). Association, aggregation, and paradoxes: On the positive correlation between fertility and women’s employment.</w:t>
      </w:r>
      <w:r>
        <w:t xml:space="preserve"> </w:t>
      </w:r>
      <w:r>
        <w:rPr>
          <w:i/>
          <w:iCs/>
        </w:rPr>
        <w:t xml:space="preserve">Demographic Research</w:t>
      </w:r>
      <w:r>
        <w:t xml:space="preserve">,</w:t>
      </w:r>
      <w:r>
        <w:t xml:space="preserve"> </w:t>
      </w:r>
      <w:r>
        <w:rPr>
          <w:i/>
          <w:iCs/>
        </w:rPr>
        <w:t xml:space="preserve">32</w:t>
      </w:r>
      <w:r>
        <w:t xml:space="preserve">.</w:t>
      </w:r>
      <w:r>
        <w:t xml:space="preserve"> </w:t>
      </w:r>
      <w:hyperlink r:id="rId79">
        <w:r>
          <w:rPr>
            <w:rStyle w:val="Hyperlink"/>
          </w:rPr>
          <w:t xml:space="preserve">https://www.demographic-research.org/volumes/vol32/23/</w:t>
        </w:r>
      </w:hyperlink>
    </w:p>
    <w:bookmarkEnd w:id="80"/>
    <w:bookmarkStart w:id="81" w:name="ref-Silverman1998"/>
    <w:p>
      <w:pPr>
        <w:pStyle w:val="Bibliography"/>
      </w:pPr>
      <w:r>
        <w:t xml:space="preserve">Silverman, W. A. (1998). Non-replication of the replicable (1996). In</w:t>
      </w:r>
      <w:r>
        <w:t xml:space="preserve"> </w:t>
      </w:r>
      <w:r>
        <w:rPr>
          <w:i/>
          <w:iCs/>
        </w:rPr>
        <w:t xml:space="preserve">Where’s the evidence? Debates in modern medicine</w:t>
      </w:r>
      <w:r>
        <w:t xml:space="preserve">. Oxford University Press.</w:t>
      </w:r>
    </w:p>
    <w:bookmarkEnd w:id="81"/>
    <w:bookmarkStart w:id="83" w:name="ref-Simpson1951"/>
    <w:p>
      <w:pPr>
        <w:pStyle w:val="Bibliography"/>
      </w:pPr>
      <w:r>
        <w:t xml:space="preserve">Simpson, E. H. (1951). The interpretation of interaction in contingency tables.</w:t>
      </w:r>
      <w:r>
        <w:t xml:space="preserve"> </w:t>
      </w:r>
      <w:r>
        <w:rPr>
          <w:i/>
          <w:iCs/>
        </w:rPr>
        <w:t xml:space="preserve">Journal of the Royal Statistical Society. Series B (Methodological)</w:t>
      </w:r>
      <w:r>
        <w:t xml:space="preserve">,</w:t>
      </w:r>
      <w:r>
        <w:t xml:space="preserve"> </w:t>
      </w:r>
      <w:r>
        <w:rPr>
          <w:i/>
          <w:iCs/>
        </w:rPr>
        <w:t xml:space="preserve">13</w:t>
      </w:r>
      <w:r>
        <w:t xml:space="preserve">, 238–241.</w:t>
      </w:r>
      <w:r>
        <w:t xml:space="preserve"> </w:t>
      </w:r>
      <w:hyperlink r:id="rId82">
        <w:r>
          <w:rPr>
            <w:rStyle w:val="Hyperlink"/>
          </w:rPr>
          <w:t xml:space="preserve">http://www.jstor.org/stable/2984065</w:t>
        </w:r>
      </w:hyperlink>
    </w:p>
    <w:bookmarkEnd w:id="83"/>
    <w:bookmarkStart w:id="85" w:name="ref-Westreich2013"/>
    <w:p>
      <w:pPr>
        <w:pStyle w:val="Bibliography"/>
      </w:pPr>
      <w:r>
        <w:t xml:space="preserve">Westreich, D., &amp; Greenland, S. (2013). The table 2 fallacy: Presenting and interpreting confounder and modifier coefficients.</w:t>
      </w:r>
      <w:r>
        <w:t xml:space="preserve"> </w:t>
      </w:r>
      <w:r>
        <w:rPr>
          <w:i/>
          <w:iCs/>
        </w:rPr>
        <w:t xml:space="preserve">American Journal of Epidemiology</w:t>
      </w:r>
      <w:r>
        <w:t xml:space="preserve">,</w:t>
      </w:r>
      <w:r>
        <w:t xml:space="preserve"> </w:t>
      </w:r>
      <w:r>
        <w:rPr>
          <w:i/>
          <w:iCs/>
        </w:rPr>
        <w:t xml:space="preserve">177</w:t>
      </w:r>
      <w:r>
        <w:t xml:space="preserve">, 292–298.</w:t>
      </w:r>
      <w:r>
        <w:t xml:space="preserve"> </w:t>
      </w:r>
      <w:hyperlink r:id="rId84">
        <w:r>
          <w:rPr>
            <w:rStyle w:val="Hyperlink"/>
          </w:rPr>
          <w:t xml:space="preserve">https://doi.org/10.1093/aje/kws412</w:t>
        </w:r>
      </w:hyperlink>
    </w:p>
    <w:bookmarkEnd w:id="85"/>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(Diez Roux, 2003; Gelman et al., 2007; Nieuwenhuis, 2015)</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&amp;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&amp;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w:t>
      </w:r>
      <w:r>
        <w:t xml:space="preserve"> </w:t>
      </w:r>
      <w:r>
        <w:rPr>
          <w:i/>
          <w:iCs/>
        </w:rPr>
        <w:t xml:space="preserve">statistically confounded</w:t>
      </w:r>
      <w:r>
        <w:t xml:space="preserve"> </w:t>
      </w:r>
      <w:r>
        <w:t xml:space="preserve">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First, it is important to remember that there are many social issues that</w:t>
      </w:r>
      <w:r>
        <w:t xml:space="preserve"> </w:t>
      </w:r>
      <w:r>
        <w:rPr>
          <w:i/>
          <w:iCs/>
        </w:rPr>
        <w:t xml:space="preserve">cannot be ethically studied</w:t>
      </w:r>
      <w:r>
        <w:t xml:space="preserve"> </w:t>
      </w:r>
      <w:r>
        <w:t xml:space="preserve">with random assignment. Second,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Lastly, also not often enough acknowledged, is that the smaller samples often used in RCT’s are more likely to generate</w:t>
      </w:r>
      <w:r>
        <w:t xml:space="preserve"> </w:t>
      </w:r>
      <w:r>
        <w:rPr>
          <w:i/>
          <w:iCs/>
        </w:rPr>
        <w:t xml:space="preserve">false positives</w:t>
      </w:r>
      <w:r>
        <w:t xml:space="preserve"> </w:t>
      </w:r>
      <w:r>
        <w:t xml:space="preserve">than larger samples</w:t>
      </w:r>
      <w:r>
        <w:t xml:space="preserve"> </w:t>
      </w:r>
      <w:r>
        <w:t xml:space="preserve">(Button et al., 2013)</w:t>
      </w:r>
      <w:r>
        <w:t xml:space="preserv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2025-09-20T18:16:10Z</dcterms:created>
  <dcterms:modified xsi:type="dcterms:W3CDTF">2025-09-20T18:16:10Z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csl">
    <vt:lpwstr>apa.csl</vt:lpwstr>
  </property>
  <property fmtid="{D5CDD505-2E9C-101B-9397-08002B2CF9AE}" pid="7" name="date">
    <vt:lpwstr>2025-09-20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are">
    <vt:lpwstr/>
  </property>
  <property fmtid="{D5CDD505-2E9C-101B-9397-08002B2CF9AE}" pid="13" name="subtitle">
    <vt:lpwstr>Why Use Quantitative Methods?</vt:lpwstr>
  </property>
  <property fmtid="{D5CDD505-2E9C-101B-9397-08002B2CF9AE}" pid="14" name="toc-title">
    <vt:lpwstr>Table of contents</vt:lpwstr>
  </property>
</Properties>
</file>