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w:t>
      </w:r>
      <w:r>
        <w:t xml:space="preserve"> </w:t>
      </w:r>
      <w:r>
        <w:t xml:space="preserve">Less</w:t>
      </w:r>
      <w:r>
        <w:t xml:space="preserve"> </w:t>
      </w:r>
      <w:r>
        <w:t xml:space="preserve">Wrong</w:t>
      </w:r>
    </w:p>
    <w:p>
      <w:pPr>
        <w:pStyle w:val="Subtitle"/>
      </w:pPr>
      <w:r>
        <w:t xml:space="preserve">Why</w:t>
      </w:r>
      <w:r>
        <w:t xml:space="preserve"> </w:t>
      </w:r>
      <w:r>
        <w:t xml:space="preserve">Use</w:t>
      </w:r>
      <w:r>
        <w:t xml:space="preserve"> </w:t>
      </w:r>
      <w:r>
        <w:t xml:space="preserve">Quantitative</w:t>
      </w:r>
      <w:r>
        <w:t xml:space="preserve"> </w:t>
      </w:r>
      <w:r>
        <w:t xml:space="preserve">Methods?</w:t>
      </w:r>
    </w:p>
    <w:p>
      <w:pPr>
        <w:pStyle w:val="Author"/>
      </w:pPr>
      <w:r>
        <w:t xml:space="preserve">Andy</w:t>
      </w:r>
      <w:r>
        <w:t xml:space="preserve"> </w:t>
      </w:r>
      <w:r>
        <w:t xml:space="preserve">Grogan-Kaylor</w:t>
      </w:r>
    </w:p>
    <w:p>
      <w:pPr>
        <w:pStyle w:val="Date"/>
      </w:pPr>
      <w:r>
        <w:t xml:space="preserve">2025-01-03</w:t>
      </w:r>
    </w:p>
    <w:bookmarkStart w:id="20" w:name="cr-martinbaro"/>
    <w:p>
      <w:pPr>
        <w:pStyle w:val="BlockText"/>
      </w:pPr>
      <w:r>
        <w:t xml:space="preserve">“</w:t>
      </w:r>
      <w:r>
        <w:t xml:space="preserve">What we see and how we see is of course determined by our perspective, by the place from which we begin our examination of history; but it is determined also by reality itself.</w:t>
      </w:r>
      <w:r>
        <w:t xml:space="preserve">”</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Yet, at the same time we must recognize that our understandings are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social reality, we can always improve our understandings, and move in the direction of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w:t>
      </w: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t>
      </w:r>
      <w:r>
        <w:t xml:space="preserve">working truths</w:t>
      </w:r>
      <w:r>
        <w:t xml:space="preserve">’</w:t>
      </w:r>
      <w:r>
        <w:t xml:space="preserve"> </w:t>
      </w:r>
      <w:r>
        <w:t xml:space="preserve">are the building blocks for the reasonably solid structures that support our everyday actions…</w:t>
      </w:r>
      <w:r>
        <w:t xml:space="preserve">”</w:t>
      </w:r>
      <w:r>
        <w:t xml:space="preserve"> </w:t>
      </w:r>
      <w:r>
        <w:t xml:space="preserve">(Silverman 1998)</w:t>
      </w:r>
    </w:p>
    <w:bookmarkEnd w:id="22"/>
    <w:p>
      <w:pPr>
        <w:pStyle w:val="FirstParagraph"/>
      </w:pPr>
      <w:r>
        <w:t xml:space="preserve">This recalls the famous saying by the statistician George Box about statistical models, reported in many places, and well captured in the passage by</w:t>
      </w:r>
      <w:r>
        <w:t xml:space="preserve"> </w:t>
      </w:r>
      <w:r>
        <w:t xml:space="preserve">Hand (2014)</w:t>
      </w:r>
      <w:r>
        <w:t xml:space="preserve">:</w:t>
      </w:r>
    </w:p>
    <w:bookmarkStart w:id="23" w:name="cr-box"/>
    <w:p>
      <w:pPr>
        <w:pStyle w:val="BlockText"/>
      </w:pPr>
      <w:r>
        <w:t xml:space="preserve">“</w:t>
      </w: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w:t>
      </w:r>
      <w:r>
        <w:t xml:space="preserve">all models are wrong, but some are useful</w:t>
      </w:r>
      <w:r>
        <w:t xml:space="preserve">’</w:t>
      </w:r>
      <w:r>
        <w:t xml:space="preserve"> </w:t>
      </w:r>
      <w:r>
        <w:t xml:space="preserve">(Box, 1979 in</w:t>
      </w:r>
      <w:r>
        <w:t xml:space="preserve"> </w:t>
      </w:r>
      <w:r>
        <w:t xml:space="preserve">Launer and Wilkinson (1979)</w:t>
      </w:r>
      <w:r>
        <w:t xml:space="preserve">).</w:t>
      </w:r>
      <w:r>
        <w:t xml:space="preserve">”</w:t>
      </w:r>
      <w:r>
        <w:t xml:space="preserve"> </w:t>
      </w:r>
      <w:r>
        <w:t xml:space="preserve">(Hand 2014)</w:t>
      </w:r>
    </w:p>
    <w:bookmarkEnd w:id="23"/>
    <w:p>
      <w:pPr>
        <w:pStyle w:val="FirstParagraph"/>
      </w:pPr>
      <w:r>
        <w:t xml:space="preserve">A key task then, of using quantitative methods is to use them to try to be progressively</w:t>
      </w:r>
      <w:r>
        <w:t xml:space="preserve"> </w:t>
      </w:r>
      <w:r>
        <w:rPr>
          <w:i/>
          <w:iCs/>
        </w:rPr>
        <w:t xml:space="preserve">less wrong</w:t>
      </w:r>
      <w:r>
        <w:t xml:space="preserve"> </w:t>
      </w:r>
      <w:r>
        <w:t xml:space="preserve">about the answers we are finding to important questions about improving human wellbeing.</w:t>
      </w:r>
    </w:p>
    <w:bookmarkStart w:id="24" w:name="cr-box2"/>
    <w:p>
      <w:pPr>
        <w:pStyle w:val="BlockText"/>
      </w:pPr>
      <w:r>
        <w:t xml:space="preserve">“</w:t>
      </w:r>
      <w:r>
        <w:t xml:space="preserve">All models are wrong, but some are useful.</w:t>
      </w:r>
      <w:r>
        <w:t xml:space="preserve">”</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350008" cy="475488"/>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350008" cy="475488"/>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350008" cy="1271016"/>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350008" cy="1271016"/>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w:t>
      </w:r>
      <w:r>
        <w:t xml:space="preserve">story</w:t>
      </w:r>
      <w:r>
        <w:t xml:space="preserve">”</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3" w:name="cr-belesswrong"/>
    <w:bookmarkStart w:id="62"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2"/>
    <w:bookmarkEnd w:id="63"/>
    <w:bookmarkStart w:id="76" w:name="refs"/>
    <w:bookmarkStart w:id="64"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4"/>
    <w:bookmarkStart w:id="66"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65">
        <w:r>
          <w:rPr>
            <w:rStyle w:val="Hyperlink"/>
          </w:rPr>
          <w:t xml:space="preserve">https://doi.org/10.2139/ssrn.1010426</w:t>
        </w:r>
      </w:hyperlink>
      <w:r>
        <w:t xml:space="preserve">.</w:t>
      </w:r>
    </w:p>
    <w:bookmarkEnd w:id="66"/>
    <w:bookmarkStart w:id="68"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67">
        <w:r>
          <w:rPr>
            <w:rStyle w:val="Hyperlink"/>
          </w:rPr>
          <w:t xml:space="preserve">https://doi.org/10.1214/13-STS446</w:t>
        </w:r>
      </w:hyperlink>
      <w:r>
        <w:t xml:space="preserve">.</w:t>
      </w:r>
    </w:p>
    <w:bookmarkEnd w:id="68"/>
    <w:bookmarkStart w:id="69"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69"/>
    <w:bookmarkStart w:id="70"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0"/>
    <w:bookmarkStart w:id="72"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1">
        <w:r>
          <w:rPr>
            <w:rStyle w:val="Hyperlink"/>
          </w:rPr>
          <w:t xml:space="preserve">https://www.demographic-research.org/volumes/vol32/23/</w:t>
        </w:r>
      </w:hyperlink>
      <w:r>
        <w:t xml:space="preserve">.</w:t>
      </w:r>
    </w:p>
    <w:bookmarkEnd w:id="72"/>
    <w:bookmarkStart w:id="73"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3"/>
    <w:bookmarkStart w:id="75"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74">
        <w:r>
          <w:rPr>
            <w:rStyle w:val="Hyperlink"/>
          </w:rPr>
          <w:t xml:space="preserve">http://www.jstor.org/stable/2984065</w:t>
        </w:r>
      </w:hyperlink>
      <w:r>
        <w:t xml:space="preserve">.</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74" Target="http://www.jstor.org/stable/2984065" TargetMode="External" /><Relationship Type="http://schemas.openxmlformats.org/officeDocument/2006/relationships/hyperlink" Id="rId67" Target="https://doi.org/10.1214/13-STS446" TargetMode="External" /><Relationship Type="http://schemas.openxmlformats.org/officeDocument/2006/relationships/hyperlink" Id="rId65" Target="https://doi.org/10.2139/ssrn.1010426" TargetMode="External" /><Relationship Type="http://schemas.openxmlformats.org/officeDocument/2006/relationships/hyperlink" Id="rId71"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2025-01-03T19:33:04Z</dcterms:created>
  <dcterms:modified xsi:type="dcterms:W3CDTF">2025-01-03T19:33:04Z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2025-01-03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