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2025-01-05</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3"/>
    <w:p>
      <w:pPr>
        <w:pStyle w:val="FirstParagraph"/>
      </w:pPr>
      <w:r>
        <w:t xml:space="preserve">Thus, an important reason for using quantitative methods is to use them to try to be iteratively</w:t>
      </w:r>
      <w:r>
        <w:t xml:space="preserve"> </w:t>
      </w:r>
      <w:r>
        <w:rPr>
          <w:i/>
          <w:iCs/>
        </w:rPr>
        <w:t xml:space="preserve">less wrong</w:t>
      </w:r>
      <w:r>
        <w:t xml:space="preserve"> </w:t>
      </w:r>
      <w:r>
        <w:t xml:space="preserve">about the answers we are finding to important questions about addressing social issues.</w:t>
      </w:r>
    </w:p>
    <w:bookmarkStart w:id="24" w:name="cr-box2"/>
    <w:p>
      <w:pPr>
        <w:pStyle w:val="BlockText"/>
      </w:pPr>
      <w:r>
        <w:t xml:space="preserve">“</w:t>
      </w:r>
      <w:r>
        <w:t xml:space="preserve">All models are wrong, but some are useful.</w:t>
      </w:r>
      <w:r>
        <w:t xml:space="preserve">”</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350008" cy="475488"/>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350008" cy="1271016"/>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3" w:name="cr-belesswrong"/>
    <w:bookmarkStart w:id="62"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2"/>
    <w:bookmarkEnd w:id="63"/>
    <w:bookmarkStart w:id="76" w:name="refs"/>
    <w:bookmarkStart w:id="64"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4"/>
    <w:bookmarkStart w:id="66"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5">
        <w:r>
          <w:rPr>
            <w:rStyle w:val="Hyperlink"/>
          </w:rPr>
          <w:t xml:space="preserve">https://doi.org/10.2139/ssrn.1010426</w:t>
        </w:r>
      </w:hyperlink>
      <w:r>
        <w:t xml:space="preserve">.</w:t>
      </w:r>
    </w:p>
    <w:bookmarkEnd w:id="66"/>
    <w:bookmarkStart w:id="68"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67">
        <w:r>
          <w:rPr>
            <w:rStyle w:val="Hyperlink"/>
          </w:rPr>
          <w:t xml:space="preserve">https://doi.org/10.1214/13-STS446</w:t>
        </w:r>
      </w:hyperlink>
      <w:r>
        <w:t xml:space="preserve">.</w:t>
      </w:r>
    </w:p>
    <w:bookmarkEnd w:id="68"/>
    <w:bookmarkStart w:id="69"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69"/>
    <w:bookmarkStart w:id="70"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0"/>
    <w:bookmarkStart w:id="72"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1">
        <w:r>
          <w:rPr>
            <w:rStyle w:val="Hyperlink"/>
          </w:rPr>
          <w:t xml:space="preserve">https://www.demographic-research.org/volumes/vol32/23/</w:t>
        </w:r>
      </w:hyperlink>
      <w:r>
        <w:t xml:space="preserve">.</w:t>
      </w:r>
    </w:p>
    <w:bookmarkEnd w:id="72"/>
    <w:bookmarkStart w:id="73"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3"/>
    <w:bookmarkStart w:id="75"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4">
        <w:r>
          <w:rPr>
            <w:rStyle w:val="Hyperlink"/>
          </w:rPr>
          <w:t xml:space="preserve">http://www.jstor.org/stable/2984065</w:t>
        </w:r>
      </w:hyperlink>
      <w:r>
        <w:t xml:space="preserve">.</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74" Target="http://www.jstor.org/stable/2984065" TargetMode="External" /><Relationship Type="http://schemas.openxmlformats.org/officeDocument/2006/relationships/hyperlink" Id="rId67" Target="https://doi.org/10.1214/13-STS446" TargetMode="External" /><Relationship Type="http://schemas.openxmlformats.org/officeDocument/2006/relationships/hyperlink" Id="rId65" Target="https://doi.org/10.2139/ssrn.1010426" TargetMode="External" /><Relationship Type="http://schemas.openxmlformats.org/officeDocument/2006/relationships/hyperlink" Id="rId71"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4" Target="http://www.jstor.org/stable/2984065" TargetMode="External" /><Relationship Type="http://schemas.openxmlformats.org/officeDocument/2006/relationships/hyperlink" Id="rId67" Target="https://doi.org/10.1214/13-STS446" TargetMode="External" /><Relationship Type="http://schemas.openxmlformats.org/officeDocument/2006/relationships/hyperlink" Id="rId65" Target="https://doi.org/10.2139/ssrn.1010426" TargetMode="External" /><Relationship Type="http://schemas.openxmlformats.org/officeDocument/2006/relationships/hyperlink" Id="rId71"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2025-01-05T13:51:54Z</dcterms:created>
  <dcterms:modified xsi:type="dcterms:W3CDTF">2025-01-05T13:51:54Z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2025-01-05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