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2024-12-30</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334000"/>
            <wp:effectExtent b="0" l="0" r="0" t="0"/>
            <wp:docPr descr="Countries of the World from ESRI" title="" id="22" name="Picture"/>
            <a:graphic>
              <a:graphicData uri="http://schemas.openxmlformats.org/drawingml/2006/picture">
                <pic:pic>
                  <pic:nvPicPr>
                    <pic:cNvPr descr="be-less-wrong_files/figure-docx/unnamed-chunk-4-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Countries of the World from ESRI</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Adding more variables will not always</w:t>
      </w:r>
      <w:r>
        <w:t xml:space="preserve"> </w:t>
      </w:r>
      <w:r>
        <w:rPr>
          <w:i/>
          <w:iCs/>
        </w:rPr>
        <w:t xml:space="preserve">flip</w:t>
      </w:r>
      <w:r>
        <w:t xml:space="preserve"> </w:t>
      </w:r>
      <w:r>
        <w:t xml:space="preserve">our conclusions.</w:t>
      </w:r>
    </w:p>
    <w:bookmarkStart w:id="55" w:name="cr-multivariate"/>
    <w:bookmarkStart w:id="54"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4"/>
    <w:bookmarkEnd w:id="55"/>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7" w:name="cr-variables"/>
    <w:bookmarkStart w:id="56"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6"/>
    <w:bookmarkEnd w:id="57"/>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4" w:name="cr-thoughtexperiment"/>
    <w:bookmarkStart w:id="63"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2" w:name="fig-combined"/>
          <w:p>
            <w:pPr>
              <w:pStyle w:val="Compact"/>
              <w:jc w:val="center"/>
            </w:pPr>
            <w:bookmarkStart w:id="61" w:name="fig-combined"/>
            <w:r>
              <w:drawing>
                <wp:inline>
                  <wp:extent cx="5334000" cy="3200400"/>
                  <wp:effectExtent b="0" l="0" r="0" t="0"/>
                  <wp:docPr descr="" title="" id="59" name="Picture"/>
                  <a:graphic>
                    <a:graphicData uri="http://schemas.openxmlformats.org/drawingml/2006/picture">
                      <pic:pic>
                        <pic:nvPicPr>
                          <pic:cNvPr descr="be-less-wrong_files/figure-docx/fig-combined-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bookmarkEnd w:id="61"/>
          </w:p>
          <w:p>
            <w:pPr>
              <w:jc w:val="center"/>
            </w:pPr>
            <w:pPr>
              <w:jc w:val="start"/>
              <w:spacing w:before="200"/>
              <w:pStyle w:val="ImageCaption"/>
            </w:pPr>
            <w:r>
              <w:t xml:space="preserve">Figure 3</w:t>
            </w:r>
          </w:p>
          <w:bookmarkEnd w:id="62"/>
        </w:tc>
      </w:tr>
    </w:tbl>
    <w:bookmarkEnd w:id="63"/>
    <w:bookmarkEnd w:id="64"/>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79"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8">
        <w:r>
          <w:rPr>
            <w:rStyle w:val="Hyperlink"/>
          </w:rPr>
          <w:t xml:space="preserve">https://doi.org/10.2139/ssrn.1010426</w:t>
        </w:r>
      </w:hyperlink>
      <w:r>
        <w:t xml:space="preserve">.</w:t>
      </w:r>
    </w:p>
    <w:bookmarkEnd w:id="69"/>
    <w:bookmarkStart w:id="71"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0">
        <w:r>
          <w:rPr>
            <w:rStyle w:val="Hyperlink"/>
          </w:rPr>
          <w:t xml:space="preserve">https://doi.org/10.1214/13-STS446</w:t>
        </w:r>
      </w:hyperlink>
      <w:r>
        <w:t xml:space="preserve">.</w:t>
      </w:r>
    </w:p>
    <w:bookmarkEnd w:id="71"/>
    <w:bookmarkStart w:id="72"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2"/>
    <w:bookmarkStart w:id="73"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3"/>
    <w:bookmarkStart w:id="75"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4">
        <w:r>
          <w:rPr>
            <w:rStyle w:val="Hyperlink"/>
          </w:rPr>
          <w:t xml:space="preserve">https://www.demographic-research.org/volumes/vol32/23/</w:t>
        </w:r>
      </w:hyperlink>
      <w:r>
        <w:t xml:space="preserve">.</w:t>
      </w:r>
    </w:p>
    <w:bookmarkEnd w:id="75"/>
    <w:bookmarkStart w:id="76"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6"/>
    <w:bookmarkStart w:id="78"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7">
        <w:r>
          <w:rPr>
            <w:rStyle w:val="Hyperlink"/>
          </w:rPr>
          <w:t xml:space="preserve">http://www.jstor.org/stable/2984065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2024-12-30T20:23:05Z</dcterms:created>
  <dcterms:modified xsi:type="dcterms:W3CDTF">2024-12-30T20:23:05Z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2024-12-30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