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2025-07-24</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and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4" w:name="refs"/>
    <w:bookmarkStart w:id="67" w:name="ref-Box1979"/>
    <w:p>
      <w:pPr>
        <w:pStyle w:val="Bibliography"/>
      </w:pPr>
      <w:r>
        <w:t xml:space="preserve">Box, George. 1979.</w:t>
      </w:r>
      <w:r>
        <w:t xml:space="preserve"> </w:t>
      </w:r>
      <w:r>
        <w:t xml:space="preserve">“Robustness in the Strategy of Scientific Model Building.”</w:t>
      </w:r>
      <w:r>
        <w:t xml:space="preserve"> </w:t>
      </w:r>
      <w:r>
        <w:t xml:space="preserve">In</w:t>
      </w:r>
      <w:r>
        <w:t xml:space="preserve"> </w:t>
      </w:r>
      <w:r>
        <w:rPr>
          <w:i/>
          <w:iCs/>
        </w:rPr>
        <w:t xml:space="preserve">Robustness in Statistics</w:t>
      </w:r>
      <w:r>
        <w:t xml:space="preserve">, edited by Robert L. Launer and Graham N. Wilkinson. Academic Press, Inc. [Harcourt Brace Jovanovich, Publishers], New York-London.</w:t>
      </w:r>
    </w:p>
    <w:bookmarkEnd w:id="67"/>
    <w:bookmarkStart w:id="68" w:name="ref-DiezRoux2003"/>
    <w:p>
      <w:pPr>
        <w:pStyle w:val="Bibliography"/>
      </w:pPr>
      <w:r>
        <w:t xml:space="preserve">Diez Roux, Ana. 2003.</w:t>
      </w:r>
      <w:r>
        <w:t xml:space="preserve"> </w:t>
      </w:r>
      <w:r>
        <w:t xml:space="preserve">“Potentialities and Limitations of Multilevel Analysis in Public Health and Epidemiology.”</w:t>
      </w:r>
      <w:r>
        <w:t xml:space="preserve"> </w:t>
      </w:r>
      <w:r>
        <w:t xml:space="preserve">In</w:t>
      </w:r>
      <w:r>
        <w:t xml:space="preserve"> </w:t>
      </w:r>
      <w:r>
        <w:rPr>
          <w:i/>
          <w:iCs/>
        </w:rPr>
        <w:t xml:space="preserve">Methodology and Epistemology of Multilevel Analysis: Approaches from Different Social Sciences</w:t>
      </w:r>
      <w:r>
        <w:t xml:space="preserve">, edited by Daniel Courgeau, 93–119. Kluwer Academic Publishers.</w:t>
      </w:r>
    </w:p>
    <w:bookmarkEnd w:id="68"/>
    <w:bookmarkStart w:id="70" w:name="ref-Elwert2014"/>
    <w:p>
      <w:pPr>
        <w:pStyle w:val="Bibliography"/>
      </w:pPr>
      <w:r>
        <w:t xml:space="preserve">Elwert, Felix, and Christopher Winship. 2014.</w:t>
      </w:r>
      <w:r>
        <w:t xml:space="preserve"> </w:t>
      </w:r>
      <w:r>
        <w:t xml:space="preserve">“Endogenous Selection Bias: The Problem of Conditioning on a Collider Variable.”</w:t>
      </w:r>
      <w:r>
        <w:t xml:space="preserve"> </w:t>
      </w:r>
      <w:r>
        <w:rPr>
          <w:i/>
          <w:iCs/>
        </w:rPr>
        <w:t xml:space="preserve">Annual Review of Sociology</w:t>
      </w:r>
      <w:r>
        <w:t xml:space="preserve"> </w:t>
      </w:r>
      <w:r>
        <w:t xml:space="preserve">40 (July): 31–53.</w:t>
      </w:r>
      <w:r>
        <w:t xml:space="preserve"> </w:t>
      </w:r>
      <w:hyperlink r:id="rId69">
        <w:r>
          <w:rPr>
            <w:rStyle w:val="Hyperlink"/>
          </w:rPr>
          <w:t xml:space="preserve">https://doi.org/10.1146/annurev-soc-071913-043455</w:t>
        </w:r>
      </w:hyperlink>
      <w:r>
        <w:t xml:space="preserve">.</w:t>
      </w:r>
    </w:p>
    <w:bookmarkEnd w:id="70"/>
    <w:bookmarkStart w:id="72" w:name="ref-Gelman2007"/>
    <w:p>
      <w:pPr>
        <w:pStyle w:val="Bibliography"/>
      </w:pPr>
      <w:r>
        <w:t xml:space="preserve">Gelman, Andrew, Boris Shor, Joseph Bafumi, and David Park. 2007.</w:t>
      </w:r>
      <w:r>
        <w:t xml:space="preserve"> </w:t>
      </w:r>
      <w:r>
        <w:t xml:space="preserve">“Rich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 </w:t>
      </w:r>
      <w:r>
        <w:t xml:space="preserve">2 (November): 345–67.</w:t>
      </w:r>
      <w:r>
        <w:t xml:space="preserve"> </w:t>
      </w:r>
      <w:hyperlink r:id="rId71">
        <w:r>
          <w:rPr>
            <w:rStyle w:val="Hyperlink"/>
          </w:rPr>
          <w:t xml:space="preserve">https://doi.org/10.2139/ssrn.1010426</w:t>
        </w:r>
      </w:hyperlink>
      <w:r>
        <w:t xml:space="preserve">.</w:t>
      </w:r>
    </w:p>
    <w:bookmarkEnd w:id="72"/>
    <w:bookmarkStart w:id="74" w:name="ref-Hand2014"/>
    <w:p>
      <w:pPr>
        <w:pStyle w:val="Bibliography"/>
      </w:pPr>
      <w:r>
        <w:t xml:space="preserve">Hand, David J. 2014.</w:t>
      </w:r>
      <w:r>
        <w:t xml:space="preserve"> </w:t>
      </w:r>
      <w:r>
        <w:t xml:space="preserve">“</w:t>
      </w:r>
      <w:r>
        <w:t xml:space="preserve">Wonderful Examples, but Let’s not Close Our Eyes</w:t>
      </w:r>
      <w:r>
        <w:t xml:space="preserve">.”</w:t>
      </w:r>
      <w:r>
        <w:t xml:space="preserve"> </w:t>
      </w:r>
      <w:r>
        <w:rPr>
          <w:i/>
          <w:iCs/>
        </w:rPr>
        <w:t xml:space="preserve">Statistical Science</w:t>
      </w:r>
      <w:r>
        <w:t xml:space="preserve"> </w:t>
      </w:r>
      <w:r>
        <w:t xml:space="preserve">29 (1): 98–100.</w:t>
      </w:r>
      <w:r>
        <w:t xml:space="preserve"> </w:t>
      </w:r>
      <w:hyperlink r:id="rId73">
        <w:r>
          <w:rPr>
            <w:rStyle w:val="Hyperlink"/>
          </w:rPr>
          <w:t xml:space="preserve">https://doi.org/10.1214/13-STS446</w:t>
        </w:r>
      </w:hyperlink>
      <w:r>
        <w:t xml:space="preserve">.</w:t>
      </w:r>
    </w:p>
    <w:bookmarkEnd w:id="74"/>
    <w:bookmarkStart w:id="75" w:name="ref-MR0554183"/>
    <w:p>
      <w:pPr>
        <w:pStyle w:val="Bibliography"/>
      </w:pPr>
      <w:r>
        <w:t xml:space="preserve">Launer, Robert L., and Graham N. Wilkinson. 1979.</w:t>
      </w:r>
      <w:r>
        <w:t xml:space="preserve"> </w:t>
      </w:r>
      <w:r>
        <w:t xml:space="preserve">“Robustness in Statistics.”</w:t>
      </w:r>
      <w:r>
        <w:t xml:space="preserve"> </w:t>
      </w:r>
      <w:r>
        <w:t xml:space="preserve">In</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edited by Robert L. Launer and Graham N. Wilkinson, xvi+296. Academic Press, Inc. [Harcourt Brace Jovanovich, Publishers], New York-London.</w:t>
      </w:r>
    </w:p>
    <w:bookmarkEnd w:id="75"/>
    <w:bookmarkStart w:id="76" w:name="ref-Martin-Baro1994B"/>
    <w:p>
      <w:pPr>
        <w:pStyle w:val="Bibliography"/>
      </w:pPr>
      <w:r>
        <w:t xml:space="preserve">Martín-Baró, Ignacio. 1994.</w:t>
      </w:r>
      <w:r>
        <w:t xml:space="preserve"> </w:t>
      </w:r>
      <w:r>
        <w:t xml:space="preserve">“Toward a Liberation Psychology.”</w:t>
      </w:r>
      <w:r>
        <w:t xml:space="preserve"> </w:t>
      </w:r>
      <w:r>
        <w:t xml:space="preserve">In</w:t>
      </w:r>
      <w:r>
        <w:t xml:space="preserve"> </w:t>
      </w:r>
      <w:r>
        <w:rPr>
          <w:i/>
          <w:iCs/>
        </w:rPr>
        <w:t xml:space="preserve">Writings for a Liberation Psychology</w:t>
      </w:r>
      <w:r>
        <w:t xml:space="preserve">, edited by Adrianne Aron and Shawn Corne. Harvard University Press.</w:t>
      </w:r>
    </w:p>
    <w:bookmarkEnd w:id="76"/>
    <w:bookmarkStart w:id="78" w:name="ref-Nieuwenhuis2015"/>
    <w:p>
      <w:pPr>
        <w:pStyle w:val="Bibliography"/>
      </w:pPr>
      <w:r>
        <w:t xml:space="preserve">Nieuwenhuis, Rense. 2015.</w:t>
      </w:r>
      <w:r>
        <w:t xml:space="preserve"> </w:t>
      </w:r>
      <w:r>
        <w:t xml:space="preserve">“Association, Aggregation, and Paradoxes: On the Positive Correlation Between Fertility and Women’s Employment.”</w:t>
      </w:r>
      <w:r>
        <w:t xml:space="preserve"> </w:t>
      </w:r>
      <w:r>
        <w:rPr>
          <w:i/>
          <w:iCs/>
        </w:rPr>
        <w:t xml:space="preserve">Demographic Research</w:t>
      </w:r>
      <w:r>
        <w:t xml:space="preserve"> </w:t>
      </w:r>
      <w:r>
        <w:t xml:space="preserve">32 (March).</w:t>
      </w:r>
      <w:r>
        <w:t xml:space="preserve"> </w:t>
      </w:r>
      <w:hyperlink r:id="rId77">
        <w:r>
          <w:rPr>
            <w:rStyle w:val="Hyperlink"/>
          </w:rPr>
          <w:t xml:space="preserve">https://www.demographic-research.org/volumes/vol32/23/</w:t>
        </w:r>
      </w:hyperlink>
      <w:r>
        <w:t xml:space="preserve">.</w:t>
      </w:r>
    </w:p>
    <w:bookmarkEnd w:id="78"/>
    <w:bookmarkStart w:id="79" w:name="ref-Silverman1998"/>
    <w:p>
      <w:pPr>
        <w:pStyle w:val="Bibliography"/>
      </w:pPr>
      <w:r>
        <w:t xml:space="preserve">Silverman, William A. 1998.</w:t>
      </w:r>
      <w:r>
        <w:t xml:space="preserve"> </w:t>
      </w:r>
      <w:r>
        <w:t xml:space="preserve">“Non-Replication of the Replicable (1996).”</w:t>
      </w:r>
      <w:r>
        <w:t xml:space="preserve"> </w:t>
      </w:r>
      <w:r>
        <w:t xml:space="preserve">In</w:t>
      </w:r>
      <w:r>
        <w:t xml:space="preserve"> </w:t>
      </w:r>
      <w:r>
        <w:rPr>
          <w:i/>
          <w:iCs/>
        </w:rPr>
        <w:t xml:space="preserve">Where’s the Evidence? Debates in Modern Medicine</w:t>
      </w:r>
      <w:r>
        <w:t xml:space="preserve">. Oxford University Press.</w:t>
      </w:r>
    </w:p>
    <w:bookmarkEnd w:id="79"/>
    <w:bookmarkStart w:id="81" w:name="ref-Simpson1951"/>
    <w:p>
      <w:pPr>
        <w:pStyle w:val="Bibliography"/>
      </w:pPr>
      <w:r>
        <w:t xml:space="preserve">Simpson, E H. 1951.</w:t>
      </w:r>
      <w:r>
        <w:t xml:space="preserve"> </w:t>
      </w:r>
      <w:r>
        <w:t xml:space="preserve">“The Interpretation of Interaction in Contingency Tables.”</w:t>
      </w:r>
      <w:r>
        <w:t xml:space="preserve"> </w:t>
      </w:r>
      <w:r>
        <w:rPr>
          <w:i/>
          <w:iCs/>
        </w:rPr>
        <w:t xml:space="preserve">Journal of the Royal Statistical Society. Series B (Methodological)</w:t>
      </w:r>
      <w:r>
        <w:t xml:space="preserve"> </w:t>
      </w:r>
      <w:r>
        <w:t xml:space="preserve">13: 238–41.</w:t>
      </w:r>
      <w:r>
        <w:t xml:space="preserve"> </w:t>
      </w:r>
      <w:hyperlink r:id="rId80">
        <w:r>
          <w:rPr>
            <w:rStyle w:val="Hyperlink"/>
          </w:rPr>
          <w:t xml:space="preserve">http://www.jstor.org/stable/2984065</w:t>
        </w:r>
      </w:hyperlink>
      <w:r>
        <w:t xml:space="preserve">.</w:t>
      </w:r>
    </w:p>
    <w:bookmarkEnd w:id="81"/>
    <w:bookmarkStart w:id="83" w:name="ref-Westreich2013"/>
    <w:p>
      <w:pPr>
        <w:pStyle w:val="Bibliography"/>
      </w:pPr>
      <w:r>
        <w:t xml:space="preserve">Westreich, Daniel, and Sander Greenland. 2013.</w:t>
      </w:r>
      <w:r>
        <w:t xml:space="preserve"> </w:t>
      </w:r>
      <w:r>
        <w:t xml:space="preserve">“The Table 2 Fallacy: Presenting and Interpreting Confounder and Modifier Coefficients.”</w:t>
      </w:r>
      <w:r>
        <w:t xml:space="preserve"> </w:t>
      </w:r>
      <w:r>
        <w:rPr>
          <w:i/>
          <w:iCs/>
        </w:rPr>
        <w:t xml:space="preserve">American Journal of Epidemiology</w:t>
      </w:r>
      <w:r>
        <w:t xml:space="preserve"> </w:t>
      </w:r>
      <w:r>
        <w:t xml:space="preserve">177 (February): 292–98.</w:t>
      </w:r>
      <w:r>
        <w:t xml:space="preserve"> </w:t>
      </w:r>
      <w:hyperlink r:id="rId82">
        <w:r>
          <w:rPr>
            <w:rStyle w:val="Hyperlink"/>
          </w:rPr>
          <w:t xml:space="preserve">https://doi.org/10.1093/aje/kws412</w:t>
        </w:r>
      </w:hyperlink>
      <w:r>
        <w:t xml:space="preserve">.</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(Gelman et al. 2007; Nieuwenhuis 2015; Diez Roux 2003)</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and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and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 statistically confounded 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First, it is important to remember that there are many social issues that</w:t>
      </w:r>
      <w:r>
        <w:t xml:space="preserve"> </w:t>
      </w:r>
      <w:r>
        <w:rPr>
          <w:i/>
          <w:iCs/>
        </w:rPr>
        <w:t xml:space="preserve">cannot be ethically studied</w:t>
      </w:r>
      <w:r>
        <w:t xml:space="preserve"> </w:t>
      </w:r>
      <w:r>
        <w:t xml:space="preserve">with random assignment. Also,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9" Target="https://doi.org/10.1146/annurev-soc-071913-043455" TargetMode="External" /><Relationship Type="http://schemas.openxmlformats.org/officeDocument/2006/relationships/hyperlink" Id="rId73" Target="https://doi.org/10.1214/13-STS446" TargetMode="External" /><Relationship Type="http://schemas.openxmlformats.org/officeDocument/2006/relationships/hyperlink" Id="rId71" Target="https://doi.org/10.2139/ssrn.1010426" TargetMode="External" /><Relationship Type="http://schemas.openxmlformats.org/officeDocument/2006/relationships/hyperlink" Id="rId77"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0" Target="http://www.jstor.org/stable/2984065" TargetMode="External" /><Relationship Type="http://schemas.openxmlformats.org/officeDocument/2006/relationships/hyperlink" Id="rId82" Target="https://doi.org/10.1093/aje/kws412" TargetMode="External" /><Relationship Type="http://schemas.openxmlformats.org/officeDocument/2006/relationships/hyperlink" Id="rId69" Target="https://doi.org/10.1146/annurev-soc-071913-043455" TargetMode="External" /><Relationship Type="http://schemas.openxmlformats.org/officeDocument/2006/relationships/hyperlink" Id="rId73" Target="https://doi.org/10.1214/13-STS446" TargetMode="External" /><Relationship Type="http://schemas.openxmlformats.org/officeDocument/2006/relationships/hyperlink" Id="rId71" Target="https://doi.org/10.2139/ssrn.1010426" TargetMode="External" /><Relationship Type="http://schemas.openxmlformats.org/officeDocument/2006/relationships/hyperlink" Id="rId77"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2025-07-24T16:11:15Z</dcterms:created>
  <dcterms:modified xsi:type="dcterms:W3CDTF">2025-07-24T16:11:15Z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date">
    <vt:lpwstr>2025-07-24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are">
    <vt:lpwstr/>
  </property>
  <property fmtid="{D5CDD505-2E9C-101B-9397-08002B2CF9AE}" pid="12" name="subtitle">
    <vt:lpwstr>Why Use Quantitative Methods?</vt:lpwstr>
  </property>
  <property fmtid="{D5CDD505-2E9C-101B-9397-08002B2CF9AE}" pid="13" name="toc-title">
    <vt:lpwstr>Table of contents</vt:lpwstr>
  </property>
</Properties>
</file>