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9.png" ContentType="image/png"/>
  <Override PartName="/word/media/rId42.png" ContentType="image/png"/>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2025-12-31</w:t>
      </w:r>
    </w:p>
    <w:bookmarkStart w:id="20"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20"/>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21" w:name="cr-earth"/>
    <w:bookmarkEnd w:id="21"/>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22"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22"/>
    <w:p>
      <w:pPr>
        <w:pStyle w:val="FirstParagraph"/>
      </w:pPr>
      <w:r>
        <w:t xml:space="preserve">This reminds us of the famous saying by the statistician George Box about statistical models</w:t>
      </w:r>
      <w:r>
        <w:t xml:space="preserve"> </w:t>
      </w:r>
      <w:r>
        <w:t xml:space="preserve">(Hand, 2014)</w:t>
      </w:r>
      <w:r>
        <w:t xml:space="preserve">:</w:t>
      </w:r>
    </w:p>
    <w:bookmarkStart w:id="23"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23"/>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24" w:name="cr-box2"/>
    <w:p>
      <w:pPr>
        <w:pStyle w:val="BlockText"/>
      </w:pPr>
      <w:r>
        <w:t xml:space="preserve">“All models are wrong, but some are useful.”</w:t>
      </w:r>
      <w:r>
        <w:t xml:space="preserve"> </w:t>
      </w:r>
      <w:r>
        <w:t xml:space="preserve">(Box, 1979)</w:t>
      </w:r>
    </w:p>
    <w:bookmarkEnd w:id="24"/>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28" w:name="cr-flowchart"/>
    <w:p>
      <w:pPr>
        <w:pStyle w:val="BodyText"/>
      </w:pPr>
    </w:p>
    <w:p>
      <w:pPr>
        <w:pStyle w:val="BodyText"/>
      </w:pPr>
      <w:r>
        <w:drawing>
          <wp:inline>
            <wp:extent cx="2679192" cy="694944"/>
            <wp:effectExtent b="0" l="0" r="0" t="0"/>
            <wp:docPr descr="" title="" id="26" name="Picture"/>
            <a:graphic>
              <a:graphicData uri="http://schemas.openxmlformats.org/drawingml/2006/picture">
                <pic:pic>
                  <pic:nvPicPr>
                    <pic:cNvPr descr="be-less-wrong_files/figure-docx/mermaid-figure-1.png" id="27" name="Picture"/>
                    <pic:cNvPicPr>
                      <a:picLocks noChangeArrowheads="1" noChangeAspect="1"/>
                    </pic:cNvPicPr>
                  </pic:nvPicPr>
                  <pic:blipFill>
                    <a:blip r:embed="rId25"/>
                    <a:stretch>
                      <a:fillRect/>
                    </a:stretch>
                  </pic:blipFill>
                  <pic:spPr bwMode="auto">
                    <a:xfrm>
                      <a:off x="0" y="0"/>
                      <a:ext cx="2679192" cy="694944"/>
                    </a:xfrm>
                    <a:prstGeom prst="rect">
                      <a:avLst/>
                    </a:prstGeom>
                    <a:noFill/>
                    <a:ln w="9525">
                      <a:noFill/>
                      <a:headEnd/>
                      <a:tailEnd/>
                    </a:ln>
                  </pic:spPr>
                </pic:pic>
              </a:graphicData>
            </a:graphic>
          </wp:inline>
        </w:drawing>
      </w:r>
    </w:p>
    <w:p>
      <w:pPr>
        <w:pStyle w:val="BodyText"/>
      </w:pPr>
    </w:p>
    <w:bookmarkEnd w:id="28"/>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34" w:name="cr-p0"/>
    <w:tbl>
      <w:tblPr>
        <w:tblStyle w:val="Table"/>
        <w:tblW w:type="pct" w:w="5000"/>
        <w:tblLayout w:type="fixed"/>
        <w:tblLook w:firstRow="0" w:lastRow="0" w:firstColumn="0" w:lastColumn="0" w:noHBand="0" w:noVBand="0" w:val="0000"/>
      </w:tblPr>
      <w:tblGrid>
        <w:gridCol w:w="7920"/>
      </w:tblGrid>
      <w:tr>
        <w:tc>
          <w:tcPr/>
          <w:bookmarkStart w:id="33" w:name="fig-p0"/>
          <w:p>
            <w:pPr>
              <w:pStyle w:val="Compact"/>
              <w:jc w:val="center"/>
            </w:pPr>
            <w:bookmarkStart w:id="32" w:name="fig-p0"/>
            <w:r>
              <w:drawing>
                <wp:inline>
                  <wp:extent cx="5334000" cy="3200400"/>
                  <wp:effectExtent b="0" l="0" r="0" t="0"/>
                  <wp:docPr descr="" title="" id="30" name="Picture"/>
                  <a:graphic>
                    <a:graphicData uri="http://schemas.openxmlformats.org/drawingml/2006/picture">
                      <pic:pic>
                        <pic:nvPicPr>
                          <pic:cNvPr descr="be-less-wrong_files/figure-docx/fig-p0-1.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bookmarkEnd w:id="32"/>
          </w:p>
          <w:p>
            <w:pPr>
              <w:jc w:val="center"/>
            </w:pPr>
            <w:pPr>
              <w:jc w:val="start"/>
              <w:spacing w:before="200"/>
              <w:pStyle w:val="ImageCaption"/>
            </w:pPr>
            <w:r>
              <w:t xml:space="preserve">Figure 1</w:t>
            </w:r>
          </w:p>
          <w:bookmarkEnd w:id="33"/>
        </w:tc>
      </w:tr>
    </w:tbl>
    <w:bookmarkEnd w:id="34"/>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36" w:name="cr-notrecommended"/>
    <w:bookmarkStart w:id="35"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35"/>
    <w:bookmarkEnd w:id="36"/>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40" w:name="cr-flowchart2"/>
    <w:p>
      <w:pPr>
        <w:pStyle w:val="BodyText"/>
      </w:pPr>
    </w:p>
    <w:p>
      <w:pPr>
        <w:pStyle w:val="BodyText"/>
      </w:pPr>
      <w:r>
        <w:drawing>
          <wp:inline>
            <wp:extent cx="2670048" cy="1719071"/>
            <wp:effectExtent b="0" l="0" r="0" t="0"/>
            <wp:docPr descr="" title="" id="38" name="Picture"/>
            <a:graphic>
              <a:graphicData uri="http://schemas.openxmlformats.org/drawingml/2006/picture">
                <pic:pic>
                  <pic:nvPicPr>
                    <pic:cNvPr descr="be-less-wrong_files/figure-docx/mermaid-figure-2.png" id="39" name="Picture"/>
                    <pic:cNvPicPr>
                      <a:picLocks noChangeArrowheads="1" noChangeAspect="1"/>
                    </pic:cNvPicPr>
                  </pic:nvPicPr>
                  <pic:blipFill>
                    <a:blip r:embed="rId37"/>
                    <a:stretch>
                      <a:fillRect/>
                    </a:stretch>
                  </pic:blipFill>
                  <pic:spPr bwMode="auto">
                    <a:xfrm>
                      <a:off x="0" y="0"/>
                      <a:ext cx="2670048" cy="1719071"/>
                    </a:xfrm>
                    <a:prstGeom prst="rect">
                      <a:avLst/>
                    </a:prstGeom>
                    <a:noFill/>
                    <a:ln w="9525">
                      <a:noFill/>
                      <a:headEnd/>
                      <a:tailEnd/>
                    </a:ln>
                  </pic:spPr>
                </pic:pic>
              </a:graphicData>
            </a:graphic>
          </wp:inline>
        </w:drawing>
      </w:r>
    </w:p>
    <w:p>
      <w:pPr>
        <w:pStyle w:val="BodyText"/>
      </w:pPr>
    </w:p>
    <w:bookmarkEnd w:id="40"/>
    <w:p>
      <w:pPr>
        <w:pStyle w:val="BodyText"/>
      </w:pPr>
      <w:r>
        <w:t xml:space="preserve">Our conclusion seems to have flipped!</w:t>
      </w:r>
    </w:p>
    <w:bookmarkStart w:id="41"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41"/>
    <w:bookmarkStart w:id="47" w:name="cr-p0-group"/>
    <w:tbl>
      <w:tblPr>
        <w:tblStyle w:val="Table"/>
        <w:tblW w:type="pct" w:w="5000"/>
        <w:tblLayout w:type="fixed"/>
        <w:tblLook w:firstRow="0" w:lastRow="0" w:firstColumn="0" w:lastColumn="0" w:noHBand="0" w:noVBand="0" w:val="0000"/>
      </w:tblPr>
      <w:tblGrid>
        <w:gridCol w:w="7920"/>
      </w:tblGrid>
      <w:tr>
        <w:tc>
          <w:tcPr/>
          <w:bookmarkStart w:id="46" w:name="fig-p0-group"/>
          <w:p>
            <w:pPr>
              <w:pStyle w:val="Compact"/>
              <w:jc w:val="center"/>
            </w:pPr>
            <w:bookmarkStart w:id="45" w:name="fig-p0-group"/>
            <w:r>
              <w:drawing>
                <wp:inline>
                  <wp:extent cx="5334000" cy="3200400"/>
                  <wp:effectExtent b="0" l="0" r="0" t="0"/>
                  <wp:docPr descr="" title="" id="43" name="Picture"/>
                  <a:graphic>
                    <a:graphicData uri="http://schemas.openxmlformats.org/drawingml/2006/picture">
                      <pic:pic>
                        <pic:nvPicPr>
                          <pic:cNvPr descr="be-less-wrong_files/figure-docx/fig-p0-group-1.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bookmarkEnd w:id="45"/>
          </w:p>
          <w:p>
            <w:pPr>
              <w:jc w:val="center"/>
            </w:pPr>
            <w:pPr>
              <w:jc w:val="start"/>
              <w:spacing w:before="200"/>
              <w:pStyle w:val="ImageCaption"/>
            </w:pPr>
            <w:r>
              <w:t xml:space="preserve">Figure 2</w:t>
            </w:r>
          </w:p>
          <w:bookmarkEnd w:id="46"/>
        </w:tc>
      </w:tr>
    </w:tbl>
    <w:bookmarkEnd w:id="47"/>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48"/>
      </w:r>
    </w:p>
    <w:bookmarkStart w:id="50" w:name="cr-Simpson"/>
    <w:bookmarkStart w:id="49"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49"/>
    <w:bookmarkEnd w:id="50"/>
    <w:p>
      <w:pPr>
        <w:pStyle w:val="BodyText"/>
      </w:pPr>
      <w:r>
        <w:t xml:space="preserve">Adding more variables will not always</w:t>
      </w:r>
      <w:r>
        <w:t xml:space="preserve"> </w:t>
      </w:r>
      <w:r>
        <w:rPr>
          <w:i/>
          <w:iCs/>
        </w:rPr>
        <w:t xml:space="preserve">flip</w:t>
      </w:r>
      <w:r>
        <w:t xml:space="preserve"> </w:t>
      </w:r>
      <w:r>
        <w:t xml:space="preserve">our conclusions.</w:t>
      </w:r>
    </w:p>
    <w:bookmarkStart w:id="52" w:name="cr-multivariate"/>
    <w:bookmarkStart w:id="51"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51"/>
    <w:bookmarkEnd w:id="52"/>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54" w:name="cr-variables"/>
    <w:bookmarkStart w:id="53"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53"/>
    <w:bookmarkEnd w:id="54"/>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61" w:name="cr-thoughtexperiment"/>
    <w:bookmarkStart w:id="60"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mbined"/>
          <w:p>
            <w:pPr>
              <w:pStyle w:val="Compact"/>
              <w:jc w:val="center"/>
            </w:pPr>
            <w:bookmarkStart w:id="58" w:name="fig-combined"/>
            <w:r>
              <w:drawing>
                <wp:inline>
                  <wp:extent cx="5334000" cy="3200400"/>
                  <wp:effectExtent b="0" l="0" r="0" t="0"/>
                  <wp:docPr descr="" title="" id="56" name="Picture"/>
                  <a:graphic>
                    <a:graphicData uri="http://schemas.openxmlformats.org/drawingml/2006/picture">
                      <pic:pic>
                        <pic:nvPicPr>
                          <pic:cNvPr descr="be-less-wrong_files/figure-docx/fig-combined-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bookmarkEnd w:id="58"/>
          </w:p>
          <w:p>
            <w:pPr>
              <w:jc w:val="center"/>
            </w:pPr>
            <w:pPr>
              <w:jc w:val="start"/>
              <w:spacing w:before="200"/>
              <w:pStyle w:val="ImageCaption"/>
            </w:pPr>
            <w:r>
              <w:t xml:space="preserve">Figure 3</w:t>
            </w:r>
          </w:p>
          <w:bookmarkEnd w:id="59"/>
        </w:tc>
      </w:tr>
    </w:tbl>
    <w:bookmarkEnd w:id="60"/>
    <w:bookmarkEnd w:id="61"/>
    <w:p>
      <w:pPr>
        <w:pStyle w:val="BodyText"/>
      </w:pPr>
      <w:r>
        <w:t xml:space="preserve">My point? Simple models feel intuitive and have a commonsense appeal. Yet, with even slightly complicated social issues, simple models may be wrong.</w:t>
      </w:r>
      <w:r>
        <w:t xml:space="preserve"> </w:t>
      </w:r>
      <w:r>
        <w:rPr>
          <w:rStyle w:val="FootnoteReference"/>
        </w:rPr>
        <w:footnoteReference w:id="62"/>
      </w:r>
      <m:oMath>
        <m:sSup>
          <m:e>
            <m:r>
              <m:t>​</m:t>
            </m:r>
          </m:e>
          <m:sup>
            <m:r>
              <m:rPr>
                <m:sty m:val="p"/>
              </m:rPr>
              <m:t>,</m:t>
            </m:r>
          </m:sup>
        </m:sSup>
      </m:oMath>
      <w:r>
        <w:t xml:space="preserve"> </w:t>
      </w:r>
      <w:r>
        <w:rPr>
          <w:rStyle w:val="FootnoteReference"/>
        </w:rPr>
        <w:footnoteReference w:id="63"/>
      </w:r>
      <m:oMath>
        <m:sSup>
          <m:e>
            <m:r>
              <m:t>​</m:t>
            </m:r>
          </m:e>
          <m:sup>
            <m:r>
              <m:rPr>
                <m:sty m:val="p"/>
              </m:rPr>
              <m:t>,</m:t>
            </m:r>
          </m:sup>
        </m:sSup>
      </m:oMath>
      <w:r>
        <w:t xml:space="preserve"> </w:t>
      </w:r>
      <w:r>
        <w:rPr>
          <w:rStyle w:val="FootnoteReference"/>
        </w:rPr>
        <w:footnoteReference w:id="64"/>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66" w:name="cr-belesswrong"/>
    <w:bookmarkStart w:id="65"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65"/>
    <w:bookmarkEnd w:id="66"/>
    <w:bookmarkStart w:id="86" w:name="refs"/>
    <w:bookmarkStart w:id="6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67"/>
    <w:bookmarkStart w:id="69"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68">
        <w:r>
          <w:rPr>
            <w:rStyle w:val="Hyperlink"/>
          </w:rPr>
          <w:t xml:space="preserve">https://doi.org/10.1038/nrn3475</w:t>
        </w:r>
      </w:hyperlink>
    </w:p>
    <w:bookmarkEnd w:id="69"/>
    <w:bookmarkStart w:id="7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70"/>
    <w:bookmarkStart w:id="72"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71">
        <w:r>
          <w:rPr>
            <w:rStyle w:val="Hyperlink"/>
          </w:rPr>
          <w:t xml:space="preserve">https://doi.org/10.1146/annurev-soc-071913-043455</w:t>
        </w:r>
      </w:hyperlink>
    </w:p>
    <w:bookmarkEnd w:id="72"/>
    <w:bookmarkStart w:id="74"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73">
        <w:r>
          <w:rPr>
            <w:rStyle w:val="Hyperlink"/>
          </w:rPr>
          <w:t xml:space="preserve">https://doi.org/10.2139/ssrn.1010426</w:t>
        </w:r>
      </w:hyperlink>
    </w:p>
    <w:bookmarkEnd w:id="74"/>
    <w:bookmarkStart w:id="76"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75">
        <w:r>
          <w:rPr>
            <w:rStyle w:val="Hyperlink"/>
          </w:rPr>
          <w:t xml:space="preserve">https://doi.org/10.1214/13-STS446</w:t>
        </w:r>
      </w:hyperlink>
    </w:p>
    <w:bookmarkEnd w:id="76"/>
    <w:bookmarkStart w:id="77"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7"/>
    <w:bookmarkStart w:id="78"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8"/>
    <w:bookmarkStart w:id="80"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9">
        <w:r>
          <w:rPr>
            <w:rStyle w:val="Hyperlink"/>
          </w:rPr>
          <w:t xml:space="preserve">https://www.demographic-research.org/volumes/vol32/23/</w:t>
        </w:r>
      </w:hyperlink>
    </w:p>
    <w:bookmarkEnd w:id="80"/>
    <w:bookmarkStart w:id="81"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81"/>
    <w:bookmarkStart w:id="83"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82">
        <w:r>
          <w:rPr>
            <w:rStyle w:val="Hyperlink"/>
          </w:rPr>
          <w:t xml:space="preserve">http://www.jstor.org/stable/2984065</w:t>
        </w:r>
      </w:hyperlink>
    </w:p>
    <w:bookmarkEnd w:id="83"/>
    <w:bookmarkStart w:id="85"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84">
        <w:r>
          <w:rPr>
            <w:rStyle w:val="Hyperlink"/>
          </w:rPr>
          <w:t xml:space="preserve">https://doi.org/10.1093/aje/kws412</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62">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63">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64">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82" Target="http://www.jstor.org/stable/2984065" TargetMode="External" /><Relationship Type="http://schemas.openxmlformats.org/officeDocument/2006/relationships/hyperlink" Id="rId68" Target="https://doi.org/10.1038/nrn3475" TargetMode="External" /><Relationship Type="http://schemas.openxmlformats.org/officeDocument/2006/relationships/hyperlink" Id="rId84" Target="https://doi.org/10.1093/aje/kws412" TargetMode="External" /><Relationship Type="http://schemas.openxmlformats.org/officeDocument/2006/relationships/hyperlink" Id="rId71" Target="https://doi.org/10.1146/annurev-soc-071913-043455" TargetMode="External" /><Relationship Type="http://schemas.openxmlformats.org/officeDocument/2006/relationships/hyperlink" Id="rId75" Target="https://doi.org/10.1214/13-STS446" TargetMode="External" /><Relationship Type="http://schemas.openxmlformats.org/officeDocument/2006/relationships/hyperlink" Id="rId73" Target="https://doi.org/10.2139/ssrn.1010426" TargetMode="External" /><Relationship Type="http://schemas.openxmlformats.org/officeDocument/2006/relationships/hyperlink" Id="rId79"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82" Target="http://www.jstor.org/stable/2984065" TargetMode="External" /><Relationship Type="http://schemas.openxmlformats.org/officeDocument/2006/relationships/hyperlink" Id="rId68" Target="https://doi.org/10.1038/nrn3475" TargetMode="External" /><Relationship Type="http://schemas.openxmlformats.org/officeDocument/2006/relationships/hyperlink" Id="rId84" Target="https://doi.org/10.1093/aje/kws412" TargetMode="External" /><Relationship Type="http://schemas.openxmlformats.org/officeDocument/2006/relationships/hyperlink" Id="rId71" Target="https://doi.org/10.1146/annurev-soc-071913-043455" TargetMode="External" /><Relationship Type="http://schemas.openxmlformats.org/officeDocument/2006/relationships/hyperlink" Id="rId75" Target="https://doi.org/10.1214/13-STS446" TargetMode="External" /><Relationship Type="http://schemas.openxmlformats.org/officeDocument/2006/relationships/hyperlink" Id="rId73" Target="https://doi.org/10.2139/ssrn.1010426" TargetMode="External" /><Relationship Type="http://schemas.openxmlformats.org/officeDocument/2006/relationships/hyperlink" Id="rId79"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2025-12-31T17:38:54Z</dcterms:created>
  <dcterms:modified xsi:type="dcterms:W3CDTF">2025-12-31T17:38:54Z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sl">
    <vt:lpwstr>apa.csl</vt:lpwstr>
  </property>
  <property fmtid="{D5CDD505-2E9C-101B-9397-08002B2CF9AE}" pid="7" name="date">
    <vt:lpwstr>2025-12-31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are">
    <vt:lpwstr/>
  </property>
  <property fmtid="{D5CDD505-2E9C-101B-9397-08002B2CF9AE}" pid="13" name="subtitle">
    <vt:lpwstr>Why Use Quantitative Methods?</vt:lpwstr>
  </property>
  <property fmtid="{D5CDD505-2E9C-101B-9397-08002B2CF9AE}" pid="14" name="toc-title">
    <vt:lpwstr>Table of contents</vt:lpwstr>
  </property>
</Properties>
</file>