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18.png" ContentType="image/png"/>
  <Override PartName="/word/media/rId31.png" ContentType="image/png"/>
  <Override PartName="/word/media/rId1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2026-03-13</w:t>
      </w:r>
    </w:p>
    <w:bookmarkStart w:id="9"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9"/>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10" w:name="cr-earth"/>
    <w:bookmarkEnd w:id="10"/>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11"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11"/>
    <w:p>
      <w:pPr>
        <w:pStyle w:val="FirstParagraph"/>
      </w:pPr>
      <w:r>
        <w:t xml:space="preserve">This reminds us of the famous saying by the statistician George Box about statistical models</w:t>
      </w:r>
      <w:r>
        <w:t xml:space="preserve"> </w:t>
      </w:r>
      <w:r>
        <w:t xml:space="preserve">(Hand, 2014)</w:t>
      </w:r>
      <w:r>
        <w:t xml:space="preserve">:</w:t>
      </w:r>
    </w:p>
    <w:bookmarkStart w:id="12"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12"/>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13" w:name="cr-box2"/>
    <w:p>
      <w:pPr>
        <w:pStyle w:val="BlockText"/>
      </w:pPr>
      <w:r>
        <w:t xml:space="preserve">“All models are wrong, but some are useful.”</w:t>
      </w:r>
      <w:r>
        <w:t xml:space="preserve"> </w:t>
      </w:r>
      <w:r>
        <w:t xml:space="preserve">(Box, 1979)</w:t>
      </w:r>
    </w:p>
    <w:bookmarkEnd w:id="13"/>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17" w:name="cr-flowchart"/>
    <w:p>
      <w:pPr>
        <w:pStyle w:val="BodyText"/>
      </w:pPr>
    </w:p>
    <w:p>
      <w:pPr>
        <w:pStyle w:val="BodyText"/>
      </w:pPr>
      <w:r>
        <w:drawing>
          <wp:inline>
            <wp:extent cx="2670048" cy="694944"/>
            <wp:effectExtent b="0" l="0" r="0" t="0"/>
            <wp:docPr descr="" title="" id="15" name="Picture"/>
            <a:graphic>
              <a:graphicData uri="http://schemas.openxmlformats.org/drawingml/2006/picture">
                <pic:pic>
                  <pic:nvPicPr>
                    <pic:cNvPr descr="be-less-wrong_files/figure-docx/mermaid-figure-1.png" id="16" name="Picture"/>
                    <pic:cNvPicPr>
                      <a:picLocks noChangeArrowheads="1" noChangeAspect="1"/>
                    </pic:cNvPicPr>
                  </pic:nvPicPr>
                  <pic:blipFill>
                    <a:blip r:embed="rId14"/>
                    <a:stretch>
                      <a:fillRect/>
                    </a:stretch>
                  </pic:blipFill>
                  <pic:spPr bwMode="auto">
                    <a:xfrm>
                      <a:off x="0" y="0"/>
                      <a:ext cx="2670048" cy="694944"/>
                    </a:xfrm>
                    <a:prstGeom prst="rect">
                      <a:avLst/>
                    </a:prstGeom>
                    <a:noFill/>
                    <a:ln w="9525">
                      <a:noFill/>
                      <a:headEnd/>
                      <a:tailEnd/>
                    </a:ln>
                  </pic:spPr>
                </pic:pic>
              </a:graphicData>
            </a:graphic>
          </wp:inline>
        </w:drawing>
      </w:r>
    </w:p>
    <w:p>
      <w:pPr>
        <w:pStyle w:val="BodyText"/>
      </w:pPr>
    </w:p>
    <w:bookmarkEnd w:id="17"/>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23" w:name="cr-p0"/>
    <w:tbl>
      <w:tblPr>
        <w:tblStyle w:val="Table"/>
        <w:tblW w:type="pct" w:w="5000"/>
        <w:tblLayout w:type="fixed"/>
        <w:tblLook w:firstRow="0" w:lastRow="0" w:firstColumn="0" w:lastColumn="0" w:noHBand="0" w:noVBand="0" w:val="0000"/>
      </w:tblPr>
      <w:tblGrid>
        <w:gridCol w:w="7920"/>
      </w:tblGrid>
      <w:tr>
        <w:tc>
          <w:tcPr/>
          <w:bookmarkStart w:id="22" w:name="fig-p0"/>
          <w:p>
            <w:pPr>
              <w:pStyle w:val="Compact"/>
              <w:jc w:val="center"/>
            </w:pPr>
            <w:bookmarkStart w:id="21" w:name="fig-p0"/>
            <w:r>
              <w:drawing>
                <wp:inline>
                  <wp:extent cx="5334000" cy="3200400"/>
                  <wp:effectExtent b="0" l="0" r="0" t="0"/>
                  <wp:docPr descr="" title="" id="19" name="Picture"/>
                  <a:graphic>
                    <a:graphicData uri="http://schemas.openxmlformats.org/drawingml/2006/picture">
                      <pic:pic>
                        <pic:nvPicPr>
                          <pic:cNvPr descr="be-less-wrong_files/figure-docx/fig-p0-1.png" id="20" name="Picture"/>
                          <pic:cNvPicPr>
                            <a:picLocks noChangeArrowheads="1" noChangeAspect="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bookmarkEnd w:id="21"/>
          </w:p>
          <w:p>
            <w:pPr>
              <w:jc w:val="center"/>
            </w:pPr>
            <w:pPr>
              <w:jc w:val="left"/>
              <w:spacing w:before="200"/>
              <w:pStyle w:val="ImageCaption"/>
            </w:pPr>
            <w:r>
              <w:t xml:space="preserve">Figure 1</w:t>
            </w:r>
          </w:p>
          <w:bookmarkEnd w:id="22"/>
        </w:tc>
      </w:tr>
    </w:tbl>
    <w:bookmarkEnd w:id="23"/>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25" w:name="cr-notrecommended"/>
    <w:bookmarkStart w:id="24"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24"/>
    <w:bookmarkEnd w:id="25"/>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29" w:name="cr-flowchart2"/>
    <w:p>
      <w:pPr>
        <w:pStyle w:val="BodyText"/>
      </w:pPr>
    </w:p>
    <w:p>
      <w:pPr>
        <w:pStyle w:val="BodyText"/>
      </w:pPr>
      <w:r>
        <w:drawing>
          <wp:inline>
            <wp:extent cx="2670048" cy="1700784"/>
            <wp:effectExtent b="0" l="0" r="0" t="0"/>
            <wp:docPr descr="" title="" id="27" name="Picture"/>
            <a:graphic>
              <a:graphicData uri="http://schemas.openxmlformats.org/drawingml/2006/picture">
                <pic:pic>
                  <pic:nvPicPr>
                    <pic:cNvPr descr="be-less-wrong_files/figure-docx/mermaid-figure-2.png" id="28" name="Picture"/>
                    <pic:cNvPicPr>
                      <a:picLocks noChangeArrowheads="1" noChangeAspect="1"/>
                    </pic:cNvPicPr>
                  </pic:nvPicPr>
                  <pic:blipFill>
                    <a:blip r:embed="rId26"/>
                    <a:stretch>
                      <a:fillRect/>
                    </a:stretch>
                  </pic:blipFill>
                  <pic:spPr bwMode="auto">
                    <a:xfrm>
                      <a:off x="0" y="0"/>
                      <a:ext cx="2670048" cy="1700784"/>
                    </a:xfrm>
                    <a:prstGeom prst="rect">
                      <a:avLst/>
                    </a:prstGeom>
                    <a:noFill/>
                    <a:ln w="9525">
                      <a:noFill/>
                      <a:headEnd/>
                      <a:tailEnd/>
                    </a:ln>
                  </pic:spPr>
                </pic:pic>
              </a:graphicData>
            </a:graphic>
          </wp:inline>
        </w:drawing>
      </w:r>
    </w:p>
    <w:p>
      <w:pPr>
        <w:pStyle w:val="BodyText"/>
      </w:pPr>
    </w:p>
    <w:bookmarkEnd w:id="29"/>
    <w:p>
      <w:pPr>
        <w:pStyle w:val="BodyText"/>
      </w:pPr>
      <w:r>
        <w:t xml:space="preserve">Our conclusion seems to have flipped!</w:t>
      </w:r>
    </w:p>
    <w:bookmarkStart w:id="30"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30"/>
    <w:bookmarkStart w:id="36" w:name="cr-p0-group"/>
    <w:tbl>
      <w:tblPr>
        <w:tblStyle w:val="Table"/>
        <w:tblW w:type="pct" w:w="5000"/>
        <w:tblLayout w:type="fixed"/>
        <w:tblLook w:firstRow="0" w:lastRow="0" w:firstColumn="0" w:lastColumn="0" w:noHBand="0" w:noVBand="0" w:val="0000"/>
      </w:tblPr>
      <w:tblGrid>
        <w:gridCol w:w="7920"/>
      </w:tblGrid>
      <w:tr>
        <w:tc>
          <w:tcPr/>
          <w:bookmarkStart w:id="35" w:name="fig-p0-group"/>
          <w:p>
            <w:pPr>
              <w:pStyle w:val="Compact"/>
              <w:jc w:val="center"/>
            </w:pPr>
            <w:bookmarkStart w:id="34" w:name="fig-p0-group"/>
            <w:r>
              <w:drawing>
                <wp:inline>
                  <wp:extent cx="5334000" cy="3200400"/>
                  <wp:effectExtent b="0" l="0" r="0" t="0"/>
                  <wp:docPr descr="" title="" id="32" name="Picture"/>
                  <a:graphic>
                    <a:graphicData uri="http://schemas.openxmlformats.org/drawingml/2006/picture">
                      <pic:pic>
                        <pic:nvPicPr>
                          <pic:cNvPr descr="be-less-wrong_files/figure-docx/fig-p0-group-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bookmarkEnd w:id="34"/>
          </w:p>
          <w:p>
            <w:pPr>
              <w:jc w:val="center"/>
            </w:pPr>
            <w:pPr>
              <w:jc w:val="left"/>
              <w:spacing w:before="200"/>
              <w:pStyle w:val="ImageCaption"/>
            </w:pPr>
            <w:r>
              <w:t xml:space="preserve">Figure 2</w:t>
            </w:r>
          </w:p>
          <w:bookmarkEnd w:id="35"/>
        </w:tc>
      </w:tr>
    </w:tbl>
    <w:bookmarkEnd w:id="36"/>
    <w:p>
      <w:pPr>
        <w:pStyle w:val="BodyText"/>
      </w:pPr>
      <w:r>
        <w:t xml:space="preserve">The fact that statistical results–and analogously visual results–can flip when more variables are accounted for is known as Simpson’s Paradox</w:t>
      </w:r>
      <w:r>
        <w:t xml:space="preserve"> </w:t>
      </w:r>
      <w:r>
        <w:t xml:space="preserve">(Simpson, 1951)</w:t>
      </w:r>
      <w:r>
        <w:t xml:space="preserve">.</w:t>
      </w:r>
      <w:r>
        <w:rPr>
          <w:rStyle w:val="FootnoteReference"/>
        </w:rPr>
        <w:footnoteReference w:id="37"/>
      </w:r>
    </w:p>
    <w:bookmarkStart w:id="39" w:name="cr-Simpson"/>
    <w:bookmarkStart w:id="38"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38"/>
    <w:bookmarkEnd w:id="39"/>
    <w:p>
      <w:pPr>
        <w:pStyle w:val="BodyText"/>
      </w:pPr>
      <w:r>
        <w:t xml:space="preserve">Adding more variables will not always</w:t>
      </w:r>
      <w:r>
        <w:t xml:space="preserve"> </w:t>
      </w:r>
      <w:r>
        <w:rPr>
          <w:i/>
          <w:iCs/>
        </w:rPr>
        <w:t xml:space="preserve">flip</w:t>
      </w:r>
      <w:r>
        <w:t xml:space="preserve"> </w:t>
      </w:r>
      <w:r>
        <w:t xml:space="preserve">our conclusions.</w:t>
      </w:r>
    </w:p>
    <w:bookmarkStart w:id="41" w:name="cr-multivariate"/>
    <w:bookmarkStart w:id="40"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40"/>
    <w:bookmarkEnd w:id="41"/>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43" w:name="cr-variables"/>
    <w:bookmarkStart w:id="42"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42"/>
    <w:bookmarkEnd w:id="43"/>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50" w:name="cr-thoughtexperiment"/>
    <w:bookmarkStart w:id="49"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ombined"/>
          <w:p>
            <w:pPr>
              <w:pStyle w:val="Compact"/>
              <w:jc w:val="center"/>
            </w:pPr>
            <w:bookmarkStart w:id="47" w:name="fig-combined"/>
            <w:r>
              <w:drawing>
                <wp:inline>
                  <wp:extent cx="5334000" cy="3200400"/>
                  <wp:effectExtent b="0" l="0" r="0" t="0"/>
                  <wp:docPr descr="" title="" id="45" name="Picture"/>
                  <a:graphic>
                    <a:graphicData uri="http://schemas.openxmlformats.org/drawingml/2006/picture">
                      <pic:pic>
                        <pic:nvPicPr>
                          <pic:cNvPr descr="be-less-wrong_files/figure-docx/fig-combined-1.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bookmarkEnd w:id="47"/>
          </w:p>
          <w:p>
            <w:pPr>
              <w:jc w:val="center"/>
            </w:pPr>
            <w:pPr>
              <w:jc w:val="left"/>
              <w:spacing w:before="200"/>
              <w:pStyle w:val="ImageCaption"/>
            </w:pPr>
            <w:r>
              <w:t xml:space="preserve">Figure 3</w:t>
            </w:r>
          </w:p>
          <w:bookmarkEnd w:id="48"/>
        </w:tc>
      </w:tr>
    </w:tbl>
    <w:bookmarkEnd w:id="49"/>
    <w:bookmarkEnd w:id="50"/>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51"/>
      </w:r>
      <m:oMath>
        <m:sSup>
          <m:e>
            <m:r>
              <m:t>​</m:t>
            </m:r>
          </m:e>
          <m:sup>
            <m:r>
              <m:rPr>
                <m:sty m:val="p"/>
              </m:rPr>
              <m:t>,</m:t>
            </m:r>
          </m:sup>
        </m:sSup>
      </m:oMath>
      <w:r>
        <w:t xml:space="preserve"> </w:t>
      </w:r>
      <w:r>
        <w:rPr>
          <w:rStyle w:val="FootnoteReference"/>
        </w:rPr>
        <w:footnoteReference w:id="52"/>
      </w:r>
      <m:oMath>
        <m:sSup>
          <m:e>
            <m:r>
              <m:t>​</m:t>
            </m:r>
          </m:e>
          <m:sup>
            <m:r>
              <m:rPr>
                <m:sty m:val="p"/>
              </m:rPr>
              <m:t>,</m:t>
            </m:r>
          </m:sup>
        </m:sSup>
      </m:oMath>
      <w:r>
        <w:t xml:space="preserve"> </w:t>
      </w:r>
      <w:r>
        <w:rPr>
          <w:rStyle w:val="FootnoteReference"/>
        </w:rPr>
        <w:footnoteReference w:id="53"/>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55" w:name="cr-belesswrong"/>
    <w:bookmarkStart w:id="54"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54"/>
    <w:bookmarkEnd w:id="55"/>
    <w:bookmarkStart w:id="80" w:name="refs"/>
    <w:bookmarkStart w:id="56" w:name="ref-Antweiler2016"/>
    <w:p>
      <w:pPr>
        <w:pStyle w:val="Bibliography"/>
      </w:pPr>
      <w:r>
        <w:t xml:space="preserve">Antweiler, C. (2016).</w:t>
      </w:r>
      <w:r>
        <w:t xml:space="preserve"> </w:t>
      </w:r>
      <w:r>
        <w:rPr>
          <w:i/>
          <w:iCs/>
        </w:rPr>
        <w:t xml:space="preserve">Our common denominator: Human universals revisited</w:t>
      </w:r>
      <w:r>
        <w:t xml:space="preserve">. Berghahn.</w:t>
      </w:r>
    </w:p>
    <w:bookmarkEnd w:id="56"/>
    <w:bookmarkStart w:id="57"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57"/>
    <w:bookmarkStart w:id="59"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58">
        <w:r>
          <w:rPr>
            <w:rStyle w:val="Hyperlink"/>
          </w:rPr>
          <w:t xml:space="preserve">https://doi.org/10.1038/nrn3475</w:t>
        </w:r>
      </w:hyperlink>
    </w:p>
    <w:bookmarkEnd w:id="59"/>
    <w:bookmarkStart w:id="60"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60"/>
    <w:bookmarkStart w:id="62" w:name="ref-Draper2022"/>
    <w:p>
      <w:pPr>
        <w:pStyle w:val="Bibliography"/>
      </w:pPr>
      <w:r>
        <w:t xml:space="preserve">Draper, C. E., Barnett, L. M., Cook, C. J., Cuartas, J. A., Howard, S. J., McCoy, D. C., Merkley, R., Molano, A., Maldonado-Carreño, C., Obradovic, J., Scerif, G., Valentini, N. C., Venetsanou, F., &amp; Yousafzai, A. K. (2022). Publishing child development research from around the world: An unfair playing field resulting in most of the world’s child population under-represented in research.</w:t>
      </w:r>
      <w:r>
        <w:t xml:space="preserve"> </w:t>
      </w:r>
      <w:r>
        <w:rPr>
          <w:i/>
          <w:iCs/>
        </w:rPr>
        <w:t xml:space="preserve">Infant and Child Development</w:t>
      </w:r>
      <w:r>
        <w:t xml:space="preserve">,</w:t>
      </w:r>
      <w:r>
        <w:t xml:space="preserve"> </w:t>
      </w:r>
      <w:r>
        <w:rPr>
          <w:i/>
          <w:iCs/>
        </w:rPr>
        <w:t xml:space="preserve">n/a</w:t>
      </w:r>
      <w:r>
        <w:t xml:space="preserve">, e2375.</w:t>
      </w:r>
      <w:r>
        <w:t xml:space="preserve"> </w:t>
      </w:r>
      <w:hyperlink r:id="rId61">
        <w:r>
          <w:rPr>
            <w:rStyle w:val="Hyperlink"/>
          </w:rPr>
          <w:t xml:space="preserve">https://doi.org/10.1002/icd.2375</w:t>
        </w:r>
      </w:hyperlink>
    </w:p>
    <w:bookmarkEnd w:id="62"/>
    <w:bookmarkStart w:id="64"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63">
        <w:r>
          <w:rPr>
            <w:rStyle w:val="Hyperlink"/>
          </w:rPr>
          <w:t xml:space="preserve">https://doi.org/10.1146/annurev-soc-071913-043455</w:t>
        </w:r>
      </w:hyperlink>
    </w:p>
    <w:bookmarkEnd w:id="64"/>
    <w:bookmarkStart w:id="66"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65">
        <w:r>
          <w:rPr>
            <w:rStyle w:val="Hyperlink"/>
          </w:rPr>
          <w:t xml:space="preserve">https://doi.org/10.2139/ssrn.1010426</w:t>
        </w:r>
      </w:hyperlink>
    </w:p>
    <w:bookmarkEnd w:id="66"/>
    <w:bookmarkStart w:id="68"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67">
        <w:r>
          <w:rPr>
            <w:rStyle w:val="Hyperlink"/>
          </w:rPr>
          <w:t xml:space="preserve">https://doi.org/10.1214/13-STS446</w:t>
        </w:r>
      </w:hyperlink>
    </w:p>
    <w:bookmarkEnd w:id="68"/>
    <w:bookmarkStart w:id="70" w:name="ref-Henrich2010"/>
    <w:p>
      <w:pPr>
        <w:pStyle w:val="Bibliography"/>
      </w:pPr>
      <w:r>
        <w:t xml:space="preserve">Henrich, J., Heine, S. J., &amp; Norenzayan, A. (2010).</w:t>
      </w:r>
      <w:r>
        <w:t xml:space="preserve"> </w:t>
      </w:r>
      <w:r>
        <w:t xml:space="preserve">The weirdest people in the world?</w:t>
      </w:r>
      <w:r>
        <w:t xml:space="preserve"> </w:t>
      </w:r>
      <w:r>
        <w:rPr>
          <w:i/>
          <w:iCs/>
        </w:rPr>
        <w:t xml:space="preserve">Behavioral and Brain Sciences</w:t>
      </w:r>
      <w:r>
        <w:t xml:space="preserve">.</w:t>
      </w:r>
      <w:r>
        <w:t xml:space="preserve"> </w:t>
      </w:r>
      <w:hyperlink r:id="rId69">
        <w:r>
          <w:rPr>
            <w:rStyle w:val="Hyperlink"/>
          </w:rPr>
          <w:t xml:space="preserve">https://doi.org/10.1017/S0140525X0999152X</w:t>
        </w:r>
      </w:hyperlink>
    </w:p>
    <w:bookmarkEnd w:id="70"/>
    <w:bookmarkStart w:id="71"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71"/>
    <w:bookmarkStart w:id="72"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72"/>
    <w:bookmarkStart w:id="74"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73">
        <w:r>
          <w:rPr>
            <w:rStyle w:val="Hyperlink"/>
          </w:rPr>
          <w:t xml:space="preserve">https://www.demographic-research.org/volumes/vol32/23/</w:t>
        </w:r>
      </w:hyperlink>
    </w:p>
    <w:bookmarkEnd w:id="74"/>
    <w:bookmarkStart w:id="75"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75"/>
    <w:bookmarkStart w:id="77"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76">
        <w:r>
          <w:rPr>
            <w:rStyle w:val="Hyperlink"/>
          </w:rPr>
          <w:t xml:space="preserve">http://www.jstor.org/stable/2984065</w:t>
        </w:r>
      </w:hyperlink>
    </w:p>
    <w:bookmarkEnd w:id="77"/>
    <w:bookmarkStart w:id="79"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78">
        <w:r>
          <w:rPr>
            <w:rStyle w:val="Hyperlink"/>
          </w:rPr>
          <w:t xml:space="preserve">https://doi.org/10.1093/aje/kws412</w:t>
        </w:r>
      </w:hyperlink>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51">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52">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53">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Social resarch is increasingly aware of the need to study human phenomena with</w:t>
      </w:r>
      <w:r>
        <w:t xml:space="preserve"> </w:t>
      </w:r>
      <w:r>
        <w:rPr>
          <w:i/>
          <w:iCs/>
        </w:rPr>
        <w:t xml:space="preserve">diverse and cross-cultural samples of participants</w:t>
      </w:r>
      <w:r>
        <w:t xml:space="preserve"> </w:t>
      </w:r>
      <w:r>
        <w:t xml:space="preserve">(Antweiler, 2016; Draper et al., 2022; Henrich et al., 2010)</w:t>
      </w:r>
      <w:r>
        <w:t xml:space="preserve">. Third, the logistical demands of RCT’s may lead to studies with</w:t>
      </w:r>
      <w:r>
        <w:t xml:space="preserve"> </w:t>
      </w:r>
      <w:r>
        <w:rPr>
          <w:i/>
          <w:iCs/>
        </w:rPr>
        <w:t xml:space="preserve">shorter time frames</w:t>
      </w:r>
      <w:r>
        <w:t xml:space="preserve"> </w:t>
      </w:r>
      <w:r>
        <w:t xml:space="preserve">(several months or a year) when many phenomena would be better observed over a</w:t>
      </w:r>
      <w:r>
        <w:t xml:space="preserve"> </w:t>
      </w:r>
      <w:r>
        <w:rPr>
          <w:i/>
          <w:iCs/>
        </w:rPr>
        <w:t xml:space="preserve">longer time frame</w:t>
      </w:r>
      <w:r>
        <w:t xml:space="preserve"> </w:t>
      </w:r>
      <w:r>
        <w:t xml:space="preserve">of several years, or even many years.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18" Target="media/rId18.png" /><Relationship Type="http://schemas.openxmlformats.org/officeDocument/2006/relationships/image" Id="rId31" Target="media/rId31.png"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hyperlink" Id="rId76"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78" Target="https://doi.org/10.1093/aje/kws412"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3"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76" Target="http://www.jstor.org/stable/2984065" TargetMode="External" /><Relationship Type="http://schemas.openxmlformats.org/officeDocument/2006/relationships/hyperlink" Id="rId61" Target="https://doi.org/10.1002/icd.2375" TargetMode="External" /><Relationship Type="http://schemas.openxmlformats.org/officeDocument/2006/relationships/hyperlink" Id="rId69" Target="https://doi.org/10.1017/S0140525X0999152X" TargetMode="External" /><Relationship Type="http://schemas.openxmlformats.org/officeDocument/2006/relationships/hyperlink" Id="rId58" Target="https://doi.org/10.1038/nrn3475" TargetMode="External" /><Relationship Type="http://schemas.openxmlformats.org/officeDocument/2006/relationships/hyperlink" Id="rId78" Target="https://doi.org/10.1093/aje/kws412" TargetMode="External" /><Relationship Type="http://schemas.openxmlformats.org/officeDocument/2006/relationships/hyperlink" Id="rId63" Target="https://doi.org/10.1146/annurev-soc-071913-043455" TargetMode="External" /><Relationship Type="http://schemas.openxmlformats.org/officeDocument/2006/relationships/hyperlink" Id="rId67" Target="https://doi.org/10.1214/13-STS446" TargetMode="External" /><Relationship Type="http://schemas.openxmlformats.org/officeDocument/2006/relationships/hyperlink" Id="rId65" Target="https://doi.org/10.2139/ssrn.1010426" TargetMode="External" /><Relationship Type="http://schemas.openxmlformats.org/officeDocument/2006/relationships/hyperlink" Id="rId73"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2026-03-13T20:04:37Z</dcterms:created>
  <dcterms:modified xsi:type="dcterms:W3CDTF">2026-03-13T20:04:37Z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itation">
    <vt:lpwstr/>
  </property>
  <property fmtid="{D5CDD505-2E9C-101B-9397-08002B2CF9AE}" pid="7" name="csl">
    <vt:lpwstr>apa.csl</vt:lpwstr>
  </property>
  <property fmtid="{D5CDD505-2E9C-101B-9397-08002B2CF9AE}" pid="8" name="date">
    <vt:lpwstr>2026-03-13</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hare">
    <vt:lpwstr/>
  </property>
  <property fmtid="{D5CDD505-2E9C-101B-9397-08002B2CF9AE}" pid="15" name="subtitle">
    <vt:lpwstr>Why Use Quantitative Methods?</vt:lpwstr>
  </property>
  <property fmtid="{D5CDD505-2E9C-101B-9397-08002B2CF9AE}" pid="16" name="toc-title">
    <vt:lpwstr>Table of contents</vt:lpwstr>
  </property>
</Properties>
</file>