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4.png" ContentType="image/png"/>
  <Override PartName="/word/media/rId33.png" ContentType="image/png"/>
  <Override PartName="/word/media/rId24.png" ContentType="image/png"/>
  <Override PartName="/word/media/rId55.png" ContentType="image/png"/>
  <Override PartName="/word/media/rId81.png" ContentType="image/png"/>
  <Override PartName="/word/media/rId66.png" ContentType="image/png"/>
  <Override PartName="/word/media/rId8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2024-10-15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
          <w:iCs/>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
          <w:iCs/>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
          <w:iCs/>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
          <w:iCs/>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ayout w:type="fixed"/>
        <w:tblLook w:firstRow="0" w:lastRow="0" w:firstColumn="0" w:lastColumn="0" w:noHBand="0" w:noVBand="0" w:val="0000"/>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ayout w:type="fixed"/>
              <w:tblLook w:firstRow="1" w:lastRow="0" w:firstColumn="0" w:lastColumn="0" w:noHBand="0" w:noVBand="0" w:val="0020"/>
            </w:tblPr>
            <w:tblGrid>
              <w:gridCol w:w="1320"/>
              <w:gridCol w:w="1210"/>
              <w:gridCol w:w="4290"/>
            </w:tblGrid>
            <w:tr>
              <w:trPr>
                <w:tblHeader w:val="on"/>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Results Will Vary Somewhat</w:t>
            </w:r>
          </w:p>
        </w:tc>
      </w:tr>
      <w:tr>
        <w:trPr>
          <w:cantSplit/>
        </w:trPr>
        <w:tc>
          <w:tcPr>
            <w:tcMar>
              <w:top w:w="108" w:type="dxa"/>
              <w:bottom w:w="108" w:type="dxa"/>
            </w:tcMar>
          </w:tcPr>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Multi-Line Commands</w:t>
            </w:r>
          </w:p>
        </w:tc>
      </w:tr>
      <w:tr>
        <w:trPr>
          <w:cantSplit/>
        </w:trPr>
        <w:tc>
          <w:tcPr>
            <w:tcMar>
              <w:top w:w="108" w:type="dxa"/>
              <w:bottom w:w="108" w:type="dxa"/>
            </w:tcMar>
          </w:tcPr>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pStyle w:val="Compact"/>
              <w:numPr>
                <w:ilvl w:val="0"/>
                <w:numId w:val="1001"/>
              </w:numPr>
            </w:pPr>
            <w:r>
              <w:t xml:space="preserve">By default,</w:t>
            </w:r>
            <w:r>
              <w:t xml:space="preserve"> </w:t>
            </w:r>
            <w:r>
              <w:rPr>
                <w:i/>
                <w:iCs/>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pStyle w:val="Compact"/>
              <w:numPr>
                <w:ilvl w:val="0"/>
                <w:numId w:val="1001"/>
              </w:numPr>
            </w:pPr>
            <w:r>
              <w:rPr>
                <w:i/>
                <w:iCs/>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pStyle w:val="Compact"/>
              <w:numPr>
                <w:ilvl w:val="0"/>
                <w:numId w:val="1001"/>
              </w:numPr>
            </w:pPr>
            <w:r>
              <w:t xml:space="preserve">Like</w:t>
            </w:r>
            <w:r>
              <w:t xml:space="preserve"> </w:t>
            </w:r>
            <w:r>
              <w:rPr>
                <w:i/>
                <w:iCs/>
              </w:rPr>
              <w:t xml:space="preserve">Stata</w:t>
            </w:r>
            <w:r>
              <w:t xml:space="preserve">,</w:t>
            </w:r>
            <w:r>
              <w:t xml:space="preserve"> </w:t>
            </w:r>
            <w:r>
              <w:rPr>
                <w:i/>
                <w:iCs/>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Running Statistical Packages in Quarto</w:t>
            </w:r>
          </w:p>
        </w:tc>
      </w:tr>
      <w:tr>
        <w:trPr>
          <w:cantSplit/>
        </w:trPr>
        <w:tc>
          <w:tcPr>
            <w:tcMar>
              <w:top w:w="108" w:type="dxa"/>
              <w:bottom w:w="108" w:type="dxa"/>
            </w:tcMar>
          </w:tcPr>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Datasets</w:t>
            </w:r>
          </w:p>
        </w:tc>
      </w:tr>
      <w:tr>
        <w:trPr>
          <w:cantSplit/>
        </w:trPr>
        <w:tc>
          <w:tcPr>
            <w:tcMar>
              <w:top w:w="108" w:type="dxa"/>
              <w:bottom w:w="108" w:type="dxa"/>
            </w:tcMar>
          </w:tcPr>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ayout w:type="fixed"/>
        <w:tblLook w:firstRow="0" w:lastRow="0" w:firstColumn="0" w:lastColumn="0" w:noHBand="0" w:noVBand="0" w:val="0000"/>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pStyle w:val="Compact"/>
        <w:numPr>
          <w:ilvl w:val="0"/>
          <w:numId w:val="1002"/>
        </w:numPr>
      </w:pPr>
      <w:r>
        <w:rPr>
          <w:b/>
          <w:bCs/>
        </w:rPr>
        <w:t xml:space="preserve">documentable</w:t>
      </w:r>
      <w:r>
        <w:t xml:space="preserve">,</w:t>
      </w:r>
      <w:r>
        <w:t xml:space="preserve"> </w:t>
      </w:r>
      <w:r>
        <w:rPr>
          <w:b/>
          <w:bCs/>
        </w:rPr>
        <w:t xml:space="preserve">transparent</w:t>
      </w:r>
      <w:r>
        <w:t xml:space="preserve">, and</w:t>
      </w:r>
      <w:r>
        <w:t xml:space="preserve"> </w:t>
      </w:r>
      <w:r>
        <w:rPr>
          <w:b/>
          <w:bCs/>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
          <w:bCs/>
        </w:rPr>
        <w:t xml:space="preserve">and correct them</w:t>
      </w:r>
      <w:r>
        <w:t xml:space="preserve">.</w:t>
      </w:r>
    </w:p>
    <w:p>
      <w:pPr>
        <w:pStyle w:val="Compact"/>
        <w:numPr>
          <w:ilvl w:val="0"/>
          <w:numId w:val="1002"/>
        </w:numPr>
      </w:pPr>
      <w:r>
        <w:rPr>
          <w:b/>
          <w:bCs/>
        </w:rPr>
        <w:t xml:space="preserve">replicable</w:t>
      </w:r>
      <w:r>
        <w:t xml:space="preserve">: Others can replicate our findings with the same or new data.</w:t>
      </w:r>
    </w:p>
    <w:p>
      <w:pPr>
        <w:pStyle w:val="Compact"/>
        <w:numPr>
          <w:ilvl w:val="0"/>
          <w:numId w:val="1002"/>
        </w:numPr>
      </w:pPr>
      <w:r>
        <w:rPr>
          <w:b/>
          <w:bCs/>
        </w:rPr>
        <w:t xml:space="preserve">scalable</w:t>
      </w:r>
      <w:r>
        <w:t xml:space="preserve">: We are developing a process that can be as easily used with</w:t>
      </w:r>
      <w:r>
        <w:t xml:space="preserve"> </w:t>
      </w:r>
      <w:r>
        <w:rPr>
          <w:i/>
          <w:iCs/>
        </w:rPr>
        <w:t xml:space="preserve">thousands</w:t>
      </w:r>
      <w:r>
        <w:t xml:space="preserve"> </w:t>
      </w:r>
      <w:r>
        <w:t xml:space="preserve">or</w:t>
      </w:r>
      <w:r>
        <w:t xml:space="preserve"> </w:t>
      </w:r>
      <w:r>
        <w:rPr>
          <w:i/>
          <w:iCs/>
        </w:rPr>
        <w:t xml:space="preserve">millions</w:t>
      </w:r>
      <w:r>
        <w:t xml:space="preserve"> </w:t>
      </w:r>
      <w:r>
        <w:t xml:space="preserve">of rows of data as it can with</w:t>
      </w:r>
      <w:r>
        <w:t xml:space="preserve"> </w:t>
      </w:r>
      <w:r>
        <w:rPr>
          <w:i/>
          <w:iCs/>
        </w:rPr>
        <w:t xml:space="preserve">ten</w:t>
      </w:r>
      <w:r>
        <w:t xml:space="preserve"> </w:t>
      </w:r>
      <w:r>
        <w:t xml:space="preserve">rows of data. We are developing a process that can be easily repeated if we are</w:t>
      </w:r>
      <w:r>
        <w:t xml:space="preserve"> </w:t>
      </w:r>
      <w:r>
        <w:rPr>
          <w:i/>
          <w:iCs/>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Alternatively,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
          <w:iCs/>
        </w:rPr>
        <w:t xml:space="preserve">very important</w:t>
      </w:r>
      <w:r>
        <w:t xml:space="preserve"> </w:t>
      </w:r>
      <w:r>
        <w:t xml:space="preserve">to be aware that good complex workflows are</w:t>
      </w:r>
      <w:r>
        <w:t xml:space="preserve"> </w:t>
      </w:r>
      <w:r>
        <w:rPr>
          <w:i/>
          <w:iCs/>
        </w:rPr>
        <w:t xml:space="preserve">highly iterative</w:t>
      </w:r>
      <w:r>
        <w:t xml:space="preserve"> </w:t>
      </w:r>
      <w:r>
        <w:t xml:space="preserve">and</w:t>
      </w:r>
      <w:r>
        <w:t xml:space="preserve"> </w:t>
      </w:r>
      <w:r>
        <w:rPr>
          <w:i/>
          <w:iCs/>
        </w:rPr>
        <w:t xml:space="preserve">highly collaborative</w:t>
      </w:r>
      <w:r>
        <w:t xml:space="preserve">. Good complex workflows require a</w:t>
      </w:r>
      <w:r>
        <w:t xml:space="preserve"> </w:t>
      </w:r>
      <w:r>
        <w:rPr>
          <w:i/>
          <w:iCs/>
        </w:rPr>
        <w:t xml:space="preserve">safe workspace</w:t>
      </w:r>
      <w:r>
        <w:t xml:space="preserve"> </w:t>
      </w:r>
      <w:r>
        <w:t xml:space="preserve">in which team members feel free to admit their own errors, and help with others’ mistakes in a non-judgmental fashion. Such a</w:t>
      </w:r>
      <w:r>
        <w:t xml:space="preserve"> </w:t>
      </w:r>
      <w:r>
        <w:rPr>
          <w:i/>
          <w:iCs/>
        </w:rPr>
        <w:t xml:space="preserve">safe environment</w:t>
      </w:r>
      <w:r>
        <w:t xml:space="preserve"> </w:t>
      </w:r>
      <w:r>
        <w:t xml:space="preserve">is necessary to build an environment where the</w:t>
      </w:r>
      <w:r>
        <w:t xml:space="preserve"> </w:t>
      </w:r>
      <w:r>
        <w:rPr>
          <w:i/>
          <w:iCs/>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
          <w:bCs/>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
          <w:iCs/>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
          <w:iCs/>
        </w:rPr>
        <w:t xml:space="preserve">multiple principled ways forward</w:t>
      </w:r>
      <w:r>
        <w:t xml:space="preserve">.</w:t>
      </w:r>
    </w:p>
    <w:p>
      <w:pPr>
        <w:pStyle w:val="BodyText"/>
      </w:pPr>
      <w:r>
        <w:t xml:space="preserve">Often the key is not so much to make the 100% correct decision, but to make one of</w:t>
      </w:r>
      <w:r>
        <w:t xml:space="preserve"> </w:t>
      </w:r>
      <w:r>
        <w:rPr>
          <w:i/>
          <w:iCs/>
        </w:rPr>
        <w:t xml:space="preserve">several possible principled decisions</w:t>
      </w:r>
      <w:r>
        <w:t xml:space="preserve">.</w:t>
      </w:r>
    </w:p>
    <w:p>
      <w:pPr>
        <w:pStyle w:val="BodyText"/>
      </w:pPr>
      <w:r>
        <w:t xml:space="preserve">Then after making a</w:t>
      </w:r>
      <w:r>
        <w:t xml:space="preserve"> </w:t>
      </w:r>
      <w:r>
        <w:rPr>
          <w:i/>
          <w:iCs/>
        </w:rPr>
        <w:t xml:space="preserve">principled decision</w:t>
      </w:r>
      <w:r>
        <w:t xml:space="preserve">, one is</w:t>
      </w:r>
      <w:r>
        <w:t xml:space="preserve"> </w:t>
      </w:r>
      <w:r>
        <w:rPr>
          <w:i/>
          <w:iCs/>
        </w:rPr>
        <w:t xml:space="preserve">transparent</w:t>
      </w:r>
      <w:r>
        <w:t xml:space="preserve"> </w:t>
      </w:r>
      <w:r>
        <w:t xml:space="preserve">and</w:t>
      </w:r>
      <w:r>
        <w:t xml:space="preserve"> </w:t>
      </w:r>
      <w:r>
        <w:rPr>
          <w:i/>
          <w:iCs/>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93" w:name="storing-statistical-data"/>
    <w:p>
      <w:pPr>
        <w:pStyle w:val="Heading1"/>
      </w:pPr>
      <w:r>
        <w:t xml:space="preserve">3. Storing Statistical Data</w:t>
      </w:r>
    </w:p>
    <w:bookmarkStart w:id="5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an ultimate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
          <w:iCs/>
        </w:rPr>
        <w:t xml:space="preserve">variable label</w:t>
      </w:r>
      <w:r>
        <w:t xml:space="preserve">, describing the contents of the variable, or the survey question that resulted in the variable; and a</w:t>
      </w:r>
      <w:r>
        <w:t xml:space="preserve"> </w:t>
      </w:r>
      <w:r>
        <w:rPr>
          <w:i/>
          <w:iCs/>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Data Are Stored In A Spreadsheet, Variable Names Should Be Limited To a Single Row of the Spreadsheet</w:t>
            </w:r>
          </w:p>
        </w:tc>
      </w:tr>
      <w:tr>
        <w:trPr>
          <w:cantSplit/>
        </w:trPr>
        <w:tc>
          <w:tcPr>
            <w:tcMar>
              <w:top w:w="108" w:type="dxa"/>
              <w:bottom w:w="108" w:type="dxa"/>
            </w:tcMar>
          </w:tcPr>
          <w:p>
            <w:pPr>
              <w:pStyle w:val="BodyText"/>
            </w:pPr>
            <w:pPr>
              <w:spacing w:before="16"/>
            </w:pPr>
            <w:r>
              <w:t xml:space="preserve">If spreadsheets are used to store data, the first row of the data should be used to list the variable names, as is seen in the example below. Rows other than the first row should not contain additional information about the variables, but should only contain data.</w:t>
            </w:r>
          </w:p>
          <w:tbl>
            <w:tblPr>
              <w:tblStyle w:val="Table"/>
              <w:tblW w:type="pct" w:w="5000"/>
              <w:tblLayout w:type="fixed"/>
              <w:tblLook w:firstRow="0" w:lastRow="0" w:firstColumn="0" w:lastColumn="0" w:noHBand="0" w:noVBand="0" w:val="0000"/>
            </w:tblPr>
            <w:tblGrid>
              <w:gridCol w:w="7920"/>
            </w:tblGrid>
            <w:tr>
              <w:tc>
                <w:tcPr/>
                <w:bookmarkStart w:id="58" w:name="tbl-spreadsheet"/>
                <w:p>
                  <w:pPr>
                    <w:jc w:val="center"/>
                  </w:pPr>
                  <w:pPr>
                    <w:jc w:val="start"/>
                    <w:spacing w:before="200"/>
                    <w:pStyle w:val="ImageCaption"/>
                  </w:pPr>
                  <w:r>
                    <w:t xml:space="preserve">Table 3.1: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58"/>
                <w:p/>
              </w:tc>
            </w:tr>
          </w:tbl>
        </w:tc>
      </w:tr>
    </w:tbl>
    <w:bookmarkEnd w:id="59"/>
    <w:bookmarkStart w:id="73" w:name="data-in-statistical-format"/>
    <w:p>
      <w:pPr>
        <w:pStyle w:val="Heading2"/>
      </w:pPr>
      <w:r>
        <w:t xml:space="preserve">3.2 Data in Statistical Format</w:t>
      </w:r>
    </w:p>
    <w:p>
      <w:pPr>
        <w:pStyle w:val="FirstParagraph"/>
      </w:pPr>
      <w:r>
        <w:t xml:space="preserve">I load the data from a statistical program.</w:t>
      </w:r>
    </w:p>
    <w:bookmarkStart w:id="61" w:name="describe-the-data"/>
    <w:p>
      <w:pPr>
        <w:pStyle w:val="Heading3"/>
      </w:pPr>
      <w:r>
        <w:t xml:space="preserve">3.2.1 Describe The Data</w:t>
      </w:r>
    </w:p>
    <w:p>
      <w:pPr>
        <w:pStyle w:val="FirstParagraph"/>
      </w:pPr>
      <w:r>
        <w:t xml:space="preserve">Notice how a description of the data contains information that helps us to understand the variables.</w:t>
      </w:r>
    </w:p>
    <w:tbl>
      <w:tblPr>
        <w:tblStyle w:val="Table"/>
        <w:tblW w:type="pct" w:w="5000"/>
        <w:tblLayout w:type="fixed"/>
        <w:tblLook w:firstRow="0" w:lastRow="0" w:firstColumn="0" w:lastColumn="0" w:noHBand="0" w:noVBand="0" w:val="0000"/>
      </w:tblPr>
      <w:tblGrid>
        <w:gridCol w:w="7920"/>
      </w:tblGrid>
      <w:tr>
        <w:tc>
          <w:tcPr/>
          <w:bookmarkStart w:id="60" w:name="tbl-varlabels"/>
          <w:p>
            <w:pPr>
              <w:jc w:val="center"/>
            </w:pPr>
            <w:pPr>
              <w:jc w:val="start"/>
              <w:spacing w:before="200"/>
              <w:pStyle w:val="ImageCaption"/>
            </w:pPr>
            <w:r>
              <w:t xml:space="preserve">Table 3.2: Variable Labels</w:t>
            </w:r>
          </w:p>
          <w:tbl>
            <w:tblPr>
              <w:tblStyle w:val="Table"/>
              <w:tblW w:type="pct" w:w="4097"/>
              <w:tblLayout w:type="fixed"/>
              <w:tblLook w:firstRow="1" w:lastRow="0" w:firstColumn="0" w:lastColumn="0" w:noHBand="0" w:noVBand="0" w:val="0020"/>
            </w:tblPr>
            <w:tblGrid>
              <w:gridCol w:w="660"/>
              <w:gridCol w:w="2420"/>
              <w:gridCol w:w="341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country id</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Human Development Index</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family id</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unique country family id</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hypothetical identity group</w:t>
                  </w:r>
                  <w:r>
                    <w:t xml:space="preserve"> </w:t>
                  </w:r>
                  <w:r>
                    <w:t xml:space="preserve">variable</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recieved intervention</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physical punishment in past</w:t>
                  </w:r>
                  <w:r>
                    <w:t xml:space="preserve"> </w:t>
                  </w:r>
                  <w:r>
                    <w:t xml:space="preserve">week</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parental warmth in past week</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beneficial outcome</w:t>
                  </w:r>
                </w:p>
              </w:tc>
            </w:tr>
          </w:tbl>
          <w:bookmarkEnd w:id="60"/>
          <w:p/>
        </w:tc>
      </w:tr>
    </w:tbl>
    <w:bookmarkEnd w:id="61"/>
    <w:bookmarkStart w:id="65" w:name="descriptive-statistics"/>
    <w:p>
      <w:pPr>
        <w:pStyle w:val="Heading3"/>
      </w:pPr>
      <w:r>
        <w:t xml:space="preserve">3.2.2 Descriptive Statistics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Labels and Value Labels Help Us Understand Our Data</w:t>
            </w:r>
          </w:p>
        </w:tc>
      </w:tr>
      <w:tr>
        <w:trPr>
          <w:cantSplit/>
        </w:trPr>
        <w:tc>
          <w:tcPr>
            <w:tcMar>
              <w:top w:w="108" w:type="dxa"/>
              <w:bottom w:w="108" w:type="dxa"/>
            </w:tcMar>
          </w:tcPr>
          <w:p>
            <w:pPr>
              <w:pStyle w:val="BodyText"/>
            </w:pPr>
            <w:pPr>
              <w:spacing w:before="16" w:after="16"/>
            </w:pPr>
            <w:r>
              <w:t xml:space="preserve">Notice how the descriptive statistics and graph are informative in that they contain information on the</w:t>
            </w:r>
            <w:r>
              <w:t xml:space="preserve"> </w:t>
            </w:r>
            <w:r>
              <w:rPr>
                <w:i/>
                <w:iCs/>
              </w:rPr>
              <w:t xml:space="preserve">variable label</w:t>
            </w:r>
            <w:r>
              <w:t xml:space="preserve"> </w:t>
            </w:r>
            <w:r>
              <w:t xml:space="preserve">and</w:t>
            </w:r>
            <w:r>
              <w:t xml:space="preserve"> </w:t>
            </w:r>
            <w:r>
              <w:rPr>
                <w:i/>
                <w:iCs/>
              </w:rPr>
              <w:t xml:space="preserve">value label</w:t>
            </w:r>
            <w:r>
              <w:t xml:space="preserve">. These help us to get an intuitive sense of the information in the data. We see this information when we list out the data as well.</w:t>
            </w:r>
          </w:p>
        </w:tc>
      </w:tr>
    </w:tbl>
    <w:tbl>
      <w:tblPr>
        <w:tblStyle w:val="Table"/>
        <w:tblW w:type="pct" w:w="5000"/>
        <w:tblLayout w:type="fixed"/>
        <w:tblLook w:firstRow="0" w:lastRow="0" w:firstColumn="0" w:lastColumn="0" w:noHBand="0" w:noVBand="0" w:val="0000"/>
      </w:tblPr>
      <w:tblGrid>
        <w:gridCol w:w="7920"/>
      </w:tblGrid>
      <w:tr>
        <w:tc>
          <w:tcPr/>
          <w:bookmarkStart w:id="64" w:name="tbl-descriptives"/>
          <w:p>
            <w:pPr>
              <w:jc w:val="center"/>
            </w:pPr>
            <w:pPr>
              <w:jc w:val="start"/>
              <w:spacing w:before="200"/>
              <w:pStyle w:val="ImageCaption"/>
            </w:pPr>
            <w:r>
              <w:t xml:space="preserve">Table 3.3: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1 : 100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2 : 100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3 : 100</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4 : 100</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5 : 100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6 : 100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r>
              <w:tc>
                <w:tcPr/>
                <w:p>
                  <w:pPr>
                    <w:pStyle w:val="Compact"/>
                    <w:jc w:val="center"/>
                    <w:jc w:val="center"/>
                  </w:pPr>
                  <w:r>
                    <w:t xml:space="preserve">(Other):2400</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04"/>
              <w:gridCol w:w="2305"/>
              <w:gridCol w:w="2205"/>
              <w:gridCol w:w="1604"/>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Identity B:1507</w:t>
                  </w:r>
                </w:p>
              </w:tc>
              <w:tc>
                <w:tcPr/>
                <w:p>
                  <w:pPr>
                    <w:pStyle w:val="Compact"/>
                    <w:jc w:val="center"/>
                    <w:jc w:val="center"/>
                  </w:pPr>
                  <w:r>
                    <w:t xml:space="preserve">no intervention:1547</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Identity A:1493</w:t>
                  </w:r>
                </w:p>
              </w:tc>
              <w:tc>
                <w:tcPr/>
                <w:p>
                  <w:pPr>
                    <w:pStyle w:val="Compact"/>
                    <w:jc w:val="center"/>
                    <w:jc w:val="center"/>
                  </w:pPr>
                  <w:r>
                    <w:t xml:space="preserve">intervention :1453</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Max. :5.000</w:t>
                  </w:r>
                </w:p>
              </w:tc>
              <w:tc>
                <w:tcPr/>
                <w:p>
                  <w:pPr>
                    <w:pStyle w:val="Compact"/>
                    <w:jc w:val="center"/>
                    <w:jc w:val="center"/>
                  </w:pPr>
                  <w:r>
                    <w:t xml:space="preserve">Max. :7.000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r>
              <w:tc>
                <w:tcPr/>
                <w:p>
                  <w:pPr>
                    <w:pStyle w:val="Compact"/>
                    <w:jc w:val="center"/>
                    <w:jc w:val="center"/>
                  </w:pPr>
                  <w:r>
                    <w:t xml:space="preserve">NA</w:t>
                  </w:r>
                </w:p>
              </w:tc>
            </w:tr>
          </w:tbl>
          <w:bookmarkEnd w:id="64"/>
          <w:p/>
        </w:tc>
      </w:tr>
    </w:tbl>
    <w:bookmarkEnd w:id="65"/>
    <w:bookmarkStart w:id="70" w:name="graph"/>
    <w:p>
      <w:pPr>
        <w:pStyle w:val="Heading3"/>
      </w:pPr>
      <w:r>
        <w:t xml:space="preserve">3.2.3 Graph</w:t>
      </w:r>
    </w:p>
    <w:tbl>
      <w:tblPr>
        <w:tblStyle w:val="Table"/>
        <w:tblW w:type="pct" w:w="5000"/>
        <w:tblLayout w:type="fixed"/>
        <w:tblLook w:firstRow="0" w:lastRow="0" w:firstColumn="0" w:lastColumn="0" w:noHBand="0" w:noVBand="0" w:val="0000"/>
      </w:tblPr>
      <w:tblGrid>
        <w:gridCol w:w="7920"/>
      </w:tblGrid>
      <w:tr>
        <w:tc>
          <w:tcPr/>
          <w:bookmarkStart w:id="69" w:name="fig-graph-statistical"/>
          <w:p>
            <w:pPr>
              <w:pStyle w:val="Compact"/>
              <w:jc w:val="center"/>
            </w:pPr>
            <w:r>
              <w:drawing>
                <wp:inline>
                  <wp:extent cx="5943600" cy="4754880"/>
                  <wp:effectExtent b="0" l="0" r="0" t="0"/>
                  <wp:docPr descr="" title="" id="67" name="Picture"/>
                  <a:graphic>
                    <a:graphicData uri="http://schemas.openxmlformats.org/drawingml/2006/picture">
                      <pic:pic>
                        <pic:nvPicPr>
                          <pic:cNvPr descr="storage-multilingual_files/figure-docx/fig-graph-statistical-1.png" id="68"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9"/>
        </w:tc>
      </w:tr>
    </w:tbl>
    <w:bookmarkEnd w:id="70"/>
    <w:bookmarkStart w:id="72" w:name="list-out-a-sample-of-the-data"/>
    <w:p>
      <w:pPr>
        <w:pStyle w:val="Heading3"/>
      </w:pPr>
      <w:r>
        <w:t xml:space="preserve">3.2.4 List Out A Sample Of The Data</w:t>
      </w:r>
    </w:p>
    <w:tbl>
      <w:tblPr>
        <w:tblStyle w:val="Table"/>
        <w:tblW w:type="pct" w:w="5000"/>
        <w:tblLayout w:type="fixed"/>
        <w:tblLook w:firstRow="0" w:lastRow="0" w:firstColumn="0" w:lastColumn="0" w:noHBand="0" w:noVBand="0" w:val="0000"/>
      </w:tblPr>
      <w:tblGrid>
        <w:gridCol w:w="7920"/>
      </w:tblGrid>
      <w:tr>
        <w:tc>
          <w:tcPr/>
          <w:bookmarkStart w:id="71" w:name="tbl-head"/>
          <w:p>
            <w:pPr>
              <w:jc w:val="center"/>
            </w:pPr>
            <w:pPr>
              <w:jc w:val="start"/>
              <w:spacing w:before="200"/>
              <w:pStyle w:val="ImageCaption"/>
            </w:pPr>
            <w:r>
              <w:t xml:space="preserve">Table 3.4: Sample of Data</w:t>
            </w:r>
          </w:p>
          <w:p>
            <w:pPr>
              <w:pStyle w:val="Compact"/>
              <w:jc w:val="center"/>
            </w:pPr>
            <w:r>
              <w:t xml:space="preserve">Table continues below</w:t>
            </w:r>
          </w:p>
          <w:tbl>
            <w:tblPr>
              <w:tblStyle w:val="Table"/>
              <w:tblW w:type="pct" w:w="4306"/>
              <w:tblLayout w:type="fixed"/>
              <w:tblLook w:firstRow="1" w:lastRow="0" w:firstColumn="0" w:lastColumn="0" w:noHBand="0" w:noVBand="0" w:val="0020"/>
              <w:tblCaption w:val="Table continues below"/>
            </w:tblPr>
            <w:tblGrid>
              <w:gridCol w:w="1100"/>
              <w:gridCol w:w="660"/>
              <w:gridCol w:w="990"/>
              <w:gridCol w:w="660"/>
              <w:gridCol w:w="1430"/>
              <w:gridCol w:w="198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Identity A</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Identity B</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Identity B</w:t>
                  </w:r>
                </w:p>
              </w:tc>
              <w:tc>
                <w:tcPr/>
                <w:p>
                  <w:pPr>
                    <w:pStyle w:val="Compact"/>
                    <w:jc w:val="center"/>
                    <w:jc w:val="center"/>
                  </w:pPr>
                  <w:r>
                    <w:t xml:space="preserve">intervention</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0</w:t>
                  </w:r>
                </w:p>
              </w:tc>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49.81</w:t>
                  </w:r>
                </w:p>
              </w:tc>
            </w:tr>
          </w:tbl>
          <w:bookmarkEnd w:id="71"/>
          <w:p/>
        </w:tc>
      </w:tr>
    </w:tbl>
    <w:bookmarkEnd w:id="72"/>
    <w:bookmarkEnd w:id="73"/>
    <w:bookmarkStart w:id="86" w:name="data-in-spreadsheet-format"/>
    <w:p>
      <w:pPr>
        <w:pStyle w:val="Heading2"/>
      </w:pPr>
      <w:r>
        <w:t xml:space="preserve">3.3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8" w:name="describe-the-data-1"/>
    <w:p>
      <w:pPr>
        <w:pStyle w:val="Heading3"/>
      </w:pPr>
      <w:r>
        <w:t xml:space="preserve">3.3.1 Describe The Data</w:t>
      </w:r>
    </w:p>
    <w:p>
      <w:pPr>
        <w:pStyle w:val="FirstParagraph"/>
      </w:pPr>
      <w:r>
        <w:t xml:space="preserve">Notice how a description of the data no longer contains much of the information that helped us to understand the variables.</w:t>
      </w:r>
    </w:p>
    <w:tbl>
      <w:tblPr>
        <w:tblStyle w:val="Table"/>
        <w:tblW w:type="pct" w:w="5000"/>
        <w:tblLayout w:type="fixed"/>
        <w:tblLook w:firstRow="0" w:lastRow="0" w:firstColumn="0" w:lastColumn="0" w:noHBand="0" w:noVBand="0" w:val="0000"/>
      </w:tblPr>
      <w:tblGrid>
        <w:gridCol w:w="7920"/>
      </w:tblGrid>
      <w:tr>
        <w:tc>
          <w:tcPr/>
          <w:bookmarkStart w:id="74" w:name="tbl-varlabels2"/>
          <w:p>
            <w:pPr>
              <w:jc w:val="center"/>
            </w:pPr>
            <w:pPr>
              <w:jc w:val="start"/>
              <w:spacing w:before="200"/>
              <w:pStyle w:val="ImageCaption"/>
            </w:pPr>
            <w:r>
              <w:t xml:space="preserve">Table 3.5: Example Data As Stored in A Spreadsheet</w:t>
            </w:r>
          </w:p>
          <w:tbl>
            <w:tblPr>
              <w:tblStyle w:val="Table"/>
              <w:tblW w:type="pct" w:w="2500"/>
              <w:tblLayout w:type="fixed"/>
              <w:tblLook w:firstRow="1" w:lastRow="0" w:firstColumn="0" w:lastColumn="0" w:noHBand="0" w:noVBand="0" w:val="0020"/>
            </w:tblPr>
            <w:tblGrid>
              <w:gridCol w:w="660"/>
              <w:gridCol w:w="2420"/>
              <w:gridCol w:w="88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NA</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NA</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NA</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NA</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NA</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NA</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NA</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NA</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NA</w:t>
                  </w:r>
                </w:p>
              </w:tc>
            </w:tr>
          </w:tbl>
          <w:bookmarkEnd w:id="7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tbl-spreadsheet2"/>
          <w:p>
            <w:pPr>
              <w:jc w:val="center"/>
            </w:pPr>
            <w:pPr>
              <w:jc w:val="start"/>
              <w:spacing w:before="200"/>
              <w:pStyle w:val="ImageCaption"/>
            </w:pPr>
            <w:r>
              <w:t xml:space="preserve">Table 3.6: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75"/>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warning.png" id="7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Adding this valuable information back into the data set may take a great deal of extra effort.</w:t>
            </w:r>
          </w:p>
        </w:tc>
      </w:tr>
    </w:tbl>
    <w:bookmarkEnd w:id="78"/>
    <w:bookmarkStart w:id="80" w:name="descriptive-statistics-1"/>
    <w:p>
      <w:pPr>
        <w:pStyle w:val="Heading3"/>
      </w:pPr>
      <w:r>
        <w:t xml:space="preserve">3.3.2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tbl>
      <w:tblPr>
        <w:tblStyle w:val="Table"/>
        <w:tblW w:type="pct" w:w="5000"/>
        <w:tblLayout w:type="fixed"/>
        <w:tblLook w:firstRow="0" w:lastRow="0" w:firstColumn="0" w:lastColumn="0" w:noHBand="0" w:noVBand="0" w:val="0000"/>
      </w:tblPr>
      <w:tblGrid>
        <w:gridCol w:w="7920"/>
      </w:tblGrid>
      <w:tr>
        <w:tc>
          <w:tcPr/>
          <w:bookmarkStart w:id="79" w:name="tbl-descriptives2"/>
          <w:p>
            <w:pPr>
              <w:jc w:val="center"/>
            </w:pPr>
            <w:pPr>
              <w:jc w:val="start"/>
              <w:spacing w:before="200"/>
              <w:pStyle w:val="ImageCaption"/>
            </w:pPr>
            <w:r>
              <w:t xml:space="preserve">Table 3.7: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Min. : 1.0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1st Qu.: 8.0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Median :15.5</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Mean :15.5</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3rd Qu.:23.0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Max. :30.0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70"/>
              <w:gridCol w:w="1870"/>
              <w:gridCol w:w="2420"/>
              <w:gridCol w:w="1760"/>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Min. :0.0000</w:t>
                  </w:r>
                </w:p>
              </w:tc>
              <w:tc>
                <w:tcPr/>
                <w:p>
                  <w:pPr>
                    <w:pStyle w:val="Compact"/>
                    <w:jc w:val="center"/>
                    <w:jc w:val="center"/>
                  </w:pPr>
                  <w:r>
                    <w:t xml:space="preserve">Min. :0.0000</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1st Qu.:0.0000</w:t>
                  </w:r>
                </w:p>
              </w:tc>
              <w:tc>
                <w:tcPr/>
                <w:p>
                  <w:pPr>
                    <w:pStyle w:val="Compact"/>
                    <w:jc w:val="center"/>
                    <w:jc w:val="center"/>
                  </w:pPr>
                  <w:r>
                    <w:t xml:space="preserve">1st Qu.:0.0000</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Median :0.0000</w:t>
                  </w:r>
                </w:p>
              </w:tc>
              <w:tc>
                <w:tcPr/>
                <w:p>
                  <w:pPr>
                    <w:pStyle w:val="Compact"/>
                    <w:jc w:val="center"/>
                    <w:jc w:val="center"/>
                  </w:pPr>
                  <w:r>
                    <w:t xml:space="preserve">Median :0.0000</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Mean :0.4977</w:t>
                  </w:r>
                </w:p>
              </w:tc>
              <w:tc>
                <w:tcPr/>
                <w:p>
                  <w:pPr>
                    <w:pStyle w:val="Compact"/>
                    <w:jc w:val="center"/>
                    <w:jc w:val="center"/>
                  </w:pPr>
                  <w:r>
                    <w:t xml:space="preserve">Mean :0.4843</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3rd Qu.:1.0000</w:t>
                  </w:r>
                </w:p>
              </w:tc>
              <w:tc>
                <w:tcPr/>
                <w:p>
                  <w:pPr>
                    <w:pStyle w:val="Compact"/>
                    <w:jc w:val="center"/>
                    <w:jc w:val="center"/>
                  </w:pPr>
                  <w:r>
                    <w:t xml:space="preserve">3rd Qu.:1.0000</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Max. :1.0000</w:t>
                  </w:r>
                </w:p>
              </w:tc>
              <w:tc>
                <w:tcPr/>
                <w:p>
                  <w:pPr>
                    <w:pStyle w:val="Compact"/>
                    <w:jc w:val="center"/>
                    <w:jc w:val="center"/>
                  </w:pPr>
                  <w:r>
                    <w:t xml:space="preserve">Max. :1.0000</w:t>
                  </w:r>
                </w:p>
              </w:tc>
              <w:tc>
                <w:tcPr/>
                <w:p>
                  <w:pPr>
                    <w:pStyle w:val="Compact"/>
                    <w:jc w:val="center"/>
                    <w:jc w:val="center"/>
                  </w:pPr>
                  <w:r>
                    <w:t xml:space="preserve">Max. :5.000</w:t>
                  </w:r>
                </w:p>
              </w:tc>
              <w:tc>
                <w:tcPr/>
                <w:p>
                  <w:pPr>
                    <w:pStyle w:val="Compact"/>
                    <w:jc w:val="center"/>
                    <w:jc w:val="center"/>
                  </w:pPr>
                  <w:r>
                    <w:t xml:space="preserve">Max. :7.000</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bl>
          <w:bookmarkEnd w:id="79"/>
          <w:p/>
        </w:tc>
      </w:tr>
    </w:tbl>
    <w:bookmarkEnd w:id="80"/>
    <w:bookmarkStart w:id="85" w:name="graph-1"/>
    <w:p>
      <w:pPr>
        <w:pStyle w:val="Heading3"/>
      </w:pPr>
      <w:r>
        <w:t xml:space="preserve">3.3.3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ayout w:type="fixed"/>
        <w:tblLook w:firstRow="0" w:lastRow="0" w:firstColumn="0" w:lastColumn="0" w:noHBand="0" w:noVBand="0" w:val="0000"/>
      </w:tblPr>
      <w:tblGrid>
        <w:gridCol w:w="7920"/>
      </w:tblGrid>
      <w:tr>
        <w:tc>
          <w:tcPr/>
          <w:bookmarkStart w:id="84" w:name="fig-graph-spreadsheet"/>
          <w:p>
            <w:pPr>
              <w:pStyle w:val="Compact"/>
              <w:jc w:val="center"/>
            </w:pPr>
            <w:r>
              <w:drawing>
                <wp:inline>
                  <wp:extent cx="5943600" cy="4754880"/>
                  <wp:effectExtent b="0" l="0" r="0" t="0"/>
                  <wp:docPr descr="" title="" id="82" name="Picture"/>
                  <a:graphic>
                    <a:graphicData uri="http://schemas.openxmlformats.org/drawingml/2006/picture">
                      <pic:pic>
                        <pic:nvPicPr>
                          <pic:cNvPr descr="storage-multilingual_files/figure-docx/fig-graph-spreadsheet-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84"/>
        </w:tc>
      </w:tr>
    </w:tbl>
    <w:bookmarkEnd w:id="85"/>
    <w:bookmarkEnd w:id="86"/>
    <w:bookmarkStart w:id="88" w:name="a-few-final-issues"/>
    <w:p>
      <w:pPr>
        <w:pStyle w:val="Heading2"/>
      </w:pPr>
      <w:r>
        <w:t xml:space="preserve">3.4 A Few Final Issues</w:t>
      </w:r>
    </w:p>
    <w:p>
      <w:pPr>
        <w:pStyle w:val="FirstParagraph"/>
      </w:pPr>
      <w:r>
        <w:t xml:space="preserve">Notice, finally, how spreadsheets don’t enforce the idea of whether variables are</w:t>
      </w:r>
      <w:r>
        <w:t xml:space="preserve"> </w:t>
      </w:r>
      <w:r>
        <w:rPr>
          <w:i/>
          <w:iCs/>
        </w:rPr>
        <w:t xml:space="preserve">numeric</w:t>
      </w:r>
      <w:r>
        <w:t xml:space="preserve">, or</w:t>
      </w:r>
      <w:r>
        <w:t xml:space="preserve"> </w:t>
      </w:r>
      <w:r>
        <w:rPr>
          <w:i/>
          <w:iCs/>
        </w:rPr>
        <w:t xml:space="preserve">text</w:t>
      </w:r>
      <w:r>
        <w:t xml:space="preserve">, and so would allow storage of different types of information in the same column. Relatedly,</w:t>
      </w:r>
      <w:r>
        <w:t xml:space="preserve"> </w:t>
      </w:r>
      <w:r>
        <w:rPr>
          <w:i/>
          <w:iCs/>
        </w:rPr>
        <w:t xml:space="preserve">numeric</w:t>
      </w:r>
      <w:r>
        <w:t xml:space="preserve"> </w:t>
      </w:r>
      <w:r>
        <w:t xml:space="preserve">variables may be improperly stored as</w:t>
      </w:r>
      <w:r>
        <w:t xml:space="preserve"> </w:t>
      </w:r>
      <w:r>
        <w:rPr>
          <w:i/>
          <w:iCs/>
        </w:rPr>
        <w:t xml:space="preserve">text</w:t>
      </w:r>
      <w:r>
        <w:t xml:space="preserve">, often necessitating recoding before graphical or statistical procedures can be employed.</w:t>
      </w:r>
    </w:p>
    <w:p>
      <w:pPr>
        <w:pStyle w:val="BodyText"/>
      </w:pPr>
      <w:r>
        <w:t xml:space="preserve">Second, a spreadsheet would allow some of your columns to have the same name, which might make data difficult to work with in other software.</w:t>
      </w:r>
    </w:p>
    <w:p>
      <w:pPr>
        <w:pStyle w:val="BodyText"/>
      </w:pPr>
      <w:r>
        <w:t xml:space="preserve">Lastly, spreadsheets do not enforce the idea that the data have a</w:t>
      </w:r>
      <w:r>
        <w:t xml:space="preserve"> </w:t>
      </w:r>
      <w:r>
        <w:rPr>
          <w:i/>
          <w:iCs/>
        </w:rPr>
        <w:t xml:space="preserve">structure</w:t>
      </w:r>
      <w:r>
        <w:t xml:space="preserve"> </w:t>
      </w:r>
      <w:r>
        <w:t xml:space="preserve">wherein the</w:t>
      </w:r>
      <w:r>
        <w:t xml:space="preserve"> </w:t>
      </w:r>
      <w:r>
        <w:rPr>
          <w:i/>
          <w:iCs/>
        </w:rPr>
        <w:t xml:space="preserve">column header</w:t>
      </w:r>
      <w:r>
        <w:t xml:space="preserve"> </w:t>
      </w:r>
      <w:r>
        <w:t xml:space="preserve">is a</w:t>
      </w:r>
      <w:r>
        <w:t xml:space="preserve"> </w:t>
      </w:r>
      <w:r>
        <w:rPr>
          <w:i/>
          <w:iCs/>
        </w:rPr>
        <w:t xml:space="preserve">variable name</w:t>
      </w:r>
      <w:r>
        <w:t xml:space="preserve">, while the</w:t>
      </w:r>
      <w:r>
        <w:t xml:space="preserve"> </w:t>
      </w:r>
      <w:r>
        <w:rPr>
          <w:i/>
          <w:iCs/>
        </w:rPr>
        <w:t xml:space="preserve">other rows</w:t>
      </w:r>
      <w:r>
        <w:t xml:space="preserve"> </w:t>
      </w:r>
      <w:r>
        <w:t xml:space="preserve">are</w:t>
      </w:r>
      <w:r>
        <w:t xml:space="preserve"> </w:t>
      </w:r>
      <w:r>
        <w:rPr>
          <w:i/>
          <w:iCs/>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87" w:name="tbl-problematic"/>
          <w:p>
            <w:pPr>
              <w:jc w:val="center"/>
            </w:pPr>
            <w:pPr>
              <w:jc w:val="start"/>
              <w:spacing w:before="200"/>
              <w:pStyle w:val="ImageCaption"/>
            </w:pPr>
            <w:r>
              <w:t xml:space="preserve">Table 3.8: A Spreadsheet Table With Problematic Organization</w:t>
            </w:r>
          </w:p>
          <w:tbl>
            <w:tblPr>
              <w:tblStyle w:val="Table"/>
              <w:tblW w:type="pct" w:w="4792"/>
              <w:tblLayout w:type="fixed"/>
              <w:tblLook w:firstRow="1" w:lastRow="0" w:firstColumn="0" w:lastColumn="0" w:noHBand="0" w:noVBand="0" w:val="0020"/>
            </w:tblPr>
            <w:tblGrid>
              <w:gridCol w:w="1320"/>
              <w:gridCol w:w="880"/>
              <w:gridCol w:w="2530"/>
              <w:gridCol w:w="2860"/>
            </w:tblGrid>
            <w:tr>
              <w:trPr>
                <w:tblHeader w:val="on"/>
              </w:trPr>
              <w:tc>
                <w:tcPr/>
                <w:p>
                  <w:pPr>
                    <w:pStyle w:val="Compact"/>
                    <w:jc w:val="left"/>
                    <w:jc w:val="center"/>
                  </w:pPr>
                  <w:r>
                    <w:t xml:space="preserve">x</w:t>
                  </w:r>
                </w:p>
              </w:tc>
              <w:tc>
                <w:tcPr/>
                <w:p>
                  <w:pPr>
                    <w:pStyle w:val="Compact"/>
                    <w:jc w:val="left"/>
                    <w:jc w:val="center"/>
                  </w:pPr>
                  <w:r>
                    <w:t xml:space="preserve">y</w:t>
                  </w:r>
                </w:p>
              </w:tc>
              <w:tc>
                <w:tcPr/>
                <w:p>
                  <w:pPr>
                    <w:pStyle w:val="Compact"/>
                    <w:jc w:val="left"/>
                    <w:jc w:val="center"/>
                  </w:pPr>
                  <w:r>
                    <w:t xml:space="preserve">verylongvariablename</w:t>
                  </w:r>
                </w:p>
              </w:tc>
              <w:tc>
                <w:tcPr/>
                <w:p>
                  <w:pPr>
                    <w:pStyle w:val="Compact"/>
                    <w:jc w:val="left"/>
                    <w:jc w:val="center"/>
                  </w:pPr>
                  <w:r>
                    <w:t xml:space="preserve">verylongvariablename</w:t>
                  </w:r>
                </w:p>
              </w:tc>
            </w:tr>
            <w:tr>
              <w:tc>
                <w:tcPr/>
                <w:p>
                  <w:pPr>
                    <w:pStyle w:val="Compact"/>
                    <w:jc w:val="left"/>
                    <w:jc w:val="center"/>
                  </w:pPr>
                  <w:r>
                    <w:t xml:space="preserve">100</w:t>
                  </w:r>
                </w:p>
              </w:tc>
              <w:tc>
                <w:tcPr/>
                <w:p>
                  <w:pPr>
                    <w:pStyle w:val="Compact"/>
                    <w:jc w:val="left"/>
                    <w:jc w:val="center"/>
                  </w:pPr>
                  <w:r>
                    <w:t xml:space="preserve">1</w:t>
                  </w:r>
                </w:p>
              </w:tc>
              <w:tc>
                <w:tcPr/>
                <w:p>
                  <w:pPr>
                    <w:pStyle w:val="Compact"/>
                    <w:jc w:val="left"/>
                    <w:jc w:val="center"/>
                  </w:pPr>
                  <w:r>
                    <w:t xml:space="preserve">Smith</w:t>
                  </w:r>
                </w:p>
              </w:tc>
              <w:tc>
                <w:tcPr/>
                <w:p>
                  <w:pPr>
                    <w:pStyle w:val="Compact"/>
                    <w:jc w:val="left"/>
                    <w:jc w:val="center"/>
                  </w:pPr>
                  <w:r>
                    <w:t xml:space="preserve">20</w:t>
                  </w:r>
                </w:p>
              </w:tc>
            </w:tr>
            <w:tr>
              <w:tc>
                <w:tcPr/>
                <w:p>
                  <w:pPr>
                    <w:pStyle w:val="Compact"/>
                    <w:jc w:val="left"/>
                    <w:jc w:val="center"/>
                  </w:pPr>
                  <w:r>
                    <w:t xml:space="preserve">200</w:t>
                  </w:r>
                </w:p>
              </w:tc>
              <w:tc>
                <w:tcPr/>
                <w:p>
                  <w:pPr>
                    <w:pStyle w:val="Compact"/>
                    <w:jc w:val="left"/>
                    <w:jc w:val="center"/>
                  </w:pPr>
                  <w:r>
                    <w:t xml:space="preserve">2</w:t>
                  </w:r>
                </w:p>
              </w:tc>
              <w:tc>
                <w:tcPr/>
                <w:p>
                  <w:pPr>
                    <w:pStyle w:val="Compact"/>
                    <w:jc w:val="left"/>
                    <w:jc w:val="center"/>
                  </w:pPr>
                  <w:r>
                    <w:t xml:space="preserve">30</w:t>
                  </w:r>
                </w:p>
              </w:tc>
              <w:tc>
                <w:tcPr/>
                <w:p>
                  <w:pPr>
                    <w:pStyle w:val="Compact"/>
                    <w:jc w:val="left"/>
                    <w:jc w:val="center"/>
                  </w:pPr>
                  <w:r>
                    <w:t xml:space="preserve">NA</w:t>
                  </w:r>
                </w:p>
              </w:tc>
            </w:tr>
            <w:tr>
              <w:tc>
                <w:tcPr/>
                <w:p>
                  <w:pPr>
                    <w:pStyle w:val="Compact"/>
                    <w:jc w:val="left"/>
                    <w:jc w:val="center"/>
                  </w:pPr>
                  <w:r>
                    <w:t xml:space="preserve">not</w:t>
                  </w:r>
                  <w:r>
                    <w:t xml:space="preserve"> </w:t>
                  </w:r>
                  <w:r>
                    <w:t xml:space="preserve">applicable</w:t>
                  </w:r>
                </w:p>
              </w:tc>
              <w:tc>
                <w:tcPr/>
                <w:p>
                  <w:pPr>
                    <w:pStyle w:val="Compact"/>
                    <w:jc w:val="left"/>
                    <w:jc w:val="center"/>
                  </w:pPr>
                  <w:r>
                    <w:t xml:space="preserve">x</w:t>
                  </w:r>
                </w:p>
              </w:tc>
              <w:tc>
                <w:tcPr/>
                <w:p>
                  <w:pPr>
                    <w:pStyle w:val="Compact"/>
                    <w:jc w:val="left"/>
                    <w:jc w:val="center"/>
                  </w:pPr>
                  <w:r>
                    <w:t xml:space="preserve">yes</w:t>
                  </w:r>
                </w:p>
              </w:tc>
              <w:tc>
                <w:tcPr/>
                <w:p>
                  <w:pPr>
                    <w:pStyle w:val="Compact"/>
                    <w:jc w:val="left"/>
                    <w:jc w:val="center"/>
                  </w:pPr>
                  <w:r>
                    <w:t xml:space="preserve">60</w:t>
                  </w:r>
                </w:p>
              </w:tc>
            </w:tr>
            <w:tr>
              <w:tc>
                <w:tcPr/>
                <w:p>
                  <w:pPr>
                    <w:pStyle w:val="Compact"/>
                  </w:pPr>
                </w:p>
              </w:tc>
              <w:tc>
                <w:tcPr/>
                <w:p>
                  <w:pPr>
                    <w:pStyle w:val="Compact"/>
                  </w:pPr>
                </w:p>
              </w:tc>
              <w:tc>
                <w:tcPr/>
                <w:p>
                  <w:pPr>
                    <w:pStyle w:val="Compact"/>
                    <w:jc w:val="left"/>
                    <w:jc w:val="center"/>
                  </w:pPr>
                  <w:r>
                    <w:t xml:space="preserve">some other</w:t>
                  </w:r>
                  <w:r>
                    <w:t xml:space="preserve"> </w:t>
                  </w:r>
                  <w:r>
                    <w:t xml:space="preserve">random</w:t>
                  </w:r>
                  <w:r>
                    <w:t xml:space="preserve"> </w:t>
                  </w:r>
                  <w:r>
                    <w:t xml:space="preserve">information</w:t>
                  </w:r>
                </w:p>
              </w:tc>
              <w:tc>
                <w:tcPr/>
                <w:p>
                  <w:pPr>
                    <w:pStyle w:val="Compact"/>
                  </w:pPr>
                </w:p>
              </w:tc>
            </w:tr>
          </w:tbl>
          <w:bookmarkEnd w:id="87"/>
          <w:p/>
        </w:tc>
      </w:tr>
    </w:tbl>
    <w:bookmarkEnd w:id="88"/>
    <w:bookmarkStart w:id="92" w:name="file-organization"/>
    <w:p>
      <w:pPr>
        <w:pStyle w:val="Heading2"/>
      </w:pPr>
      <w:r>
        <w:t xml:space="preserve">3.5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90" name="Picture"/>
            <a:graphic>
              <a:graphicData uri="http://schemas.openxmlformats.org/drawingml/2006/picture">
                <pic:pic>
                  <pic:nvPicPr>
                    <pic:cNvPr descr="storage.png" id="91" name="Picture"/>
                    <pic:cNvPicPr>
                      <a:picLocks noChangeArrowheads="1" noChangeAspect="1"/>
                    </pic:cNvPicPr>
                  </pic:nvPicPr>
                  <pic:blipFill>
                    <a:blip r:embed="rId8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92"/>
    <w:bookmarkEnd w:id="93"/>
    <w:bookmarkStart w:id="97" w:name="descriptive-statistics-2"/>
    <w:p>
      <w:pPr>
        <w:pStyle w:val="Heading1"/>
      </w:pPr>
      <w:r>
        <w:t xml:space="preserve">4. Descriptive Statistics</w:t>
      </w:r>
    </w:p>
    <w:bookmarkStart w:id="9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
          <w:iCs/>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
          <w:iCs/>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
          <w:iCs/>
        </w:rPr>
        <w:t xml:space="preserve">numeric</w:t>
      </w:r>
      <w:r>
        <w:t xml:space="preserve"> </w:t>
      </w:r>
      <w:r>
        <w:t xml:space="preserve">variable, or a</w:t>
      </w:r>
      <w:r>
        <w:t xml:space="preserve"> </w:t>
      </w:r>
      <w:r>
        <w:rPr>
          <w:i/>
          <w:iCs/>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9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
          <w:iCs/>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
          <w:iCs/>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95"/>
    <w:bookmarkStart w:id="9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pStyle w:val="Compact"/>
        <w:numPr>
          <w:ilvl w:val="0"/>
          <w:numId w:val="1003"/>
        </w:numPr>
      </w:pPr>
      <w:r>
        <w:rPr>
          <w:rStyle w:val="VerbatimChar"/>
        </w:rPr>
        <w:t xml:space="preserve">outcome</w:t>
      </w:r>
      <w:r>
        <w:t xml:space="preserve"> </w:t>
      </w:r>
      <w:r>
        <w:t xml:space="preserve">has a mean of approximately 52 and ranges from approximately 30 to 75.</w:t>
      </w:r>
    </w:p>
    <w:p>
      <w:pPr>
        <w:pStyle w:val="Compact"/>
        <w:numPr>
          <w:ilvl w:val="0"/>
          <w:numId w:val="1003"/>
        </w:numPr>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pStyle w:val="Compact"/>
        <w:numPr>
          <w:ilvl w:val="0"/>
          <w:numId w:val="1003"/>
        </w:numPr>
      </w:pPr>
      <w:r>
        <w:rPr>
          <w:rStyle w:val="VerbatimChar"/>
        </w:rPr>
        <w:t xml:space="preserve">HDI</w:t>
      </w:r>
      <w:r>
        <w:t xml:space="preserve">, the Human Development Index has an average of about 65, and a wide range.</w:t>
      </w:r>
    </w:p>
    <w:p>
      <w:pPr>
        <w:pStyle w:val="Compact"/>
        <w:numPr>
          <w:ilvl w:val="0"/>
          <w:numId w:val="1003"/>
        </w:numPr>
      </w:pPr>
      <w:r>
        <w:rPr>
          <w:rStyle w:val="VerbatimChar"/>
        </w:rPr>
        <w:t xml:space="preserve">identity</w:t>
      </w:r>
      <w:r>
        <w:t xml:space="preserve"> </w:t>
      </w:r>
      <w:r>
        <w:t xml:space="preserve">is a categorical variable for a hypothetical identity group, and has values of 0 and 1.</w:t>
      </w:r>
    </w:p>
    <w:p>
      <w:pPr>
        <w:pStyle w:val="Compact"/>
        <w:numPr>
          <w:ilvl w:val="0"/>
          <w:numId w:val="1003"/>
        </w:numPr>
      </w:pPr>
      <w:r>
        <w:rPr>
          <w:rStyle w:val="VerbatimChar"/>
        </w:rPr>
        <w:t xml:space="preserve">intervention</w:t>
      </w:r>
      <w:r>
        <w:t xml:space="preserve"> </w:t>
      </w:r>
      <w:r>
        <w:t xml:space="preserve">is also a categorical variable, and has values of 0 and 1.</w:t>
      </w:r>
    </w:p>
    <w:bookmarkEnd w:id="96"/>
    <w:bookmarkEnd w:id="97"/>
    <w:bookmarkStart w:id="111" w:name="unconditional-models"/>
    <w:p>
      <w:pPr>
        <w:pStyle w:val="Heading1"/>
      </w:pPr>
      <w:r>
        <w:t xml:space="preserve">5. Unconditional Models</w:t>
      </w:r>
    </w:p>
    <w:bookmarkStart w:id="103" w:name="two-level-model"/>
    <w:p>
      <w:pPr>
        <w:pStyle w:val="Heading2"/>
      </w:pPr>
      <w:r>
        <w:t xml:space="preserve">5.1 Two Level Model</w:t>
      </w:r>
    </w:p>
    <w:p>
      <w:pPr>
        <w:pStyle w:val="FirstParagraph"/>
      </w:pPr>
      <w:r>
        <w:t xml:space="preserve">An</w:t>
      </w:r>
      <w:r>
        <w:t xml:space="preserve"> </w:t>
      </w:r>
      <w:r>
        <w:rPr>
          <w:i/>
          <w:iCs/>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100" w:name="the-equation"/>
    <w:p>
      <w:pPr>
        <w:pStyle w:val="Heading3"/>
      </w:pPr>
      <w:r>
        <w:t xml:space="preserve">5.1.1 The Equation</w:t>
      </w:r>
    </w:p>
    <w:p>
      <w:pPr>
        <w:pStyle w:val="FirstParagraph"/>
      </w:pPr>
      <w:bookmarkStart w:id="9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98"/>
    </w:p>
    <w:p>
      <w:pPr>
        <w:pStyle w:val="FirstParagraph"/>
      </w:pPr>
      <w:r>
        <w:t xml:space="preserve">The Intraclass Correlation Coefficient (ICC) is given by:</w:t>
      </w:r>
    </w:p>
    <w:p>
      <w:pPr>
        <w:pStyle w:val="BodyText"/>
      </w:pPr>
      <w:bookmarkStart w:id="9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9"/>
    </w:p>
    <w:p>
      <w:pPr>
        <w:pStyle w:val="FirstParagraph"/>
      </w:pPr>
      <w:r>
        <w:t xml:space="preserve">In a two level multilevel model, the ICC provides a measure of the proportion of variation attributable to Level 2.</w:t>
      </w:r>
    </w:p>
    <w:bookmarkEnd w:id="100"/>
    <w:bookmarkStart w:id="10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101"/>
    <w:bookmarkStart w:id="10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102"/>
    <w:bookmarkEnd w:id="103"/>
    <w:bookmarkStart w:id="110" w:name="three-level-model"/>
    <w:p>
      <w:pPr>
        <w:pStyle w:val="Heading2"/>
      </w:pPr>
      <w:r>
        <w:t xml:space="preserve">5.2 Three Level Model</w:t>
      </w:r>
    </w:p>
    <w:bookmarkStart w:id="107" w:name="the-equation-1"/>
    <w:p>
      <w:pPr>
        <w:pStyle w:val="Heading3"/>
      </w:pPr>
      <w:r>
        <w:t xml:space="preserve">5.2.1 The Equation</w:t>
      </w:r>
    </w:p>
    <w:p>
      <w:pPr>
        <w:pStyle w:val="FirstParagraph"/>
      </w:pPr>
      <w:bookmarkStart w:id="10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10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10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10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10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10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107"/>
    <w:bookmarkStart w:id="10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108"/>
    <w:bookmarkStart w:id="10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9"/>
    <w:bookmarkEnd w:id="110"/>
    <w:bookmarkEnd w:id="111"/>
    <w:bookmarkStart w:id="135" w:name="sec-crosssectional"/>
    <w:p>
      <w:pPr>
        <w:pStyle w:val="Heading1"/>
      </w:pPr>
      <w:r>
        <w:t xml:space="preserve">6. Cross Sectional Multilevel Models</w:t>
      </w:r>
    </w:p>
    <w:bookmarkStart w:id="11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1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1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13"/>
    <w:bookmarkStart w:id="11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1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1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1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1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ayout w:type="fixed"/>
        <w:tblLook w:firstRow="0" w:lastRow="0" w:firstColumn="0" w:lastColumn="0" w:noHBand="0" w:noVBand="0" w:val="0000"/>
      </w:tblPr>
      <w:tblGrid>
        <w:gridCol w:w="7920"/>
      </w:tblGrid>
      <w:tr>
        <w:tc>
          <w:tcPr/>
          <w:bookmarkStart w:id="116" w:name="tbl-REs"/>
          <w:p>
            <w:pPr>
              <w:jc w:val="center"/>
            </w:pPr>
            <w:pPr>
              <w:jc w:val="start"/>
              <w:spacing w:before="200"/>
              <w:pStyle w:val="ImageCaption"/>
            </w:pPr>
            <w:r>
              <w:t xml:space="preserve">Table 6.1: Correlated and Uncorrelated Random Effects</w:t>
            </w:r>
          </w:p>
          <w:tbl>
            <w:tblPr>
              <w:tblStyle w:val="Table"/>
              <w:tblW w:type="pct" w:w="4306"/>
              <w:tblLayout w:type="fixed"/>
              <w:tblLook w:firstRow="1" w:lastRow="0" w:firstColumn="0" w:lastColumn="0" w:noHBand="0" w:noVBand="0" w:val="0020"/>
            </w:tblPr>
            <w:tblGrid>
              <w:gridCol w:w="1320"/>
              <w:gridCol w:w="2420"/>
              <w:gridCol w:w="3080"/>
            </w:tblGrid>
            <w:tr>
              <w:trPr>
                <w:tblHeader w:val="on"/>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16"/>
          <w:p/>
        </w:tc>
      </w:tr>
    </w:tbl>
    <w:p>
      <w:pPr>
        <w:pStyle w:val="BodyText"/>
      </w:pPr>
      <w:r>
        <w:t xml:space="preserve">All models in the examples below are run with</w:t>
      </w:r>
      <w:r>
        <w:t xml:space="preserve"> </w:t>
      </w:r>
      <w:r>
        <w:rPr>
          <w:i/>
          <w:iCs/>
        </w:rPr>
        <w:t xml:space="preserve">uncorrelated</w:t>
      </w:r>
      <w:r>
        <w:t xml:space="preserve"> </w:t>
      </w:r>
      <w:r>
        <w:t xml:space="preserve">random effects, but could just as easily be run with</w:t>
      </w:r>
      <w:r>
        <w:t xml:space="preserve"> </w:t>
      </w:r>
      <w:r>
        <w:rPr>
          <w:i/>
          <w:iCs/>
        </w:rPr>
        <w:t xml:space="preserve">correlated</w:t>
      </w:r>
      <w:r>
        <w:t xml:space="preserve"> </w:t>
      </w:r>
      <w:r>
        <w:t xml:space="preserve">random effects.</w:t>
      </w:r>
    </w:p>
    <w:bookmarkEnd w:id="117"/>
    <w:bookmarkStart w:id="133" w:name="run-the-models"/>
    <w:p>
      <w:pPr>
        <w:pStyle w:val="Heading2"/>
      </w:pPr>
      <w:r>
        <w:t xml:space="preserve">6.3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quarto/share/formats/docx/warning.png" id="119"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Continuous and Categorical Variables</w:t>
            </w:r>
          </w:p>
        </w:tc>
      </w:tr>
      <w:tr>
        <w:trPr>
          <w:cantSplit/>
        </w:trPr>
        <w:tc>
          <w:tcPr>
            <w:tcMar>
              <w:top w:w="108" w:type="dxa"/>
              <w:bottom w:w="108" w:type="dxa"/>
            </w:tcMar>
          </w:tcPr>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
                <w:iCs/>
              </w:rPr>
              <w:t xml:space="preserve">Continuous</w:t>
            </w:r>
            <w:r>
              <w:t xml:space="preserve"> </w:t>
            </w:r>
            <w:r>
              <w:t xml:space="preserve">variables can be entered straightforwardly into statistical syntax.</w:t>
            </w:r>
            <w:r>
              <w:t xml:space="preserve"> </w:t>
            </w:r>
            <w:r>
              <w:rPr>
                <w:i/>
                <w:iCs/>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2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20"/>
    <w:bookmarkStart w:id="12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21"/>
    <w:p>
      <w:pPr>
        <w:pStyle w:val="Heading3"/>
      </w:pPr>
      <w:r>
        <w:t xml:space="preserve">R</w:t>
      </w:r>
    </w:p>
    <w:bookmarkStart w:id="12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22"/>
    <w:bookmarkStart w:id="12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23"/>
    <w:bookmarkStart w:id="129" w:name="run-the-model-1"/>
    <w:p>
      <w:pPr>
        <w:pStyle w:val="Heading4"/>
      </w:pPr>
      <w:r>
        <w:t xml:space="preserve">6.3.0.5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caution.png" id="126"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tip.png" id="1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9"/>
    <w:p>
      <w:pPr>
        <w:pStyle w:val="Heading3"/>
      </w:pPr>
      <w:r>
        <w:t xml:space="preserve">Julia</w:t>
      </w:r>
    </w:p>
    <w:bookmarkStart w:id="13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30"/>
    <w:bookmarkStart w:id="13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31"/>
    <w:bookmarkStart w:id="13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32"/>
    <w:bookmarkEnd w:id="133"/>
    <w:bookmarkStart w:id="13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34"/>
    <w:bookmarkEnd w:id="135"/>
    <w:bookmarkStart w:id="167" w:name="sec-longitudinal"/>
    <w:p>
      <w:pPr>
        <w:pStyle w:val="Heading1"/>
      </w:pPr>
      <w:r>
        <w:t xml:space="preserve">7. Longitudinal Multilevel Models</w:t>
      </w:r>
    </w:p>
    <w:bookmarkStart w:id="13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36"/>
    <w:bookmarkStart w:id="138" w:name="the-equation-3"/>
    <w:p>
      <w:pPr>
        <w:pStyle w:val="Heading2"/>
      </w:pPr>
      <w:r>
        <w:t xml:space="preserve">7.2 The Equation</w:t>
      </w:r>
    </w:p>
    <w:p>
      <w:pPr>
        <w:pStyle w:val="FirstParagraph"/>
      </w:pPr>
      <w:bookmarkStart w:id="13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3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38"/>
    <w:bookmarkStart w:id="14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
          <w:iCs/>
        </w:rPr>
        <w:t xml:space="preserve">time</w:t>
      </w:r>
      <w:r>
        <w:t xml:space="preserve"> </w:t>
      </w:r>
      <w:r>
        <w:t xml:space="preserve">assumes an important role as we are often thinking of a</w:t>
      </w:r>
      <w:r>
        <w:t xml:space="preserve"> </w:t>
      </w:r>
      <w:r>
        <w:rPr>
          <w:i/>
          <w:iCs/>
        </w:rPr>
        <w:t xml:space="preserve">growth trajectory</w:t>
      </w:r>
      <w:r>
        <w:t xml:space="preserve"> </w:t>
      </w:r>
      <w:r>
        <w:t xml:space="preserve">over time.</w:t>
      </w:r>
    </w:p>
    <w:p>
      <w:pPr>
        <w:pStyle w:val="BodyText"/>
      </w:pPr>
      <w:r>
        <w:t xml:space="preserve">As discussed in the main text, think about a model where</w:t>
      </w:r>
      <w:r>
        <w:t xml:space="preserve"> </w:t>
      </w:r>
      <w:r>
        <w:rPr>
          <w:i/>
          <w:iCs/>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ayout w:type="fixed"/>
        <w:tblLook w:firstRow="0" w:lastRow="0" w:firstColumn="0" w:lastColumn="0" w:noHBand="0" w:noVBand="0" w:val="0000"/>
      </w:tblPr>
      <w:tblGrid>
        <w:gridCol w:w="7920"/>
      </w:tblGrid>
      <w:tr>
        <w:tc>
          <w:tcPr/>
          <w:bookmarkStart w:id="139" w:name="tbl-trajectory"/>
          <w:p>
            <w:pPr>
              <w:jc w:val="center"/>
            </w:pPr>
            <w:pPr>
              <w:jc w:val="start"/>
              <w:spacing w:before="200"/>
              <w:pStyle w:val="ImageCaption"/>
            </w:pPr>
            <w:r>
              <w:t xml:space="preserve">Table 7.1: Slope and Intercept for Each Group</w:t>
            </w:r>
          </w:p>
          <w:tbl>
            <w:tblPr>
              <w:tblStyle w:val="Table"/>
              <w:tblW w:type="pct" w:w="5000"/>
              <w:tblLayout w:type="fixed"/>
              <w:tblLook w:firstRow="1" w:lastRow="0" w:firstColumn="0" w:lastColumn="0" w:noHBand="0" w:noVBand="0" w:val="0020"/>
            </w:tblPr>
            <w:tblGrid>
              <w:gridCol w:w="693"/>
              <w:gridCol w:w="3465"/>
              <w:gridCol w:w="3762"/>
            </w:tblGrid>
            <w:tr>
              <w:trPr>
                <w:tblHeader w:val="on"/>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9"/>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Applications/quarto/share/formats/docx/tip.png" id="1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Main Effects and Interactions</w:t>
            </w:r>
          </w:p>
        </w:tc>
      </w:tr>
      <w:tr>
        <w:trPr>
          <w:cantSplit/>
        </w:trPr>
        <w:tc>
          <w:tcPr>
            <w:tcMar>
              <w:top w:w="108" w:type="dxa"/>
              <w:bottom w:w="108" w:type="dxa"/>
            </w:tcMar>
          </w:tcPr>
          <w:p>
            <w:pPr>
              <w:pStyle w:val="BodyText"/>
            </w:pPr>
            <w:pPr>
              <w:spacing w:before="16" w:after="16"/>
            </w:pPr>
            <w:r>
              <w:t xml:space="preserve">Thus, again following the main text, in longitudinal multilevel models,</w:t>
            </w:r>
            <w:r>
              <w:t xml:space="preserve"> </w:t>
            </w:r>
            <w:r>
              <w:rPr>
                <w:i/>
                <w:iCs/>
              </w:rPr>
              <w:t xml:space="preserve">main effects</w:t>
            </w:r>
            <w:r>
              <w:t xml:space="preserve"> </w:t>
            </w:r>
            <w:r>
              <w:t xml:space="preserve">modify the</w:t>
            </w:r>
            <w:r>
              <w:t xml:space="preserve"> </w:t>
            </w:r>
            <w:r>
              <w:rPr>
                <w:i/>
                <w:iCs/>
              </w:rPr>
              <w:t xml:space="preserve">intercept</w:t>
            </w:r>
            <w:r>
              <w:t xml:space="preserve"> </w:t>
            </w:r>
            <w:r>
              <w:t xml:space="preserve">of the time trajectory, while</w:t>
            </w:r>
            <w:r>
              <w:t xml:space="preserve"> </w:t>
            </w:r>
            <w:r>
              <w:rPr>
                <w:i/>
                <w:iCs/>
              </w:rPr>
              <w:t xml:space="preserve">interactions with time</w:t>
            </w:r>
            <w:r>
              <w:t xml:space="preserve">, modify the</w:t>
            </w:r>
            <w:r>
              <w:t xml:space="preserve"> </w:t>
            </w:r>
            <w:r>
              <w:rPr>
                <w:i/>
                <w:iCs/>
              </w:rPr>
              <w:t xml:space="preserve">slope</w:t>
            </w:r>
            <w:r>
              <w:t xml:space="preserve"> </w:t>
            </w:r>
            <w:r>
              <w:t xml:space="preserve">of the time trajectory. Below, we run models with</w:t>
            </w:r>
            <w:r>
              <w:t xml:space="preserve"> </w:t>
            </w:r>
            <w:r>
              <w:rPr>
                <w:i/>
                <w:iCs/>
              </w:rPr>
              <w:t xml:space="preserve">main effects only</w:t>
            </w:r>
            <w:r>
              <w:t xml:space="preserve">, then models with</w:t>
            </w:r>
            <w:r>
              <w:t xml:space="preserve"> </w:t>
            </w:r>
            <w:r>
              <w:rPr>
                <w:i/>
                <w:iCs/>
              </w:rPr>
              <w:t xml:space="preserve">main effects, and interactions with time</w:t>
            </w:r>
            <w:r>
              <w:t xml:space="preserve">.</w:t>
            </w:r>
          </w:p>
        </w:tc>
      </w:tr>
    </w:tbl>
    <w:bookmarkEnd w:id="142"/>
    <w:bookmarkStart w:id="163" w:name="run-the-models-1"/>
    <w:p>
      <w:pPr>
        <w:pStyle w:val="Heading2"/>
      </w:pPr>
      <w:r>
        <w:t xml:space="preserve">7.4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warning.png" id="144"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4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45"/>
    <w:bookmarkStart w:id="148" w:name="run-the-models-2"/>
    <w:p>
      <w:pPr>
        <w:pStyle w:val="Heading4"/>
      </w:pPr>
      <w:r>
        <w:t xml:space="preserve">7.4.0.2 Run The Models</w:t>
      </w:r>
    </w:p>
    <w:bookmarkStart w:id="14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46"/>
    <w:bookmarkStart w:id="14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47"/>
    <w:bookmarkEnd w:id="148"/>
    <w:p>
      <w:pPr>
        <w:pStyle w:val="Heading3"/>
      </w:pPr>
      <w:r>
        <w:t xml:space="preserve">R</w:t>
      </w:r>
    </w:p>
    <w:bookmarkStart w:id="14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50"/>
    <w:bookmarkStart w:id="15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Applications/quarto/share/formats/docx/caution.png" id="152"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Applications/quarto/share/formats/docx/tip.png" id="1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5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55"/>
    <w:bookmarkStart w:id="15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56"/>
    <w:bookmarkEnd w:id="157"/>
    <w:p>
      <w:pPr>
        <w:pStyle w:val="Heading3"/>
      </w:pPr>
      <w:r>
        <w:t xml:space="preserve">Julia</w:t>
      </w:r>
    </w:p>
    <w:bookmarkStart w:id="15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58"/>
    <w:bookmarkStart w:id="15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9"/>
    <w:bookmarkStart w:id="162" w:name="run-the-models-4"/>
    <w:p>
      <w:pPr>
        <w:pStyle w:val="Heading4"/>
      </w:pPr>
      <w:r>
        <w:t xml:space="preserve">7.4.0.8 Run The Models</w:t>
      </w:r>
    </w:p>
    <w:bookmarkStart w:id="16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60"/>
    <w:bookmarkStart w:id="16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61"/>
    <w:bookmarkEnd w:id="162"/>
    <w:bookmarkEnd w:id="163"/>
    <w:bookmarkStart w:id="166" w:name="interpretation-4"/>
    <w:p>
      <w:pPr>
        <w:pStyle w:val="Heading2"/>
      </w:pPr>
      <w:r>
        <w:t xml:space="preserve">7.5 Interpretation</w:t>
      </w:r>
    </w:p>
    <w:p>
      <w:pPr>
        <w:pStyle w:val="FirstParagraph"/>
      </w:pPr>
      <w:r>
        <w:t xml:space="preserve">The</w:t>
      </w:r>
      <w:r>
        <w:t xml:space="preserve"> </w:t>
      </w:r>
      <w:r>
        <w:rPr>
          <w:i/>
          <w:iCs/>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Applications/quarto/share/formats/docx/tip.png" id="1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Which Interactions To Test?</w:t>
            </w:r>
          </w:p>
        </w:tc>
      </w:tr>
      <w:tr>
        <w:trPr>
          <w:cantSplit/>
        </w:trPr>
        <w:tc>
          <w:tcPr>
            <w:tcMar>
              <w:top w:w="108" w:type="dxa"/>
              <w:bottom w:w="108" w:type="dxa"/>
            </w:tcMar>
          </w:tcPr>
          <w:p>
            <w:pPr>
              <w:pStyle w:val="BodyText"/>
            </w:pPr>
            <w:pPr>
              <w:spacing w:before="16" w:after="16"/>
            </w:pPr>
            <w:r>
              <w:t xml:space="preserve">In this example–for the sake of illustration–I test the interaction of</w:t>
            </w:r>
            <w:r>
              <w:t xml:space="preserve"> </w:t>
            </w:r>
            <w:r>
              <w:rPr>
                <w:i/>
                <w:iCs/>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
          <w:iCs/>
        </w:rPr>
        <w:t xml:space="preserve">in addition to</w:t>
      </w:r>
      <w:r>
        <w:t xml:space="preserve"> </w:t>
      </w:r>
      <w:r>
        <w:t xml:space="preserve">the fact that the intervention is associated with higher initial levels of the outcome.</w:t>
      </w:r>
    </w:p>
    <w:bookmarkEnd w:id="166"/>
    <w:bookmarkEnd w:id="167"/>
    <w:bookmarkStart w:id="18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6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68"/>
    <w:bookmarkStart w:id="17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
          <w:iCs/>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16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9"/>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Correlated and Uncorrelated Random Effects in Logistic Regression</w:t>
            </w:r>
          </w:p>
        </w:tc>
      </w:tr>
      <w:tr>
        <w:trPr>
          <w:cantSplit/>
        </w:trPr>
        <w:tc>
          <w:tcPr>
            <w:tcMar>
              <w:top w:w="108" w:type="dxa"/>
              <w:bottom w:w="108" w:type="dxa"/>
            </w:tcMar>
          </w:tcPr>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72"/>
    <w:bookmarkStart w:id="185" w:name="run-models-2"/>
    <w:p>
      <w:pPr>
        <w:pStyle w:val="Heading2"/>
      </w:pPr>
      <w:r>
        <w:t xml:space="preserve">8.3 Run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Applications/quarto/share/formats/docx/caution.png" id="174"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Less Variation In Logistic Than Linear Models</w:t>
            </w:r>
          </w:p>
        </w:tc>
      </w:tr>
      <w:tr>
        <w:trPr>
          <w:cantSplit/>
        </w:trPr>
        <w:tc>
          <w:tcPr>
            <w:tcMar>
              <w:top w:w="108" w:type="dxa"/>
              <w:bottom w:w="108" w:type="dxa"/>
            </w:tcMar>
          </w:tcPr>
          <w:p>
            <w:pPr>
              <w:pStyle w:val="BodyText"/>
            </w:pPr>
            <w:pPr>
              <w:spacing w:before="16" w:after="16"/>
            </w:pPr>
            <w:r>
              <w:t xml:space="preserve">Note that in</w:t>
            </w:r>
            <w:r>
              <w:t xml:space="preserve"> </w:t>
            </w:r>
            <w:r>
              <w:rPr>
                <w:i/>
                <w:iCs/>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
                <w:iCs/>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7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75"/>
    <w:bookmarkStart w:id="17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76"/>
    <w:p>
      <w:pPr>
        <w:pStyle w:val="Heading3"/>
      </w:pPr>
      <w:r>
        <w:t xml:space="preserve">R</w:t>
      </w:r>
    </w:p>
    <w:bookmarkStart w:id="17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77"/>
    <w:bookmarkStart w:id="17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78"/>
    <w:bookmarkStart w:id="183" w:name="run-the-model-4"/>
    <w:p>
      <w:pPr>
        <w:pStyle w:val="Heading4"/>
      </w:pPr>
      <w:r>
        <w:t xml:space="preserve">8.3.0.5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Applications/quarto/share/formats/docx/caution.png" id="180"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tip.png" id="1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83"/>
    <w:bookmarkStart w:id="18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84"/>
    <w:bookmarkEnd w:id="185"/>
    <w:bookmarkEnd w:id="186"/>
    <w:bookmarkStart w:id="226" w:name="Xc2051085549013ec66cc94a13ba149d7137dcc3"/>
    <w:p>
      <w:pPr>
        <w:pStyle w:val="Heading1"/>
      </w:pPr>
      <w:r>
        <w:t xml:space="preserve">9. # Models With Three or More Levels and Cross-Classified Models</w:t>
      </w:r>
    </w:p>
    <w:bookmarkStart w:id="187" w:name="introduction-1"/>
    <w:p>
      <w:pPr>
        <w:pStyle w:val="Heading2"/>
      </w:pPr>
      <w:r>
        <w:t xml:space="preserve">9.1 Introduction</w:t>
      </w:r>
    </w:p>
    <w:p>
      <w:pPr>
        <w:pStyle w:val="FirstParagraph"/>
      </w:pPr>
      <w:r>
        <w:t xml:space="preserve">A two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A three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which are in turn nested in</w:t>
      </w:r>
      <w:r>
        <w:t xml:space="preserve"> </w:t>
      </w:r>
      <w:r>
        <w:rPr>
          <w:i/>
          <w:iCs/>
        </w:rPr>
        <w:t xml:space="preserve">Level 3</w:t>
      </w:r>
      <w:r>
        <w:t xml:space="preserve">. As more levels are added to the model (e.g. </w:t>
      </w:r>
      <w:r>
        <w:rPr>
          <w:i/>
          <w:iCs/>
        </w:rPr>
        <w:t xml:space="preserve">Level 4</w:t>
      </w:r>
      <w:r>
        <w:t xml:space="preserve">), we imagine all of these levels to be hierarchically nested.</w:t>
      </w:r>
    </w:p>
    <w:p>
      <w:pPr>
        <w:pStyle w:val="BodyText"/>
      </w:pPr>
      <w:r>
        <w:t xml:space="preserve">A</w:t>
      </w:r>
      <w:r>
        <w:t xml:space="preserve"> </w:t>
      </w:r>
      <w:r>
        <w:rPr>
          <w:i/>
          <w:iCs/>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87"/>
    <w:bookmarkStart w:id="208" w:name="sec-fourlevel"/>
    <w:p>
      <w:pPr>
        <w:pStyle w:val="Heading2"/>
      </w:pPr>
      <w:r>
        <w:t xml:space="preserve">9.2 Three Or More Levels</w:t>
      </w:r>
    </w:p>
    <w:bookmarkStart w:id="188" w:name="the-data-2"/>
    <w:p>
      <w:pPr>
        <w:pStyle w:val="Heading3"/>
      </w:pPr>
      <w:r>
        <w:t xml:space="preserve">9.2.1 The Data</w:t>
      </w:r>
    </w:p>
    <w:p>
      <w:pPr>
        <w:pStyle w:val="FirstParagraph"/>
      </w:pPr>
      <w:r>
        <w:t xml:space="preserve">I use the</w:t>
      </w:r>
      <w:r>
        <w:t xml:space="preserve"> </w:t>
      </w:r>
      <w:r>
        <w:rPr>
          <w:i/>
          <w:iCs/>
        </w:rPr>
        <w:t xml:space="preserve">longitudinal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
          <w:iCs/>
        </w:rPr>
        <w:t xml:space="preserve">United Nations Region</w:t>
      </w:r>
      <w:r>
        <w:t xml:space="preserve"> </w:t>
      </w:r>
      <w:r>
        <w:t xml:space="preserve">(Arel-Bundock et al., 2018)</w:t>
      </w:r>
      <w:r>
        <w:t xml:space="preserve">. This data thus requires a four level model.</w:t>
      </w:r>
    </w:p>
    <w:bookmarkEnd w:id="188"/>
    <w:bookmarkStart w:id="190" w:name="the-equation-5"/>
    <w:p>
      <w:pPr>
        <w:pStyle w:val="Heading3"/>
      </w:pPr>
      <w:r>
        <w:t xml:space="preserve">9.2.2 The Equation</w:t>
      </w:r>
    </w:p>
    <w:p>
      <w:pPr>
        <w:pStyle w:val="FirstParagraph"/>
      </w:pPr>
      <w:bookmarkStart w:id="18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8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90"/>
    <w:bookmarkStart w:id="206" w:name="run-the-models-5"/>
    <w:p>
      <w:pPr>
        <w:pStyle w:val="Heading3"/>
      </w:pPr>
      <w:r>
        <w:t xml:space="preserve">9.2.3 Run The Models</w:t>
      </w:r>
    </w:p>
    <w:p>
      <w:pPr>
        <w:pStyle w:val="Heading4"/>
      </w:pPr>
      <w:r>
        <w:t xml:space="preserve">Stata</w:t>
      </w:r>
    </w:p>
    <w:bookmarkStart w:id="19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91"/>
    <w:bookmarkStart w:id="19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92"/>
    <w:bookmarkStart w:id="19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93"/>
    <w:p>
      <w:pPr>
        <w:pStyle w:val="Heading4"/>
      </w:pPr>
      <w:r>
        <w:t xml:space="preserve">R</w:t>
      </w:r>
    </w:p>
    <w:bookmarkStart w:id="19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94"/>
    <w:bookmarkStart w:id="19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95"/>
    <w:bookmarkStart w:id="20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Applications/quarto/share/formats/docx/caution.png" id="197"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Applications/quarto/share/formats/docx/tip.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200"/>
    <w:bookmarkStart w:id="20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201"/>
    <w:p>
      <w:pPr>
        <w:pStyle w:val="Heading4"/>
      </w:pPr>
      <w:r>
        <w:t xml:space="preserve">Julia</w:t>
      </w:r>
    </w:p>
    <w:bookmarkStart w:id="20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202"/>
    <w:bookmarkStart w:id="20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03"/>
    <w:bookmarkStart w:id="20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4"/>
    <w:bookmarkStart w:id="20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5"/>
    <w:bookmarkEnd w:id="206"/>
    <w:bookmarkStart w:id="20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07"/>
    <w:bookmarkEnd w:id="208"/>
    <w:bookmarkStart w:id="225" w:name="cross-classified-models"/>
    <w:p>
      <w:pPr>
        <w:pStyle w:val="Heading2"/>
      </w:pPr>
      <w:r>
        <w:t xml:space="preserve">9.3 Cross-Classified Models</w:t>
      </w:r>
    </w:p>
    <w:bookmarkStart w:id="209" w:name="the-data-3"/>
    <w:p>
      <w:pPr>
        <w:pStyle w:val="Heading3"/>
      </w:pPr>
      <w:r>
        <w:t xml:space="preserve">9.3.1 The Data</w:t>
      </w:r>
    </w:p>
    <w:p>
      <w:pPr>
        <w:pStyle w:val="FirstParagraph"/>
      </w:pPr>
      <w:r>
        <w:t xml:space="preserve">I use the</w:t>
      </w:r>
      <w:r>
        <w:t xml:space="preserve"> </w:t>
      </w:r>
      <w:r>
        <w:rPr>
          <w:i/>
          <w:iCs/>
        </w:rPr>
        <w:t xml:space="preserve">cross-sectional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209"/>
    <w:bookmarkStart w:id="211" w:name="the-equation-6"/>
    <w:p>
      <w:pPr>
        <w:pStyle w:val="Heading3"/>
      </w:pPr>
      <w:r>
        <w:t xml:space="preserve">9.3.2 The Equation</w:t>
      </w:r>
    </w:p>
    <w:p>
      <w:pPr>
        <w:pStyle w:val="FirstParagraph"/>
      </w:pPr>
      <w:bookmarkStart w:id="21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1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
          <w:iCs/>
        </w:rPr>
        <w:t xml:space="preserve">cross classified</w:t>
      </w:r>
      <w:r>
        <w:t xml:space="preserve">.</w:t>
      </w:r>
    </w:p>
    <w:bookmarkEnd w:id="211"/>
    <w:bookmarkStart w:id="223" w:name="run-the-models-6"/>
    <w:p>
      <w:pPr>
        <w:pStyle w:val="Heading3"/>
      </w:pPr>
      <w:r>
        <w:t xml:space="preserve">9.3.3 Run The Models</w:t>
      </w:r>
    </w:p>
    <w:p>
      <w:pPr>
        <w:pStyle w:val="Heading4"/>
      </w:pPr>
      <w:r>
        <w:t xml:space="preserve">Stata</w:t>
      </w:r>
    </w:p>
    <w:bookmarkStart w:id="21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12"/>
    <w:bookmarkStart w:id="21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13"/>
    <w:bookmarkStart w:id="21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14"/>
    <w:p>
      <w:pPr>
        <w:pStyle w:val="Heading4"/>
      </w:pPr>
      <w:r>
        <w:t xml:space="preserve">R</w:t>
      </w:r>
    </w:p>
    <w:bookmarkStart w:id="21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15"/>
    <w:bookmarkStart w:id="21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16"/>
    <w:bookmarkStart w:id="21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17"/>
    <w:bookmarkStart w:id="21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18"/>
    <w:p>
      <w:pPr>
        <w:pStyle w:val="Heading4"/>
      </w:pPr>
      <w:r>
        <w:t xml:space="preserve">Julia</w:t>
      </w:r>
    </w:p>
    <w:bookmarkStart w:id="21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19"/>
    <w:bookmarkStart w:id="22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20"/>
    <w:bookmarkStart w:id="22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21"/>
    <w:bookmarkStart w:id="22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22"/>
    <w:bookmarkEnd w:id="223"/>
    <w:bookmarkStart w:id="22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24"/>
    <w:bookmarkEnd w:id="225"/>
    <w:bookmarkEnd w:id="226"/>
    <w:bookmarkStart w:id="238" w:name="sec-reshape"/>
    <w:p>
      <w:pPr>
        <w:pStyle w:val="Heading1"/>
      </w:pPr>
      <w:r>
        <w:t xml:space="preserve">10. Reshaping Data</w:t>
      </w:r>
    </w:p>
    <w:bookmarkStart w:id="22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
          <w:iCs/>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
          <w:iCs/>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
          <w:iCs/>
        </w:rPr>
        <w:t xml:space="preserve">reshaped</w:t>
      </w:r>
      <w:r>
        <w:t xml:space="preserve">, most often from</w:t>
      </w:r>
      <w:r>
        <w:t xml:space="preserve"> </w:t>
      </w:r>
      <w:r>
        <w:rPr>
          <w:i/>
          <w:iCs/>
        </w:rPr>
        <w:t xml:space="preserve">wide</w:t>
      </w:r>
      <w:r>
        <w:t xml:space="preserve"> </w:t>
      </w:r>
      <w:r>
        <w:t xml:space="preserve">format to</w:t>
      </w:r>
      <w:r>
        <w:t xml:space="preserve"> </w:t>
      </w:r>
      <w:r>
        <w:rPr>
          <w:i/>
          <w:iCs/>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27"/>
    <w:bookmarkStart w:id="23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8" name="Picture"/>
                  <a:graphic>
                    <a:graphicData uri="http://schemas.openxmlformats.org/drawingml/2006/picture">
                      <pic:pic>
                        <pic:nvPicPr>
                          <pic:cNvPr descr="/Applications/quarto/share/formats/docx/note.png" id="22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wide</w:t>
            </w:r>
            <w:r>
              <w:t xml:space="preserve"> </w:t>
            </w:r>
            <w:r>
              <w:t xml:space="preserve">format.</w:t>
            </w:r>
          </w:p>
          <w:p>
            <w:pPr>
              <w:pStyle w:val="BodyText"/>
            </w:pPr>
            <w:pPr>
              <w:spacing w:after="16"/>
            </w:pPr>
            <w:r>
              <w:t xml:space="preserve">Every individual in the data set has a</w:t>
            </w:r>
            <w:r>
              <w:t xml:space="preserve"> </w:t>
            </w:r>
            <w:r>
              <w:rPr>
                <w:i/>
                <w:iCs/>
              </w:rPr>
              <w:t xml:space="preserve">single row of data</w:t>
            </w:r>
            <w:r>
              <w:t xml:space="preserve">. Every row in the data set is an</w:t>
            </w:r>
            <w:r>
              <w:t xml:space="preserve"> </w:t>
            </w:r>
            <w:r>
              <w:rPr>
                <w:i/>
                <w:iCs/>
              </w:rPr>
              <w:t xml:space="preserve">individual</w:t>
            </w:r>
            <w:r>
              <w:t xml:space="preserve"> </w:t>
            </w:r>
            <w:r>
              <w:t xml:space="preserve">or</w:t>
            </w:r>
            <w:r>
              <w:t xml:space="preserve"> </w:t>
            </w:r>
            <w:r>
              <w:rPr>
                <w:i/>
                <w:iCs/>
              </w:rPr>
              <w:t xml:space="preserve">family</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844"/>
              <w:gridCol w:w="2428"/>
              <w:gridCol w:w="1056"/>
              <w:gridCol w:w="1161"/>
              <w:gridCol w:w="2428"/>
            </w:tblGrid>
            <w:tr>
              <w:trPr>
                <w:tblHeader w:val="on"/>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977"/>
              <w:gridCol w:w="1075"/>
              <w:gridCol w:w="2248"/>
              <w:gridCol w:w="977"/>
              <w:gridCol w:w="1075"/>
              <w:gridCol w:w="977"/>
              <w:gridCol w:w="586"/>
            </w:tblGrid>
            <w:tr>
              <w:trPr>
                <w:tblHeader w:val="on"/>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ayout w:type="fixed"/>
              <w:tblLook w:firstRow="1" w:lastRow="0" w:firstColumn="0" w:lastColumn="0" w:noHBand="0" w:noVBand="0" w:val="0020"/>
            </w:tblPr>
            <w:tblGrid>
              <w:gridCol w:w="990"/>
              <w:gridCol w:w="1210"/>
              <w:gridCol w:w="1650"/>
            </w:tblGrid>
            <w:tr>
              <w:trPr>
                <w:tblHeader w:val="on"/>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30"/>
          <w:p/>
        </w:tc>
      </w:tr>
    </w:tbl>
    <w:bookmarkEnd w:id="231"/>
    <w:bookmarkStart w:id="232" w:name="data-management"/>
    <w:p>
      <w:pPr>
        <w:pStyle w:val="Heading2"/>
      </w:pPr>
      <w:r>
        <w:t xml:space="preserve">10.3 Data Management</w:t>
      </w:r>
    </w:p>
    <w:p>
      <w:pPr>
        <w:pStyle w:val="FirstParagraph"/>
      </w:pPr>
      <w:r>
        <w:t xml:space="preserve">Because reshaping your data dramatically changes the structure of your data…</w:t>
      </w:r>
    </w:p>
    <w:p>
      <w:pPr>
        <w:pStyle w:val="Compact"/>
        <w:numPr>
          <w:ilvl w:val="0"/>
          <w:numId w:val="1004"/>
        </w:numPr>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pStyle w:val="Compact"/>
        <w:numPr>
          <w:ilvl w:val="0"/>
          <w:numId w:val="1004"/>
        </w:numPr>
      </w:pPr>
      <w:r>
        <w:t xml:space="preserve">Usually we want to work with only a</w:t>
      </w:r>
      <w:r>
        <w:t xml:space="preserve"> </w:t>
      </w:r>
      <w:r>
        <w:rPr>
          <w:i/>
          <w:iCs/>
        </w:rPr>
        <w:t xml:space="preserve">subset</w:t>
      </w:r>
      <w:r>
        <w:t xml:space="preserve"> </w:t>
      </w:r>
      <w:r>
        <w:t xml:space="preserve">of your data, to keep only the data in which we are interested.</w:t>
      </w:r>
    </w:p>
    <w:p>
      <w:pPr>
        <w:pStyle w:val="Compact"/>
        <w:numPr>
          <w:ilvl w:val="1"/>
          <w:numId w:val="1005"/>
        </w:numPr>
      </w:pPr>
      <w:r>
        <w:t xml:space="preserve">In Stata, the command to keep only variables of interest would be:</w:t>
      </w:r>
      <w:r>
        <w:t xml:space="preserve"> </w:t>
      </w:r>
      <w:r>
        <w:rPr>
          <w:rStyle w:val="VerbatimChar"/>
        </w:rPr>
        <w:t xml:space="preserve">keep y x z t</w:t>
      </w:r>
      <w:r>
        <w:t xml:space="preserve">.</w:t>
      </w:r>
    </w:p>
    <w:p>
      <w:pPr>
        <w:pStyle w:val="Compact"/>
        <w:numPr>
          <w:ilvl w:val="1"/>
          <w:numId w:val="1005"/>
        </w:numPr>
      </w:pPr>
      <w:r>
        <w:t xml:space="preserve">In R, one option would be to use the subset function:</w:t>
      </w:r>
      <w:r>
        <w:t xml:space="preserve"> </w:t>
      </w:r>
      <w:r>
        <w:rPr>
          <w:rStyle w:val="VerbatimChar"/>
        </w:rPr>
        <w:t xml:space="preserve">mysubset &lt;- subset(mydata, select = c(y, x, z, t))</w:t>
      </w:r>
    </w:p>
    <w:bookmarkEnd w:id="232"/>
    <w:bookmarkStart w:id="23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
          <w:iCs/>
        </w:rPr>
        <w:t xml:space="preserve">wide</w:t>
      </w:r>
      <w:r>
        <w:t xml:space="preserve"> </w:t>
      </w:r>
      <w:r>
        <w:t xml:space="preserve">to</w:t>
      </w:r>
      <w:r>
        <w:t xml:space="preserve"> </w:t>
      </w:r>
      <w:r>
        <w:rPr>
          <w:i/>
          <w:iCs/>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
          <w:iCs/>
        </w:rPr>
        <w:t xml:space="preserve">time varying</w:t>
      </w:r>
      <w:r>
        <w:t xml:space="preserve">. Stata assumes that variables that are</w:t>
      </w:r>
      <w:r>
        <w:t xml:space="preserve"> </w:t>
      </w:r>
      <w:r>
        <w:rPr>
          <w:i/>
          <w:iCs/>
        </w:rPr>
        <w:t xml:space="preserve">not listed</w:t>
      </w:r>
      <w:r>
        <w:t xml:space="preserve"> </w:t>
      </w:r>
      <w:r>
        <w:t xml:space="preserve">do</w:t>
      </w:r>
      <w:r>
        <w:t xml:space="preserve"> </w:t>
      </w:r>
      <w:r>
        <w:rPr>
          <w:i/>
          <w:iCs/>
        </w:rPr>
        <w:t xml:space="preserve">not vary over time</w:t>
      </w:r>
      <w:r>
        <w:t xml:space="preserve">, or are</w:t>
      </w:r>
      <w:r>
        <w:t xml:space="preserve"> </w:t>
      </w:r>
      <w:r>
        <w:rPr>
          <w:i/>
          <w:iCs/>
        </w:rPr>
        <w:t xml:space="preserve">time invariant</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
          <w:iCs/>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
          <w:iCs/>
        </w:rPr>
        <w:t xml:space="preserve">time varying</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
          <w:iCs/>
        </w:rPr>
        <w:t xml:space="preserve">stub</w:t>
      </w:r>
      <w:r>
        <w:t xml:space="preserve"> </w:t>
      </w:r>
      <w:r>
        <w:t xml:space="preserve">from the</w:t>
      </w:r>
      <w:r>
        <w:t xml:space="preserve"> </w:t>
      </w:r>
      <w:r>
        <w:rPr>
          <w:i/>
          <w:iCs/>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33"/>
    <w:bookmarkStart w:id="23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long</w:t>
            </w:r>
            <w:r>
              <w:t xml:space="preserve"> </w:t>
            </w:r>
            <w:r>
              <w:t xml:space="preserve">format.</w:t>
            </w:r>
          </w:p>
          <w:p>
            <w:pPr>
              <w:pStyle w:val="BodyText"/>
            </w:pPr>
            <w:pPr>
              <w:spacing w:after="16"/>
            </w:pPr>
            <w:r>
              <w:t xml:space="preserve">Every individual/family in the data set has a</w:t>
            </w:r>
            <w:r>
              <w:t xml:space="preserve"> </w:t>
            </w:r>
            <w:r>
              <w:rPr>
                <w:i/>
                <w:iCs/>
              </w:rPr>
              <w:t xml:space="preserve">multiple rows of data</w:t>
            </w:r>
            <w:r>
              <w:t xml:space="preserve">. Every row in the data set is an</w:t>
            </w:r>
            <w:r>
              <w:t xml:space="preserve"> </w:t>
            </w:r>
            <w:r>
              <w:rPr>
                <w:i/>
                <w:iCs/>
              </w:rPr>
              <w:t xml:space="preserve">individual-timepoint</w:t>
            </w:r>
            <w:r>
              <w:t xml:space="preserve"> </w:t>
            </w:r>
            <w:r>
              <w:t xml:space="preserve">or</w:t>
            </w:r>
            <w:r>
              <w:t xml:space="preserve"> </w:t>
            </w:r>
            <w:r>
              <w:rPr>
                <w:i/>
                <w:iCs/>
              </w:rPr>
              <w:t xml:space="preserve">family-timepoint</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ayout w:type="fixed"/>
              <w:tblLook w:firstRow="1" w:lastRow="0" w:firstColumn="0" w:lastColumn="0" w:noHBand="0" w:noVBand="0" w:val="0020"/>
              <w:tblCaption w:val="Table continues below"/>
            </w:tblPr>
            <w:tblGrid>
              <w:gridCol w:w="1100"/>
              <w:gridCol w:w="660"/>
              <w:gridCol w:w="990"/>
              <w:gridCol w:w="660"/>
              <w:gridCol w:w="1210"/>
              <w:gridCol w:w="1650"/>
              <w:gridCol w:w="44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36"/>
          <w:p/>
        </w:tc>
      </w:tr>
    </w:tbl>
    <w:bookmarkEnd w:id="237"/>
    <w:bookmarkEnd w:id="238"/>
    <w:bookmarkStart w:id="24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
          <w:iCs/>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
          <w:iCs/>
        </w:rPr>
        <w:t xml:space="preserve">within</w:t>
      </w:r>
      <w:r>
        <w:t xml:space="preserve"> </w:t>
      </w:r>
      <w:r>
        <w:t xml:space="preserve">and</w:t>
      </w:r>
      <w:r>
        <w:t xml:space="preserve"> </w:t>
      </w:r>
      <w:r>
        <w:rPr>
          <w:i/>
          <w:iCs/>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3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39"/>
    <w:bookmarkStart w:id="24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40"/>
    <w:p>
      <w:pPr>
        <w:pStyle w:val="Heading3"/>
      </w:pPr>
      <w:r>
        <w:t xml:space="preserve">R</w:t>
      </w:r>
    </w:p>
    <w:bookmarkStart w:id="24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41"/>
    <w:bookmarkStart w:id="24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42"/>
    <w:bookmarkEnd w:id="243"/>
    <w:bookmarkStart w:id="264" w:name="references"/>
    <w:p>
      <w:pPr>
        <w:pStyle w:val="Heading1"/>
      </w:pPr>
      <w:r>
        <w:t xml:space="preserve">References</w:t>
      </w:r>
    </w:p>
    <w:bookmarkStart w:id="263" w:name="refs"/>
    <w:bookmarkStart w:id="245" w:name="ref-Allaire_Quarto_2024"/>
    <w:p>
      <w:pPr>
        <w:pStyle w:val="Bibliography"/>
      </w:pPr>
      <w:r>
        <w:t xml:space="preserve">Allaire, J. J., Teague, C., Scheidegger, C., Xie, Y., &amp; Dervieux, C. (2024).</w:t>
      </w:r>
      <w:r>
        <w:t xml:space="preserve"> </w:t>
      </w:r>
      <w:r>
        <w:rPr>
          <w:i/>
          <w:iCs/>
        </w:rPr>
        <w:t xml:space="preserve">Quarto</w:t>
      </w:r>
      <w:r>
        <w:t xml:space="preserve"> </w:t>
      </w:r>
      <w:r>
        <w:t xml:space="preserve">(Version 1.4).</w:t>
      </w:r>
      <w:r>
        <w:t xml:space="preserve"> </w:t>
      </w:r>
      <w:hyperlink r:id="rId244">
        <w:r>
          <w:rPr>
            <w:rStyle w:val="Hyperlink"/>
          </w:rPr>
          <w:t xml:space="preserve">https://doi.org/10.5281/zenodo.5960048</w:t>
        </w:r>
      </w:hyperlink>
    </w:p>
    <w:bookmarkEnd w:id="245"/>
    <w:bookmarkStart w:id="247" w:name="ref-ArelBundock2018"/>
    <w:p>
      <w:pPr>
        <w:pStyle w:val="Bibliography"/>
      </w:pPr>
      <w:r>
        <w:t xml:space="preserve">Arel-Bundock, V., Enevoldsen, N., &amp; Yetman, C. (2018). Countrycode: An r package to convert country names and country codes.</w:t>
      </w:r>
      <w:r>
        <w:t xml:space="preserve"> </w:t>
      </w:r>
      <w:r>
        <w:rPr>
          <w:i/>
          <w:iCs/>
        </w:rPr>
        <w:t xml:space="preserve">Journal of Open Source Software</w:t>
      </w:r>
      <w:r>
        <w:t xml:space="preserve">,</w:t>
      </w:r>
      <w:r>
        <w:t xml:space="preserve"> </w:t>
      </w:r>
      <w:r>
        <w:rPr>
          <w:i/>
          <w:iCs/>
        </w:rPr>
        <w:t xml:space="preserve">3</w:t>
      </w:r>
      <w:r>
        <w:t xml:space="preserve">(28), 848.</w:t>
      </w:r>
      <w:r>
        <w:t xml:space="preserve"> </w:t>
      </w:r>
      <w:hyperlink r:id="rId246">
        <w:r>
          <w:rPr>
            <w:rStyle w:val="Hyperlink"/>
          </w:rPr>
          <w:t xml:space="preserve">https://doi.org/10.21105/joss.00848</w:t>
        </w:r>
      </w:hyperlink>
    </w:p>
    <w:bookmarkEnd w:id="247"/>
    <w:bookmarkStart w:id="249" w:name="ref-MixedModels"/>
    <w:p>
      <w:pPr>
        <w:pStyle w:val="Bibliography"/>
      </w:pPr>
      <w:r>
        <w:t xml:space="preserve">Bates, D. (2024).</w:t>
      </w:r>
      <w:r>
        <w:t xml:space="preserve"> </w:t>
      </w:r>
      <w:r>
        <w:rPr>
          <w:i/>
          <w:iCs/>
        </w:rPr>
        <w:t xml:space="preserve">MixedModels.jl Documentation</w:t>
      </w:r>
      <w:r>
        <w:t xml:space="preserve">.</w:t>
      </w:r>
      <w:r>
        <w:t xml:space="preserve"> </w:t>
      </w:r>
      <w:hyperlink r:id="rId248">
        <w:r>
          <w:rPr>
            <w:rStyle w:val="Hyperlink"/>
          </w:rPr>
          <w:t xml:space="preserve">https://juliastats.org/MixedModels.jl/stable/</w:t>
        </w:r>
      </w:hyperlink>
    </w:p>
    <w:bookmarkEnd w:id="249"/>
    <w:bookmarkStart w:id="251" w:name="ref-JSSv067i01"/>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250">
        <w:r>
          <w:rPr>
            <w:rStyle w:val="Hyperlink"/>
          </w:rPr>
          <w:t xml:space="preserve">https://doi.org/10.18637/jss.v067.i01</w:t>
        </w:r>
      </w:hyperlink>
    </w:p>
    <w:bookmarkEnd w:id="251"/>
    <w:bookmarkStart w:id="253" w:name="ref-JuliaArticle"/>
    <w:p>
      <w:pPr>
        <w:pStyle w:val="Bibliography"/>
      </w:pPr>
      <w:r>
        <w:t xml:space="preserve">Bezanson, J., Edelman, A., Karpinski, S., &amp; Shah, V. B. (2017). Julia: A fresh approach to numerical computing.</w:t>
      </w:r>
      <w:r>
        <w:t xml:space="preserve"> </w:t>
      </w:r>
      <w:r>
        <w:rPr>
          <w:i/>
          <w:iCs/>
        </w:rPr>
        <w:t xml:space="preserve">SIAM Review</w:t>
      </w:r>
      <w:r>
        <w:t xml:space="preserve">,</w:t>
      </w:r>
      <w:r>
        <w:t xml:space="preserve"> </w:t>
      </w:r>
      <w:r>
        <w:rPr>
          <w:i/>
          <w:iCs/>
        </w:rPr>
        <w:t xml:space="preserve">59</w:t>
      </w:r>
      <w:r>
        <w:t xml:space="preserve">(1), 65–98.</w:t>
      </w:r>
      <w:r>
        <w:t xml:space="preserve"> </w:t>
      </w:r>
      <w:hyperlink r:id="rId252">
        <w:r>
          <w:rPr>
            <w:rStyle w:val="Hyperlink"/>
          </w:rPr>
          <w:t xml:space="preserve">https://doi.org/10.1137/141000671</w:t>
        </w:r>
      </w:hyperlink>
    </w:p>
    <w:bookmarkEnd w:id="253"/>
    <w:bookmarkStart w:id="255" w:name="ref-Hemken"/>
    <w:p>
      <w:pPr>
        <w:pStyle w:val="Bibliography"/>
      </w:pPr>
      <w:r>
        <w:t xml:space="preserve">Hemken, D. (2023).</w:t>
      </w:r>
      <w:r>
        <w:t xml:space="preserve"> </w:t>
      </w:r>
      <w:r>
        <w:rPr>
          <w:i/>
          <w:iCs/>
        </w:rPr>
        <w:t xml:space="preserve">Statamarkdown: ’Stata’ markdown</w:t>
      </w:r>
      <w:r>
        <w:t xml:space="preserve">.</w:t>
      </w:r>
      <w:r>
        <w:t xml:space="preserve"> </w:t>
      </w:r>
      <w:hyperlink r:id="rId254">
        <w:r>
          <w:rPr>
            <w:rStyle w:val="Hyperlink"/>
          </w:rPr>
          <w:t xml:space="preserve">https://CRAN.R-project.org/package=Statamarkdown</w:t>
        </w:r>
      </w:hyperlink>
    </w:p>
    <w:bookmarkEnd w:id="255"/>
    <w:bookmarkStart w:id="25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
          <w:iCs/>
        </w:rPr>
        <w:t xml:space="preserve">The Journal of Open Source Software</w:t>
      </w:r>
      <w:r>
        <w:t xml:space="preserve">,</w:t>
      </w:r>
      <w:r>
        <w:t xml:space="preserve"> </w:t>
      </w:r>
      <w:r>
        <w:rPr>
          <w:i/>
          <w:iCs/>
        </w:rPr>
        <w:t xml:space="preserve">4</w:t>
      </w:r>
      <w:r>
        <w:t xml:space="preserve">(35), 1284.</w:t>
      </w:r>
      <w:r>
        <w:t xml:space="preserve"> </w:t>
      </w:r>
      <w:hyperlink r:id="rId256">
        <w:r>
          <w:rPr>
            <w:rStyle w:val="Hyperlink"/>
          </w:rPr>
          <w:t xml:space="preserve">https://doi.org/10.21105/joss.01284</w:t>
        </w:r>
      </w:hyperlink>
    </w:p>
    <w:bookmarkEnd w:id="257"/>
    <w:bookmarkStart w:id="259" w:name="ref-RProgram"/>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258">
        <w:r>
          <w:rPr>
            <w:rStyle w:val="Hyperlink"/>
          </w:rPr>
          <w:t xml:space="preserve">https://www.R-project.org/</w:t>
        </w:r>
      </w:hyperlink>
    </w:p>
    <w:bookmarkEnd w:id="259"/>
    <w:bookmarkStart w:id="260" w:name="ref-Schanen2021"/>
    <w:p>
      <w:pPr>
        <w:pStyle w:val="Bibliography"/>
      </w:pPr>
      <w:r>
        <w:t xml:space="preserve">Schanen, J. (2021).</w:t>
      </w:r>
      <w:r>
        <w:t xml:space="preserve"> </w:t>
      </w:r>
      <w:r>
        <w:rPr>
          <w:i/>
          <w:iCs/>
        </w:rPr>
        <w:t xml:space="preserve">Math person (</w:t>
      </w:r>
      <w:r>
        <w:rPr>
          <w:i/>
          <w:iCs/>
        </w:rPr>
        <w:t xml:space="preserve">Strogatz Prize</w:t>
      </w:r>
      <w:r>
        <w:rPr>
          <w:i/>
          <w:iCs/>
        </w:rPr>
        <w:t xml:space="preserve"> </w:t>
      </w:r>
      <w:r>
        <w:rPr>
          <w:i/>
          <w:iCs/>
        </w:rPr>
        <w:t xml:space="preserve">entry)</w:t>
      </w:r>
      <w:r>
        <w:t xml:space="preserve">. National Museum of Mathematics.</w:t>
      </w:r>
    </w:p>
    <w:bookmarkEnd w:id="260"/>
    <w:bookmarkStart w:id="261" w:name="ref-StataCorp2023"/>
    <w:p>
      <w:pPr>
        <w:pStyle w:val="Bibliography"/>
      </w:pPr>
      <w:r>
        <w:t xml:space="preserve">StataCorp. (2023).</w:t>
      </w:r>
      <w:r>
        <w:t xml:space="preserve"> </w:t>
      </w:r>
      <w:r>
        <w:rPr>
          <w:i/>
          <w:iCs/>
        </w:rPr>
        <w:t xml:space="preserve">Stata 18 mixed effects reference manual</w:t>
      </w:r>
      <w:r>
        <w:t xml:space="preserve">. Stata Press.</w:t>
      </w:r>
    </w:p>
    <w:bookmarkEnd w:id="261"/>
    <w:bookmarkStart w:id="262" w:name="ref-Thoreau1975"/>
    <w:p>
      <w:pPr>
        <w:pStyle w:val="Bibliography"/>
      </w:pPr>
      <w:r>
        <w:t xml:space="preserve">Thoreau, H. D. (1975). The commercial spirit of modern times [1837]. In J. J. Moldenhauer, E. Moser, &amp; A. C. Kern (Eds.),</w:t>
      </w:r>
      <w:r>
        <w:t xml:space="preserve"> </w:t>
      </w:r>
      <w:r>
        <w:rPr>
          <w:i/>
          <w:iCs/>
        </w:rPr>
        <w:t xml:space="preserve">Early essays and miscellanies</w:t>
      </w:r>
      <w:r>
        <w:t xml:space="preserve">. Princeton University Press.</w:t>
      </w:r>
    </w:p>
    <w:bookmarkEnd w:id="262"/>
    <w:bookmarkEnd w:id="263"/>
    <w:bookmarkEnd w:id="264"/>
    <w:sectPr w:rsidR="00505359" w:rsidRPr="00505359"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42996"/>
    <w:rsid w:val="000557FE"/>
    <w:rsid w:val="00062314"/>
    <w:rsid w:val="000932DB"/>
    <w:rsid w:val="000A55E1"/>
    <w:rsid w:val="001517DD"/>
    <w:rsid w:val="00190CEC"/>
    <w:rsid w:val="001A1D67"/>
    <w:rsid w:val="001F4343"/>
    <w:rsid w:val="00211F87"/>
    <w:rsid w:val="0025099A"/>
    <w:rsid w:val="002763BC"/>
    <w:rsid w:val="002B3E00"/>
    <w:rsid w:val="002E5F77"/>
    <w:rsid w:val="003218DB"/>
    <w:rsid w:val="00375248"/>
    <w:rsid w:val="00375D6F"/>
    <w:rsid w:val="003815BD"/>
    <w:rsid w:val="003F4E6A"/>
    <w:rsid w:val="004331FF"/>
    <w:rsid w:val="00444D5A"/>
    <w:rsid w:val="00446B5D"/>
    <w:rsid w:val="004944F0"/>
    <w:rsid w:val="004E29B3"/>
    <w:rsid w:val="005033EB"/>
    <w:rsid w:val="00505359"/>
    <w:rsid w:val="00561A3F"/>
    <w:rsid w:val="00590D07"/>
    <w:rsid w:val="00633A17"/>
    <w:rsid w:val="00647FA6"/>
    <w:rsid w:val="006829EE"/>
    <w:rsid w:val="00696B85"/>
    <w:rsid w:val="006C55A3"/>
    <w:rsid w:val="007002EF"/>
    <w:rsid w:val="00702B8F"/>
    <w:rsid w:val="00755A52"/>
    <w:rsid w:val="00756845"/>
    <w:rsid w:val="00784D58"/>
    <w:rsid w:val="007B02C3"/>
    <w:rsid w:val="007E624F"/>
    <w:rsid w:val="00813E47"/>
    <w:rsid w:val="008448A1"/>
    <w:rsid w:val="00861952"/>
    <w:rsid w:val="00872235"/>
    <w:rsid w:val="008D6863"/>
    <w:rsid w:val="009D4AB9"/>
    <w:rsid w:val="009E5C3E"/>
    <w:rsid w:val="00A00CF9"/>
    <w:rsid w:val="00A374BE"/>
    <w:rsid w:val="00A62D74"/>
    <w:rsid w:val="00A6630D"/>
    <w:rsid w:val="00A763A9"/>
    <w:rsid w:val="00A85ACE"/>
    <w:rsid w:val="00AD7C28"/>
    <w:rsid w:val="00B35AF6"/>
    <w:rsid w:val="00B35EB6"/>
    <w:rsid w:val="00B36E5F"/>
    <w:rsid w:val="00B82C0F"/>
    <w:rsid w:val="00B83905"/>
    <w:rsid w:val="00B86B75"/>
    <w:rsid w:val="00BC48D5"/>
    <w:rsid w:val="00BD7532"/>
    <w:rsid w:val="00C14694"/>
    <w:rsid w:val="00C36279"/>
    <w:rsid w:val="00C505E1"/>
    <w:rsid w:val="00C60C2F"/>
    <w:rsid w:val="00CB47D5"/>
    <w:rsid w:val="00CD22AA"/>
    <w:rsid w:val="00D1595A"/>
    <w:rsid w:val="00D4524A"/>
    <w:rsid w:val="00D742F7"/>
    <w:rsid w:val="00DF4103"/>
    <w:rsid w:val="00E04DD7"/>
    <w:rsid w:val="00E315A3"/>
    <w:rsid w:val="00EA085E"/>
    <w:rsid w:val="00F301A5"/>
    <w:rsid w:val="00F329BA"/>
    <w:rsid w:val="00F735F5"/>
    <w:rsid w:val="00F747C8"/>
    <w:rsid w:val="00FB5110"/>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B35EB6"/>
    <w:pPr>
      <w:keepNext/>
      <w:keepLines/>
      <w:spacing w:after="12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35EB6"/>
    <w:pPr>
      <w:keepNext/>
      <w:keepLines/>
      <w:spacing w:after="12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B35EB6"/>
    <w:pPr>
      <w:keepNext/>
      <w:keepLines/>
      <w:spacing w:after="12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3905"/>
    <w:pPr>
      <w:spacing w:after="36" w:before="36"/>
    </w:p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A085E"/>
    <w:pPr>
      <w:spacing w:after="240" w:before="240"/>
      <w:ind w:left="72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4" Target="media/rId12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2024-10-15T15:17:19Z</dcterms:created>
  <dcterms:modified xsi:type="dcterms:W3CDTF">2024-10-15T15:17:19Z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2024-10-15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