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54"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53"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47" w:name="run-the-model"/>
    <w:p>
      <w:pPr>
        <w:pStyle w:val="Heading4"/>
      </w:pPr>
      <w:r>
        <w:t xml:space="preserve">4.2.0.2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47"/>
    <w:p>
      <w:pPr>
        <w:pStyle w:val="Heading3"/>
      </w:pPr>
      <w:r>
        <w:t xml:space="preserve">R</w:t>
      </w:r>
    </w:p>
    <w:bookmarkStart w:id="48" w:name="get-the-data-1"/>
    <w:p>
      <w:pPr>
        <w:pStyle w:val="Heading4"/>
      </w:pPr>
      <w:r>
        <w:t xml:space="preserve">4.2.0.3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48"/>
    <w:bookmarkStart w:id="49" w:name="run-the-model-1"/>
    <w:p>
      <w:pPr>
        <w:pStyle w:val="Heading4"/>
      </w:pPr>
      <w:r>
        <w:t xml:space="preserve">4.2.0.4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49"/>
    <w:p>
      <w:pPr>
        <w:pStyle w:val="Heading3"/>
      </w:pPr>
      <w:r>
        <w:t xml:space="preserve">Julia</w:t>
      </w:r>
    </w:p>
    <w:bookmarkStart w:id="50" w:name="get-the-data-2"/>
    <w:p>
      <w:pPr>
        <w:pStyle w:val="Heading4"/>
      </w:pPr>
      <w:r>
        <w:t xml:space="preserve">4.2.0.5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0"/>
    <w:bookmarkStart w:id="51" w:name="change-country-to-categorical"/>
    <w:p>
      <w:pPr>
        <w:pStyle w:val="Heading4"/>
      </w:pPr>
      <w:r>
        <w:t xml:space="preserve">4.2.0.6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1"/>
    <w:bookmarkStart w:id="52" w:name="run-the-model-2"/>
    <w:p>
      <w:pPr>
        <w:pStyle w:val="Heading4"/>
      </w:pPr>
      <w:r>
        <w:t xml:space="preserve">4.2.0.7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52"/>
    <w:bookmarkEnd w:id="53"/>
    <w:bookmarkEnd w:id="54"/>
    <w:bookmarkStart w:id="77" w:name="longitudinal-multilevel-models"/>
    <w:p>
      <w:pPr>
        <w:pStyle w:val="Heading1"/>
      </w:pPr>
      <w:r>
        <w:t xml:space="preserve">5. Longitudinal Multilevel Models</w:t>
      </w:r>
    </w:p>
    <w:bookmarkStart w:id="57"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57"/>
    <w:bookmarkStart w:id="59" w:name="the-equation-2"/>
    <w:p>
      <w:pPr>
        <w:pStyle w:val="Heading2"/>
      </w:pPr>
      <w:r>
        <w:t xml:space="preserve">5.2 The Equation</w:t>
      </w:r>
    </w:p>
    <w:p>
      <w:pPr>
        <w:pStyle w:val="FirstParagraph"/>
      </w:pPr>
      <w:bookmarkStart w:id="5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58"/>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59"/>
    <w:bookmarkStart w:id="76" w:name="run-models-2"/>
    <w:p>
      <w:pPr>
        <w:pStyle w:val="Heading2"/>
      </w:pPr>
      <w:r>
        <w:t xml:space="preserve">5.3 Run Models</w:t>
      </w:r>
    </w:p>
    <w:p>
      <w:pPr>
        <w:pStyle w:val="Heading3"/>
      </w:pPr>
      <w:r>
        <w:t xml:space="preserve">Stata</w:t>
      </w:r>
    </w:p>
    <w:bookmarkStart w:id="60"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0"/>
    <w:bookmarkStart w:id="63" w:name="run-the-model-3"/>
    <w:p>
      <w:pPr>
        <w:pStyle w:val="Heading4"/>
      </w:pPr>
      <w:r>
        <w:t xml:space="preserve">5.3.0.2 Run The Model</w:t>
      </w:r>
    </w:p>
    <w:bookmarkStart w:id="61"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1"/>
    <w:bookmarkStart w:id="62"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      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c.t#c.physical_punishment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2"/>
    <w:bookmarkEnd w:id="63"/>
    <w:p>
      <w:pPr>
        <w:pStyle w:val="Heading3"/>
      </w:pPr>
      <w:r>
        <w:t xml:space="preserve">R</w:t>
      </w:r>
    </w:p>
    <w:bookmarkStart w:id="64"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4"/>
    <w:bookmarkStart w:id="67" w:name="run-the-model-4"/>
    <w:p>
      <w:pPr>
        <w:pStyle w:val="Heading4"/>
      </w:pPr>
      <w:r>
        <w:t xml:space="preserve">5.3.0.4 Run The Model</w:t>
      </w:r>
    </w:p>
    <w:bookmarkStart w:id="65"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5"/>
    <w:bookmarkStart w:id="66"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6"/>
    <w:bookmarkEnd w:id="67"/>
    <w:p>
      <w:pPr>
        <w:pStyle w:val="Heading3"/>
      </w:pPr>
      <w:r>
        <w:t xml:space="preserve">Julia</w:t>
      </w:r>
    </w:p>
    <w:bookmarkStart w:id="68"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68"/>
    <w:bookmarkStart w:id="72" w:name="run-the-model-5"/>
    <w:p>
      <w:pPr>
        <w:pStyle w:val="Heading4"/>
      </w:pPr>
      <w:r>
        <w:t xml:space="preserve">5.3.0.6 Run The Model</w:t>
      </w:r>
    </w:p>
    <w:bookmarkStart w:id="69"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70"/>
    <w:bookmarkStart w:id="71"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71"/>
    <w:bookmarkEnd w:id="72"/>
    <w:bookmarkStart w:id="75" w:name="refs"/>
    <w:bookmarkStart w:id="73" w:name="ref-Schanen2021"/>
    <w:p>
      <w:pPr>
        <w:pStyle w:val="Bibliography"/>
      </w:pPr>
      <w:r>
        <w:t xml:space="preserve">Schanen, J. (2021).</w:t>
      </w:r>
      <w:r>
        <w:t xml:space="preserve"> </w:t>
      </w:r>
      <w:r>
        <w:rPr>
          <w:iCs/>
          <w:i/>
        </w:rPr>
        <w:t xml:space="preserve">Math person (strogatz prize entry)</w:t>
      </w:r>
      <w:r>
        <w:t xml:space="preserve">. National Museum of Mathematics.</w:t>
      </w:r>
    </w:p>
    <w:bookmarkEnd w:id="73"/>
    <w:bookmarkStart w:id="74" w:name="ref-Thoreau1975"/>
    <w:p>
      <w:pPr>
        <w:pStyle w:val="Bibliography"/>
      </w:pPr>
      <w:r>
        <w:t xml:space="preserve">Thoreau, H. D. (1975). The commercial spirit of modern times. In J. J. Moldenhauer, E. Moser, &amp; A. C. Kern (Eds.),</w:t>
      </w:r>
      <w:r>
        <w:t xml:space="preserve"> </w:t>
      </w:r>
      <w:r>
        <w:rPr>
          <w:iCs/>
          <w:i/>
        </w:rPr>
        <w:t xml:space="preserve">Early essays and miscellanies</w:t>
      </w:r>
      <w:r>
        <w:t xml:space="preserve">. Princeton University Press.</w:t>
      </w:r>
    </w:p>
    <w:bookmarkEnd w:id="74"/>
    <w:bookmarkEnd w:id="75"/>
    <w:bookmarkEnd w:id="76"/>
    <w:bookmarkEnd w:id="7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2024-04-02T15:45:55Z</dcterms:created>
  <dcterms:modified xsi:type="dcterms:W3CDTF">2024-04-02T15:45:55Z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2024-04-02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