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4.png" ContentType="image/png"/>
  <Override PartName="/word/media/rId69.png" ContentType="image/png"/>
  <Override PartName="/word/media/rId96.png" ContentType="image/png"/>
  <Override PartName="/word/media/rId62.png" ContentType="image/png"/>
  <Override PartName="/word/media/rId82.png" ContentType="image/png"/>
  <Override PartName="/word/media/rId28.png" ContentType="image/png"/>
  <Override PartName="/word/media/rId32.png" ContentType="image/png"/>
  <Override PartName="/word/media/rId131.png" ContentType="image/png"/>
  <Override PartName="/word/media/rId11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Subtitle"/>
      </w:pPr>
      <w:r>
        <w:t xml:space="preserve">Using</w:t>
      </w:r>
      <w:r>
        <w:t xml:space="preserve"> </w:t>
      </w:r>
      <w:r>
        <w:t xml:space="preserve">Multilevel</w:t>
      </w:r>
      <w:r>
        <w:t xml:space="preserve"> </w:t>
      </w:r>
      <w:r>
        <w:t xml:space="preserve">Models</w:t>
      </w:r>
      <w:r>
        <w:t xml:space="preserve"> </w:t>
      </w:r>
      <w:r>
        <w:t xml:space="preserve">To</w:t>
      </w:r>
      <w:r>
        <w:t xml:space="preserve"> </w:t>
      </w:r>
      <w:r>
        <w:t xml:space="preserve">Thread</w:t>
      </w:r>
      <w:r>
        <w:t xml:space="preserve"> </w:t>
      </w:r>
      <w:r>
        <w:t xml:space="preserve">The</w:t>
      </w:r>
      <w:r>
        <w:t xml:space="preserve"> </w:t>
      </w:r>
      <w:r>
        <w:t xml:space="preserve">Needle</w:t>
      </w:r>
      <w:r>
        <w:t xml:space="preserve"> </w:t>
      </w:r>
      <w:r>
        <w:t xml:space="preserve">Between</w:t>
      </w:r>
      <w:r>
        <w:t xml:space="preserve"> </w:t>
      </w:r>
      <w:r>
        <w:t xml:space="preserve">Universality</w:t>
      </w:r>
      <w:r>
        <w:t xml:space="preserve"> </w:t>
      </w:r>
      <w:r>
        <w:t xml:space="preserve">and</w:t>
      </w:r>
      <w:r>
        <w:t xml:space="preserve"> </w:t>
      </w:r>
      <w:r>
        <w:t xml:space="preserve">Cultural</w:t>
      </w:r>
      <w:r>
        <w:t xml:space="preserve"> </w:t>
      </w:r>
      <w:r>
        <w:t xml:space="preserve">Specificity</w:t>
      </w:r>
      <w:r>
        <w:t xml:space="preserve"> </w:t>
      </w:r>
      <w:r>
        <w:t xml:space="preserve">in</w:t>
      </w:r>
      <w:r>
        <w:t xml:space="preserve"> </w:t>
      </w:r>
      <w:r>
        <w:t xml:space="preserve">Cross</w:t>
      </w:r>
      <w:r>
        <w:t xml:space="preserve"> </w:t>
      </w:r>
      <w:r>
        <w:t xml:space="preserve">Cultural</w:t>
      </w:r>
      <w:r>
        <w:t xml:space="preserve"> </w:t>
      </w:r>
      <w:r>
        <w:t xml:space="preserve">Research</w:t>
      </w:r>
    </w:p>
    <w:p>
      <w:pPr>
        <w:pStyle w:val="Author"/>
      </w:pPr>
      <w:r>
        <w:t xml:space="preserve">Andrew</w:t>
      </w:r>
      <w:r>
        <w:t xml:space="preserve"> </w:t>
      </w:r>
      <w:r>
        <w:t xml:space="preserve">Grogan-Kaylor</w:t>
      </w:r>
    </w:p>
    <w:p>
      <w:pPr>
        <w:pStyle w:val="Date"/>
      </w:pPr>
      <w:r>
        <w:t xml:space="preserve">12/21/22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Madhur Singh, and Tong Suo. Lastly, I’d like to thank a few people I’ve ever met:</w:t>
      </w:r>
      <w:r>
        <w:t xml:space="preserve"> </w:t>
      </w:r>
      <w:r>
        <w:rPr>
          <w:iCs/>
          <w:i/>
        </w:rPr>
        <w:t xml:space="preserve">The Pogues</w:t>
      </w:r>
      <w:r>
        <w:t xml:space="preserve"> </w:t>
      </w:r>
      <w:r>
        <w:t xml:space="preserve">and Pau Dones for their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2"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2"/>
    <w:bookmarkStart w:id="37" w:name="introduction"/>
    <w:p>
      <w:pPr>
        <w:pStyle w:val="Heading1"/>
      </w:pPr>
      <w:r>
        <w:t xml:space="preserve">2. Introduction</w:t>
      </w:r>
    </w:p>
    <w:bookmarkStart w:id="23"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3"/>
    <w:bookmarkStart w:id="24"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4"/>
    <w:bookmarkStart w:id="25"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5"/>
    <w:bookmarkStart w:id="26"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6"/>
    <w:bookmarkStart w:id="27"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27"/>
    <w:bookmarkStart w:id="36"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1" w:name="fig-variation1"/>
          <w:p>
            <w:pPr>
              <w:pStyle w:val="Figure"/>
              <w:jc w:val="center"/>
            </w:pPr>
            <w:r>
              <w:drawing>
                <wp:inline>
                  <wp:extent cx="5943600" cy="7132320"/>
                  <wp:effectExtent b="0" l="0" r="0" t="0"/>
                  <wp:docPr descr="" title="" id="29" name="Picture"/>
                  <a:graphic>
                    <a:graphicData uri="http://schemas.openxmlformats.org/drawingml/2006/picture">
                      <pic:pic>
                        <pic:nvPicPr>
                          <pic:cNvPr descr="./intro_files/figure-docx/fig-variation1-1.png" id="30" name="Picture"/>
                          <pic:cNvPicPr>
                            <a:picLocks noChangeArrowheads="1" noChangeAspect="1"/>
                          </pic:cNvPicPr>
                        </pic:nvPicPr>
                        <pic:blipFill>
                          <a:blip r:embed="rId28"/>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1"/>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5" w:name="fig-variation2"/>
          <w:p>
            <w:pPr>
              <w:pStyle w:val="Figure"/>
              <w:jc w:val="center"/>
            </w:pPr>
            <w:r>
              <w:drawing>
                <wp:inline>
                  <wp:extent cx="5943600" cy="7132320"/>
                  <wp:effectExtent b="0" l="0" r="0" t="0"/>
                  <wp:docPr descr="" title="" id="33" name="Picture"/>
                  <a:graphic>
                    <a:graphicData uri="http://schemas.openxmlformats.org/drawingml/2006/picture">
                      <pic:pic>
                        <pic:nvPicPr>
                          <pic:cNvPr descr="./intro_files/figure-docx/fig-variation2-1.png" id="34" name="Picture"/>
                          <pic:cNvPicPr>
                            <a:picLocks noChangeArrowheads="1" noChangeAspect="1"/>
                          </pic:cNvPicPr>
                        </pic:nvPicPr>
                        <pic:blipFill>
                          <a:blip r:embed="rId3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5"/>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6"/>
    <w:bookmarkEnd w:id="37"/>
    <w:bookmarkStart w:id="43"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38"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38"/>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data"/>
          <w:p>
            <w:pPr>
              <w:pStyle w:val="Figure"/>
              <w:jc w:val="center"/>
            </w:pPr>
            <w:r>
              <w:drawing>
                <wp:inline>
                  <wp:extent cx="5943600" cy="7132320"/>
                  <wp:effectExtent b="0" l="0" r="0" t="0"/>
                  <wp:docPr descr="" title="" id="40" name="Picture"/>
                  <a:graphic>
                    <a:graphicData uri="http://schemas.openxmlformats.org/drawingml/2006/picture">
                      <pic:pic>
                        <pic:nvPicPr>
                          <pic:cNvPr descr="./simulated-multi-country-data_files/figure-docx/fig-data-1.png" id="41" name="Picture"/>
                          <pic:cNvPicPr>
                            <a:picLocks noChangeArrowheads="1" noChangeAspect="1"/>
                          </pic:cNvPicPr>
                        </pic:nvPicPr>
                        <pic:blipFill>
                          <a:blip r:embed="rId3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2"/>
        </w:tc>
      </w:tr>
    </w:tbl>
    <w:bookmarkEnd w:id="43"/>
    <w:bookmarkStart w:id="46"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5"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4"/>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5"/>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6"/>
    <w:bookmarkStart w:id="51" w:name="conceptual-framework"/>
    <w:p>
      <w:pPr>
        <w:pStyle w:val="Heading1"/>
      </w:pPr>
      <w:r>
        <w:t xml:space="preserve">5. Conceptual Framework</w:t>
      </w:r>
    </w:p>
    <w:bookmarkStart w:id="48"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47" w:name="fig-conceptual"/>
          <w:p>
            <w:pPr>
              <w:jc w:val="center"/>
            </w:pPr>
            <w:pPr>
              <w:jc w:val="start"/>
              <w:spacing w:before="200"/>
              <w:pStyle w:val="ImageCaption"/>
            </w:pPr>
            <w:r>
              <w:t xml:space="preserve">Figure 5.1: Conceptual Framework</w:t>
            </w:r>
          </w:p>
          <w:bookmarkEnd w:id="47"/>
        </w:tc>
      </w:tr>
    </w:tbl>
    <w:bookmarkEnd w:id="48"/>
    <w:bookmarkStart w:id="50" w:name="X0e7dcdd16485a311f121729c113b57a15cc9f9e"/>
    <w:p>
      <w:pPr>
        <w:pStyle w:val="Heading2"/>
      </w:pPr>
      <w:r>
        <w:t xml:space="preserve">5.2 Variables and Processes at Multiple Levels</w:t>
      </w:r>
    </w:p>
    <w:bookmarkStart w:id="49"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49"/>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0"/>
    <w:bookmarkEnd w:id="51"/>
    <w:bookmarkStart w:id="111" w:name="the-cross-sectional-multilevel-model"/>
    <w:p>
      <w:pPr>
        <w:pStyle w:val="Heading1"/>
      </w:pPr>
      <w:r>
        <w:t xml:space="preserve">6. The Cross Sectional Multilevel Model</w:t>
      </w:r>
    </w:p>
    <w:bookmarkStart w:id="61"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57"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3" w:name="level-1-individuals"/>
    <w:p>
      <w:pPr>
        <w:pStyle w:val="Heading4"/>
      </w:pPr>
      <w:r>
        <w:t xml:space="preserve">6.1.1.1 Level 1 (Individuals)</w:t>
      </w:r>
    </w:p>
    <w:p>
      <w:pPr>
        <w:pStyle w:val="FirstParagraph"/>
      </w:pPr>
      <w:bookmarkStart w:id="52"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2"/>
    </w:p>
    <w:bookmarkEnd w:id="53"/>
    <w:bookmarkStart w:id="56" w:name="level-2-countries"/>
    <w:p>
      <w:pPr>
        <w:pStyle w:val="Heading4"/>
      </w:pPr>
      <w:r>
        <w:t xml:space="preserve">6.1.1.2 Level 2 (Countries)</w:t>
      </w:r>
    </w:p>
    <w:p>
      <w:pPr>
        <w:pStyle w:val="FirstParagraph"/>
      </w:pPr>
      <w:bookmarkStart w:id="54"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4"/>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5"/>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6"/>
    <w:bookmarkEnd w:id="57"/>
    <w:bookmarkStart w:id="60"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58"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58"/>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59"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59"/>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0"/>
    <w:bookmarkEnd w:id="61"/>
    <w:bookmarkStart w:id="67" w:name="sec-pvalues"/>
    <w:p>
      <w:pPr>
        <w:pStyle w:val="Heading2"/>
      </w:pPr>
      <w:r>
        <w:t xml:space="preserve">6.2 Estimating Standard Errors And p Values</w:t>
      </w:r>
    </w:p>
    <w:bookmarkStart w:id="65"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3" name="Picture"/>
                  <a:graphic>
                    <a:graphicData uri="http://schemas.openxmlformats.org/drawingml/2006/picture">
                      <pic:pic>
                        <pic:nvPicPr>
                          <pic:cNvPr descr="./cross-sectional_files/figure-docx/unnamed-chunk-3-1.png" id="64" name="Picture"/>
                          <pic:cNvPicPr>
                            <a:picLocks noChangeArrowheads="1" noChangeAspect="1"/>
                          </pic:cNvPicPr>
                        </pic:nvPicPr>
                        <pic:blipFill>
                          <a:blip r:embed="rId6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5"/>
    <w:bookmarkStart w:id="66"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6"/>
    <w:bookmarkEnd w:id="67"/>
    <w:bookmarkStart w:id="86"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68" w:name="X9c61d6bfc65b6c8cf49bd358dee371dd4454fe7"/>
    <w:p>
      <w:pPr>
        <w:pStyle w:val="Heading3"/>
      </w:pPr>
      <w:r>
        <w:t xml:space="preserve">6.3.1 Use Some Data Simulated For This Particular Example</w:t>
      </w:r>
    </w:p>
    <w:bookmarkEnd w:id="68"/>
    <w:bookmarkStart w:id="79" w:name="graphs"/>
    <w:p>
      <w:pPr>
        <w:pStyle w:val="Heading3"/>
      </w:pPr>
      <w:r>
        <w:t xml:space="preserve">6.3.2 Graphs</w:t>
      </w:r>
    </w:p>
    <w:bookmarkStart w:id="73"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2" w:name="fig-naive"/>
          <w:p>
            <w:pPr>
              <w:pStyle w:val="Figure"/>
              <w:jc w:val="center"/>
            </w:pPr>
            <w:r>
              <w:drawing>
                <wp:inline>
                  <wp:extent cx="5943600" cy="3566160"/>
                  <wp:effectExtent b="0" l="0" r="0" t="0"/>
                  <wp:docPr descr="" title="" id="70" name="Picture"/>
                  <a:graphic>
                    <a:graphicData uri="http://schemas.openxmlformats.org/drawingml/2006/picture">
                      <pic:pic>
                        <pic:nvPicPr>
                          <pic:cNvPr descr="./cross-sectional_files/figure-docx/fig-naive-1.png" id="71"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2"/>
        </w:tc>
      </w:tr>
    </w:tbl>
    <w:bookmarkEnd w:id="73"/>
    <w:bookmarkStart w:id="78"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77" w:name="fig-aware"/>
          <w:p>
            <w:pPr>
              <w:pStyle w:val="Figure"/>
              <w:jc w:val="center"/>
            </w:pPr>
            <w:r>
              <w:drawing>
                <wp:inline>
                  <wp:extent cx="5943600" cy="3566160"/>
                  <wp:effectExtent b="0" l="0" r="0" t="0"/>
                  <wp:docPr descr="" title="" id="75" name="Picture"/>
                  <a:graphic>
                    <a:graphicData uri="http://schemas.openxmlformats.org/drawingml/2006/picture">
                      <pic:pic>
                        <pic:nvPicPr>
                          <pic:cNvPr descr="./cross-sectional_files/figure-docx/fig-aware-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77"/>
        </w:tc>
      </w:tr>
    </w:tbl>
    <w:bookmarkEnd w:id="78"/>
    <w:bookmarkEnd w:id="79"/>
    <w:bookmarkStart w:id="81" w:name="regressions"/>
    <w:p>
      <w:pPr>
        <w:pStyle w:val="Heading3"/>
      </w:pPr>
      <w:r>
        <w:t xml:space="preserve">6.3.3 Regressions</w:t>
      </w:r>
    </w:p>
    <w:bookmarkStart w:id="80"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0"/>
    <w:bookmarkEnd w:id="81"/>
    <w:bookmarkStart w:id="85"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3" name="Picture"/>
                  <a:graphic>
                    <a:graphicData uri="http://schemas.openxmlformats.org/drawingml/2006/picture">
                      <pic:pic>
                        <pic:nvPicPr>
                          <pic:cNvPr descr="./cross-sectional_files/figure-docx/unnamed-chunk-9-1.png" id="84" name="Picture"/>
                          <pic:cNvPicPr>
                            <a:picLocks noChangeArrowheads="1" noChangeAspect="1"/>
                          </pic:cNvPicPr>
                        </pic:nvPicPr>
                        <pic:blipFill>
                          <a:blip r:embed="rId8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5"/>
    <w:bookmarkEnd w:id="86"/>
    <w:bookmarkStart w:id="87"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87"/>
    <w:bookmarkStart w:id="88"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88"/>
    <w:bookmarkStart w:id="89"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89"/>
    <w:bookmarkStart w:id="109"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0"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0"/>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1"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1"/>
    <w:bookmarkStart w:id="93"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2"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2"/>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3"/>
    <w:bookmarkStart w:id="100"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4"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4"/>
    </w:p>
    <w:p>
      <w:pPr>
        <w:pStyle w:val="FirstParagraph"/>
      </w:pPr>
      <w:r>
        <w:t xml:space="preserve">Heuristically:</w:t>
      </w:r>
    </w:p>
    <w:p>
      <w:pPr>
        <w:pStyle w:val="BodyText"/>
      </w:pPr>
      <w:bookmarkStart w:id="95"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5"/>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99" w:name="fig-variationsources"/>
          <w:p>
            <w:pPr>
              <w:pStyle w:val="Figure"/>
              <w:jc w:val="center"/>
            </w:pPr>
            <w:r>
              <w:drawing>
                <wp:inline>
                  <wp:extent cx="5943600" cy="7132320"/>
                  <wp:effectExtent b="0" l="0" r="0" t="0"/>
                  <wp:docPr descr="" title="" id="97" name="Picture"/>
                  <a:graphic>
                    <a:graphicData uri="http://schemas.openxmlformats.org/drawingml/2006/picture">
                      <pic:pic>
                        <pic:nvPicPr>
                          <pic:cNvPr descr="./cross-sectional_files/figure-docx/fig-variationsources-1.png" id="98" name="Picture"/>
                          <pic:cNvPicPr>
                            <a:picLocks noChangeArrowheads="1" noChangeAspect="1"/>
                          </pic:cNvPicPr>
                        </pic:nvPicPr>
                        <pic:blipFill>
                          <a:blip r:embed="rId96"/>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99"/>
        </w:tc>
      </w:tr>
    </w:tbl>
    <w:bookmarkEnd w:id="100"/>
    <w:bookmarkStart w:id="101"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1"/>
    <w:bookmarkStart w:id="104"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2"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2"/>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3"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3"/>
    </w:p>
    <w:bookmarkEnd w:id="104"/>
    <w:bookmarkStart w:id="105"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5"/>
    <w:bookmarkStart w:id="107"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6"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6"/>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07"/>
    <w:bookmarkStart w:id="108"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08"/>
    <w:bookmarkEnd w:id="109"/>
    <w:bookmarkStart w:id="110"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0"/>
    <w:bookmarkEnd w:id="111"/>
    <w:bookmarkStart w:id="143"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2"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2"/>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3"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3"/>
    <w:p>
      <w:pPr>
        <w:pStyle w:val="BodyText"/>
      </w:pPr>
      <w:r>
        <w:t xml:space="preserve">While it is less common, we could then easily add additional clustering to this longitudinal model, for example, clustering of individuals inside social units.</w:t>
      </w:r>
    </w:p>
    <w:bookmarkStart w:id="114"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4"/>
    <w:bookmarkStart w:id="122"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5"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5"/>
    <w:p>
      <w:pPr>
        <w:pStyle w:val="BodyText"/>
      </w:pPr>
      <w:r>
        <w:t xml:space="preserve"> </w:t>
      </w:r>
    </w:p>
    <w:bookmarkStart w:id="116"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6"/>
    <w:bookmarkStart w:id="117"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17"/>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data2"/>
          <w:p>
            <w:pPr>
              <w:pStyle w:val="Figure"/>
              <w:jc w:val="center"/>
            </w:pPr>
            <w:r>
              <w:drawing>
                <wp:inline>
                  <wp:extent cx="5943600" cy="4754880"/>
                  <wp:effectExtent b="0" l="0" r="0" t="0"/>
                  <wp:docPr descr="" title="" id="119" name="Picture"/>
                  <a:graphic>
                    <a:graphicData uri="http://schemas.openxmlformats.org/drawingml/2006/picture">
                      <pic:pic>
                        <pic:nvPicPr>
                          <pic:cNvPr descr="./longitudinal_files/figure-docx/fig-data2-1.png" id="120" name="Picture"/>
                          <pic:cNvPicPr>
                            <a:picLocks noChangeArrowheads="1" noChangeAspect="1"/>
                          </pic:cNvPicPr>
                        </pic:nvPicPr>
                        <pic:blipFill>
                          <a:blip r:embed="rId11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1"/>
        </w:tc>
      </w:tr>
    </w:tbl>
    <w:bookmarkEnd w:id="122"/>
    <w:bookmarkStart w:id="124"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4"/>
    <w:bookmarkStart w:id="125"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5"/>
    <w:bookmarkStart w:id="126"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6"/>
    <w:bookmarkStart w:id="142" w:name="causality"/>
    <w:p>
      <w:pPr>
        <w:pStyle w:val="Heading2"/>
      </w:pPr>
      <w:r>
        <w:t xml:space="preserve">7.5 Causality</w:t>
      </w:r>
    </w:p>
    <w:bookmarkStart w:id="127"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27"/>
    <w:bookmarkStart w:id="130"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28" w:name="fig-causality"/>
          <w:p>
            <w:pPr>
              <w:jc w:val="center"/>
            </w:pPr>
            <w:pPr>
              <w:jc w:val="start"/>
              <w:spacing w:before="200"/>
              <w:pStyle w:val="ImageCaption"/>
            </w:pPr>
            <w:r>
              <w:t xml:space="preserve">Figure 7.2: Formal Criteria of Causality</w:t>
            </w:r>
          </w:p>
          <w:bookmarkEnd w:id="128"/>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29" w:name="fig-causalitysubstantive"/>
          <w:p>
            <w:pPr>
              <w:jc w:val="center"/>
            </w:pPr>
            <w:pPr>
              <w:jc w:val="start"/>
              <w:spacing w:before="200"/>
              <w:pStyle w:val="ImageCaption"/>
            </w:pPr>
            <w:r>
              <w:t xml:space="preserve">Figure 7.3: Formal Criteria of Causality</w:t>
            </w:r>
          </w:p>
          <w:bookmarkEnd w:id="129"/>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0"/>
    <w:bookmarkStart w:id="135"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4" w:name="fig-Simpson"/>
          <w:p>
            <w:pPr>
              <w:pStyle w:val="Figure"/>
              <w:jc w:val="center"/>
            </w:pPr>
            <w:r>
              <w:drawing>
                <wp:inline>
                  <wp:extent cx="5943600" cy="3566160"/>
                  <wp:effectExtent b="0" l="0" r="0" t="0"/>
                  <wp:docPr descr="" title="" id="132" name="Picture"/>
                  <a:graphic>
                    <a:graphicData uri="http://schemas.openxmlformats.org/drawingml/2006/picture">
                      <pic:pic>
                        <pic:nvPicPr>
                          <pic:cNvPr descr="./longitudinal_files/figure-docx/fig-Simpson-1.png" id="133" name="Picture"/>
                          <pic:cNvPicPr>
                            <a:picLocks noChangeArrowheads="1" noChangeAspect="1"/>
                          </pic:cNvPicPr>
                        </pic:nvPicPr>
                        <pic:blipFill>
                          <a:blip r:embed="rId131"/>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4"/>
        </w:tc>
      </w:tr>
    </w:tbl>
    <w:bookmarkEnd w:id="135"/>
    <w:bookmarkStart w:id="137"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6"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6"/>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37"/>
    <w:bookmarkStart w:id="139" w:name="fixed-effects-regression"/>
    <w:p>
      <w:pPr>
        <w:pStyle w:val="Heading3"/>
      </w:pPr>
      <w:r>
        <w:t xml:space="preserve">7.5.5 Fixed Effects Regression</w:t>
      </w:r>
    </w:p>
    <w:p>
      <w:pPr>
        <w:pStyle w:val="FirstParagraph"/>
      </w:pPr>
      <w:r>
        <w:t xml:space="preserve">I can use the same equation:</w:t>
      </w:r>
    </w:p>
    <w:p>
      <w:pPr>
        <w:pStyle w:val="BodyText"/>
      </w:pPr>
      <w:bookmarkStart w:id="138"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38"/>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39"/>
    <w:bookmarkStart w:id="141"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0"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0"/>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1"/>
    <w:bookmarkEnd w:id="142"/>
    <w:bookmarkEnd w:id="143"/>
    <w:bookmarkStart w:id="144"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4"/>
    <w:bookmarkStart w:id="261" w:name="references"/>
    <w:p>
      <w:pPr>
        <w:pStyle w:val="Heading1"/>
      </w:pPr>
      <w:r>
        <w:t xml:space="preserve">References</w:t>
      </w:r>
    </w:p>
    <w:bookmarkStart w:id="260" w:name="refs"/>
    <w:bookmarkStart w:id="145"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5"/>
    <w:bookmarkStart w:id="146" w:name="ref-Allison2009"/>
    <w:p>
      <w:pPr>
        <w:pStyle w:val="Bibliography"/>
      </w:pPr>
      <w:r>
        <w:t xml:space="preserve">Allison, P. (2009).</w:t>
      </w:r>
      <w:r>
        <w:t xml:space="preserve"> </w:t>
      </w:r>
      <w:r>
        <w:rPr>
          <w:iCs/>
          <w:i/>
        </w:rPr>
        <w:t xml:space="preserve">Fixed effects regression models</w:t>
      </w:r>
      <w:r>
        <w:t xml:space="preserve">. Sage Publishing.</w:t>
      </w:r>
    </w:p>
    <w:bookmarkEnd w:id="146"/>
    <w:bookmarkStart w:id="148"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47">
        <w:r>
          <w:rPr>
            <w:rStyle w:val="Hyperlink"/>
          </w:rPr>
          <w:t xml:space="preserve">https://doi.org/10.1177/1094428119877457</w:t>
        </w:r>
      </w:hyperlink>
    </w:p>
    <w:bookmarkEnd w:id="148"/>
    <w:bookmarkStart w:id="149"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49"/>
    <w:bookmarkStart w:id="151"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0">
        <w:r>
          <w:rPr>
            <w:rStyle w:val="Hyperlink"/>
          </w:rPr>
          <w:t xml:space="preserve">https://doi.org/10.1016/j.jml.2012.11.001</w:t>
        </w:r>
      </w:hyperlink>
    </w:p>
    <w:bookmarkEnd w:id="151"/>
    <w:bookmarkStart w:id="153"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2">
        <w:r>
          <w:rPr>
            <w:rStyle w:val="Hyperlink"/>
          </w:rPr>
          <w:t xml:space="preserve">https://doi.org/10.1016/j.childyouth.2020.104780</w:t>
        </w:r>
      </w:hyperlink>
    </w:p>
    <w:bookmarkEnd w:id="153"/>
    <w:bookmarkStart w:id="155"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4">
        <w:r>
          <w:rPr>
            <w:rStyle w:val="Hyperlink"/>
          </w:rPr>
          <w:t xml:space="preserve">https://doi.org/10.1136/bmj.308.6933.896</w:t>
        </w:r>
      </w:hyperlink>
    </w:p>
    <w:bookmarkEnd w:id="155"/>
    <w:bookmarkStart w:id="157"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6">
        <w:r>
          <w:rPr>
            <w:rStyle w:val="Hyperlink"/>
          </w:rPr>
          <w:t xml:space="preserve">https://doi.org/10.1016/j.tics.2022.09.015</w:t>
        </w:r>
      </w:hyperlink>
    </w:p>
    <w:bookmarkEnd w:id="157"/>
    <w:bookmarkStart w:id="158"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58"/>
    <w:bookmarkStart w:id="160"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59">
        <w:r>
          <w:rPr>
            <w:rStyle w:val="Hyperlink"/>
          </w:rPr>
          <w:t xml:space="preserve">https://doi.org/10.1002/casp.786</w:t>
        </w:r>
      </w:hyperlink>
    </w:p>
    <w:bookmarkEnd w:id="160"/>
    <w:bookmarkStart w:id="161"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1"/>
    <w:bookmarkStart w:id="163"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2">
        <w:r>
          <w:rPr>
            <w:rStyle w:val="Hyperlink"/>
          </w:rPr>
          <w:t xml:space="preserve">https://doi.org/10.33043/JSACP.5.2.26-41</w:t>
        </w:r>
      </w:hyperlink>
    </w:p>
    <w:bookmarkEnd w:id="163"/>
    <w:bookmarkStart w:id="165"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4">
        <w:r>
          <w:rPr>
            <w:rStyle w:val="Hyperlink"/>
          </w:rPr>
          <w:t xml:space="preserve">https://doi.org/10.1037/0012-1649.32.6.1065</w:t>
        </w:r>
      </w:hyperlink>
    </w:p>
    <w:bookmarkEnd w:id="165"/>
    <w:bookmarkStart w:id="167"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6">
        <w:r>
          <w:rPr>
            <w:rStyle w:val="Hyperlink"/>
          </w:rPr>
          <w:t xml:space="preserve">https://doi.org/10.1177/17456916211037670</w:t>
        </w:r>
      </w:hyperlink>
    </w:p>
    <w:bookmarkEnd w:id="167"/>
    <w:bookmarkStart w:id="169"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68">
        <w:r>
          <w:rPr>
            <w:rStyle w:val="Hyperlink"/>
          </w:rPr>
          <w:t xml:space="preserve">https://doi.org/10.1002/icd.2375</w:t>
        </w:r>
      </w:hyperlink>
    </w:p>
    <w:bookmarkEnd w:id="169"/>
    <w:bookmarkStart w:id="171"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0">
        <w:r>
          <w:rPr>
            <w:rStyle w:val="Hyperlink"/>
          </w:rPr>
          <w:t xml:space="preserve">https://doi.org/10.1177/0193841X06291530</w:t>
        </w:r>
      </w:hyperlink>
    </w:p>
    <w:bookmarkEnd w:id="171"/>
    <w:bookmarkStart w:id="173"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2">
        <w:r>
          <w:rPr>
            <w:rStyle w:val="Hyperlink"/>
          </w:rPr>
          <w:t xml:space="preserve">https://doi.org/10.1300/J079v28n01_01</w:t>
        </w:r>
      </w:hyperlink>
    </w:p>
    <w:bookmarkEnd w:id="173"/>
    <w:bookmarkStart w:id="175"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4">
        <w:r>
          <w:rPr>
            <w:rStyle w:val="Hyperlink"/>
          </w:rPr>
          <w:t xml:space="preserve">https://doi.org/10.1016/S0749-3797(98)00017-8</w:t>
        </w:r>
      </w:hyperlink>
    </w:p>
    <w:bookmarkEnd w:id="175"/>
    <w:bookmarkStart w:id="177"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6">
        <w:r>
          <w:rPr>
            <w:rStyle w:val="Hyperlink"/>
          </w:rPr>
          <w:t xml:space="preserve">https://doi.org/10.1016/B0-08-043076-7/00765-8</w:t>
        </w:r>
      </w:hyperlink>
    </w:p>
    <w:bookmarkEnd w:id="177"/>
    <w:bookmarkStart w:id="179"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78">
        <w:r>
          <w:rPr>
            <w:rStyle w:val="Hyperlink"/>
          </w:rPr>
          <w:t xml:space="preserve">http://babieslearninglanguage.blogspot.com/2018/02/mixed-effects-models-is-it-time-to-go.html</w:t>
        </w:r>
      </w:hyperlink>
    </w:p>
    <w:bookmarkEnd w:id="179"/>
    <w:bookmarkStart w:id="181"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0">
        <w:r>
          <w:rPr>
            <w:rStyle w:val="Hyperlink"/>
          </w:rPr>
          <w:t xml:space="preserve">https://doi.org/10.2139/ssrn.1010426</w:t>
        </w:r>
      </w:hyperlink>
    </w:p>
    <w:bookmarkEnd w:id="181"/>
    <w:bookmarkStart w:id="183"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2">
        <w:r>
          <w:rPr>
            <w:rStyle w:val="Hyperlink"/>
          </w:rPr>
          <w:t xml:space="preserve">https://doi.org/10.1111/fare.12205</w:t>
        </w:r>
      </w:hyperlink>
    </w:p>
    <w:bookmarkEnd w:id="183"/>
    <w:bookmarkStart w:id="185"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4">
        <w:r>
          <w:rPr>
            <w:rStyle w:val="Hyperlink"/>
          </w:rPr>
          <w:t xml:space="preserve">https://doi.org/10.1037/fam0000191</w:t>
        </w:r>
      </w:hyperlink>
    </w:p>
    <w:bookmarkEnd w:id="185"/>
    <w:bookmarkStart w:id="187"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6">
        <w:r>
          <w:rPr>
            <w:rStyle w:val="Hyperlink"/>
          </w:rPr>
          <w:t xml:space="preserve">https://doi.org/10.1111/j.1467-8624.2009.01409.x</w:t>
        </w:r>
      </w:hyperlink>
    </w:p>
    <w:bookmarkEnd w:id="187"/>
    <w:bookmarkStart w:id="189"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88">
        <w:r>
          <w:rPr>
            <w:rStyle w:val="Hyperlink"/>
          </w:rPr>
          <w:t xml:space="preserve">https://doi.org/10.1177/0165025420981642</w:t>
        </w:r>
      </w:hyperlink>
    </w:p>
    <w:bookmarkEnd w:id="189"/>
    <w:bookmarkStart w:id="191"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0">
        <w:r>
          <w:rPr>
            <w:rStyle w:val="Hyperlink"/>
          </w:rPr>
          <w:t xml:space="preserve">https://doi.org/10.1016/j.chiabu.2018.10.009</w:t>
        </w:r>
      </w:hyperlink>
    </w:p>
    <w:bookmarkEnd w:id="191"/>
    <w:bookmarkStart w:id="193"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2">
        <w:r>
          <w:rPr>
            <w:rStyle w:val="Hyperlink"/>
          </w:rPr>
          <w:t xml:space="preserve">https://doi.org/10.1017/S0140525X0999152X</w:t>
        </w:r>
      </w:hyperlink>
    </w:p>
    <w:bookmarkEnd w:id="193"/>
    <w:bookmarkStart w:id="195"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4">
        <w:r>
          <w:rPr>
            <w:rStyle w:val="Hyperlink"/>
          </w:rPr>
          <w:t xml:space="preserve">https://doi.org/10.1007/s11205-021-02803-7</w:t>
        </w:r>
      </w:hyperlink>
    </w:p>
    <w:bookmarkEnd w:id="195"/>
    <w:bookmarkStart w:id="197"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6">
        <w:r>
          <w:rPr>
            <w:rStyle w:val="Hyperlink"/>
          </w:rPr>
          <w:t xml:space="preserve">https://doi.org/10.1080/01621459.1986.10478354</w:t>
        </w:r>
      </w:hyperlink>
    </w:p>
    <w:bookmarkEnd w:id="197"/>
    <w:bookmarkStart w:id="198"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198"/>
    <w:bookmarkStart w:id="200"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199">
        <w:r>
          <w:rPr>
            <w:rStyle w:val="Hyperlink"/>
          </w:rPr>
          <w:t xml:space="preserve">https://doi.org/10.1111/j.1741-3737.2002.00054.x</w:t>
        </w:r>
      </w:hyperlink>
    </w:p>
    <w:bookmarkEnd w:id="200"/>
    <w:bookmarkStart w:id="201"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1"/>
    <w:bookmarkStart w:id="203"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2">
        <w:r>
          <w:rPr>
            <w:rStyle w:val="Hyperlink"/>
          </w:rPr>
          <w:t xml:space="preserve">https://doi.org/10.4135/9781849209366</w:t>
        </w:r>
      </w:hyperlink>
    </w:p>
    <w:bookmarkEnd w:id="203"/>
    <w:bookmarkStart w:id="205"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4">
        <w:r>
          <w:rPr>
            <w:rStyle w:val="Hyperlink"/>
          </w:rPr>
          <w:t xml:space="preserve">https://doi.org/10.1007/s11606-021-07256-9</w:t>
        </w:r>
      </w:hyperlink>
    </w:p>
    <w:bookmarkEnd w:id="205"/>
    <w:bookmarkStart w:id="207"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6">
        <w:r>
          <w:rPr>
            <w:rStyle w:val="Hyperlink"/>
          </w:rPr>
          <w:t xml:space="preserve">https://doi.org/10.4135/9781412985147</w:t>
        </w:r>
      </w:hyperlink>
    </w:p>
    <w:bookmarkEnd w:id="207"/>
    <w:bookmarkStart w:id="209"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08">
        <w:r>
          <w:rPr>
            <w:rStyle w:val="Hyperlink"/>
          </w:rPr>
          <w:t xml:space="preserve">https://doi.org/10.1016/j.chiabu.2022.105662</w:t>
        </w:r>
      </w:hyperlink>
    </w:p>
    <w:bookmarkEnd w:id="209"/>
    <w:bookmarkStart w:id="210"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0"/>
    <w:bookmarkStart w:id="211"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1"/>
    <w:bookmarkStart w:id="213"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2">
        <w:r>
          <w:rPr>
            <w:rStyle w:val="Hyperlink"/>
          </w:rPr>
          <w:t xml:space="preserve">https://doi.org/10.1016/j.jml.2017.01.001</w:t>
        </w:r>
      </w:hyperlink>
    </w:p>
    <w:bookmarkEnd w:id="213"/>
    <w:bookmarkStart w:id="215"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4">
        <w:r>
          <w:rPr>
            <w:rStyle w:val="Hyperlink"/>
          </w:rPr>
          <w:t xml:space="preserve">https://doi.org/10.2307/1913646</w:t>
        </w:r>
      </w:hyperlink>
    </w:p>
    <w:bookmarkEnd w:id="215"/>
    <w:bookmarkStart w:id="217"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6">
        <w:r>
          <w:rPr>
            <w:rStyle w:val="Hyperlink"/>
          </w:rPr>
          <w:t xml:space="preserve">https://doi.org/10.1044/2018_JSLHR-S-18-0006</w:t>
        </w:r>
      </w:hyperlink>
    </w:p>
    <w:bookmarkEnd w:id="217"/>
    <w:bookmarkStart w:id="219"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18">
        <w:r>
          <w:rPr>
            <w:rStyle w:val="Hyperlink"/>
          </w:rPr>
          <w:t xml:space="preserve">https://doi.org/doi:10.1177/09567976211046884</w:t>
        </w:r>
      </w:hyperlink>
    </w:p>
    <w:bookmarkEnd w:id="219"/>
    <w:bookmarkStart w:id="221"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0">
        <w:r>
          <w:rPr>
            <w:rStyle w:val="Hyperlink"/>
          </w:rPr>
          <w:t xml:space="preserve">https://doi.org/10.1016/j.chiabu.2018.11.003</w:t>
        </w:r>
      </w:hyperlink>
    </w:p>
    <w:bookmarkEnd w:id="221"/>
    <w:bookmarkStart w:id="222" w:name="ref-Poincare1908"/>
    <w:p>
      <w:pPr>
        <w:pStyle w:val="Bibliography"/>
      </w:pPr>
      <w:r>
        <w:t xml:space="preserve">Poincare, H. (1908).</w:t>
      </w:r>
      <w:r>
        <w:t xml:space="preserve"> </w:t>
      </w:r>
      <w:r>
        <w:rPr>
          <w:iCs/>
          <w:i/>
        </w:rPr>
        <w:t xml:space="preserve">Science et methode</w:t>
      </w:r>
      <w:r>
        <w:t xml:space="preserve">. Flammarion.</w:t>
      </w:r>
    </w:p>
    <w:bookmarkEnd w:id="222"/>
    <w:bookmarkStart w:id="224"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3">
        <w:r>
          <w:rPr>
            <w:rStyle w:val="Hyperlink"/>
          </w:rPr>
          <w:t xml:space="preserve">https://doi.org/10.1136/tobaccocontrol-2011-050338</w:t>
        </w:r>
      </w:hyperlink>
    </w:p>
    <w:bookmarkEnd w:id="224"/>
    <w:bookmarkStart w:id="225"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5"/>
    <w:bookmarkStart w:id="226"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6"/>
    <w:bookmarkStart w:id="228"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27">
        <w:r>
          <w:rPr>
            <w:rStyle w:val="Hyperlink"/>
          </w:rPr>
          <w:t xml:space="preserve">https://doi.org/10.1007/s10826-021-02072-5</w:t>
        </w:r>
      </w:hyperlink>
    </w:p>
    <w:bookmarkEnd w:id="228"/>
    <w:bookmarkStart w:id="230"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29">
        <w:r>
          <w:rPr>
            <w:rStyle w:val="Hyperlink"/>
          </w:rPr>
          <w:t xml:space="preserve">https://doi.org/10.1093/beheco/arn145</w:t>
        </w:r>
      </w:hyperlink>
    </w:p>
    <w:bookmarkEnd w:id="230"/>
    <w:bookmarkStart w:id="232"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1">
        <w:r>
          <w:rPr>
            <w:rStyle w:val="Hyperlink"/>
          </w:rPr>
          <w:t xml:space="preserve">https://doi.org/10.1177/1536867X1301300105</w:t>
        </w:r>
      </w:hyperlink>
    </w:p>
    <w:bookmarkEnd w:id="232"/>
    <w:bookmarkStart w:id="234"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3">
        <w:r>
          <w:rPr>
            <w:rStyle w:val="Hyperlink"/>
          </w:rPr>
          <w:t xml:space="preserve">http://www.jstor.org/stable/2984065</w:t>
        </w:r>
      </w:hyperlink>
    </w:p>
    <w:bookmarkEnd w:id="234"/>
    <w:bookmarkStart w:id="235"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5"/>
    <w:bookmarkStart w:id="237"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6">
        <w:r>
          <w:rPr>
            <w:rStyle w:val="Hyperlink"/>
          </w:rPr>
          <w:t xml:space="preserve">https://doi.org/10.1002/ir.20041</w:t>
        </w:r>
      </w:hyperlink>
    </w:p>
    <w:bookmarkEnd w:id="237"/>
    <w:bookmarkStart w:id="238"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38"/>
    <w:bookmarkStart w:id="239" w:name="ref-StataCorp2021"/>
    <w:p>
      <w:pPr>
        <w:pStyle w:val="Bibliography"/>
      </w:pPr>
      <w:r>
        <w:t xml:space="preserve">StataCorp. (2021b).</w:t>
      </w:r>
      <w:r>
        <w:t xml:space="preserve"> </w:t>
      </w:r>
      <w:r>
        <w:rPr>
          <w:iCs/>
          <w:i/>
        </w:rPr>
        <w:t xml:space="preserve">Stata statistical software: Release 17</w:t>
      </w:r>
      <w:r>
        <w:t xml:space="preserve">. StataCorp LLC.</w:t>
      </w:r>
    </w:p>
    <w:bookmarkEnd w:id="239"/>
    <w:bookmarkStart w:id="241"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0">
        <w:r>
          <w:rPr>
            <w:rStyle w:val="Hyperlink"/>
          </w:rPr>
          <w:t xml:space="preserve">https://doi.org/10.4169/amer.math.monthly.124.6.483</w:t>
        </w:r>
      </w:hyperlink>
    </w:p>
    <w:bookmarkEnd w:id="241"/>
    <w:bookmarkStart w:id="242"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2"/>
    <w:bookmarkStart w:id="244"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3">
        <w:r>
          <w:rPr>
            <w:rStyle w:val="Hyperlink"/>
          </w:rPr>
          <w:t xml:space="preserve">https://mics.unicef.org/</w:t>
        </w:r>
      </w:hyperlink>
    </w:p>
    <w:bookmarkEnd w:id="244"/>
    <w:bookmarkStart w:id="245" w:name="ref-UN2022"/>
    <w:p>
      <w:pPr>
        <w:pStyle w:val="Bibliography"/>
      </w:pPr>
      <w:r>
        <w:t xml:space="preserve">United Nations. (2022).</w:t>
      </w:r>
      <w:r>
        <w:t xml:space="preserve"> </w:t>
      </w:r>
      <w:r>
        <w:rPr>
          <w:iCs/>
          <w:i/>
        </w:rPr>
        <w:t xml:space="preserve">Sustainable development goals</w:t>
      </w:r>
      <w:r>
        <w:t xml:space="preserve">.</w:t>
      </w:r>
    </w:p>
    <w:bookmarkEnd w:id="245"/>
    <w:bookmarkStart w:id="246" w:name="ref-UN1989"/>
    <w:p>
      <w:pPr>
        <w:pStyle w:val="Bibliography"/>
      </w:pPr>
      <w:r>
        <w:t xml:space="preserve">United Nations General Assembly. (1989).</w:t>
      </w:r>
      <w:r>
        <w:t xml:space="preserve"> </w:t>
      </w:r>
      <w:r>
        <w:rPr>
          <w:iCs/>
          <w:i/>
        </w:rPr>
        <w:t xml:space="preserve">Convention on the rights of the child</w:t>
      </w:r>
      <w:r>
        <w:t xml:space="preserve">.</w:t>
      </w:r>
    </w:p>
    <w:bookmarkEnd w:id="246"/>
    <w:bookmarkStart w:id="248"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47">
        <w:r>
          <w:rPr>
            <w:rStyle w:val="Hyperlink"/>
          </w:rPr>
          <w:t xml:space="preserve">https://doi.org/10.1177/0193841X221116721</w:t>
        </w:r>
      </w:hyperlink>
    </w:p>
    <w:bookmarkEnd w:id="248"/>
    <w:bookmarkStart w:id="250"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49">
        <w:r>
          <w:rPr>
            <w:rStyle w:val="Hyperlink"/>
          </w:rPr>
          <w:t xml:space="preserve">https://doi.org/10.1136/bmjopen-2020-046075</w:t>
        </w:r>
      </w:hyperlink>
    </w:p>
    <w:bookmarkEnd w:id="250"/>
    <w:bookmarkStart w:id="252"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1">
        <w:r>
          <w:rPr>
            <w:rStyle w:val="Hyperlink"/>
          </w:rPr>
          <w:t xml:space="preserve">https://doi.org/10.31234/osf.io/f5t8x</w:t>
        </w:r>
      </w:hyperlink>
    </w:p>
    <w:bookmarkEnd w:id="252"/>
    <w:bookmarkStart w:id="254"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3">
        <w:r>
          <w:rPr>
            <w:rStyle w:val="Hyperlink"/>
          </w:rPr>
          <w:t xml:space="preserve">https://doi.org/10.1016/j.chiabu.2022.105606</w:t>
        </w:r>
      </w:hyperlink>
    </w:p>
    <w:bookmarkEnd w:id="254"/>
    <w:bookmarkStart w:id="255"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5"/>
    <w:bookmarkStart w:id="257"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6">
        <w:r>
          <w:rPr>
            <w:rStyle w:val="Hyperlink"/>
          </w:rPr>
          <w:t xml:space="preserve">https://doi.org/10.1080/10665680601079894</w:t>
        </w:r>
      </w:hyperlink>
    </w:p>
    <w:bookmarkEnd w:id="257"/>
    <w:bookmarkStart w:id="259"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58">
        <w:r>
          <w:rPr>
            <w:rStyle w:val="Hyperlink"/>
          </w:rPr>
          <w:t xml:space="preserve">http://www.jstor.org/stable/j.ctt5hhcfr</w:t>
        </w:r>
      </w:hyperlink>
    </w:p>
    <w:bookmarkEnd w:id="259"/>
    <w:bookmarkEnd w:id="260"/>
    <w:bookmarkEnd w:id="261"/>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5">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96" Target="media/rId96.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18" Target="media/rId118.png" /><Relationship Type="http://schemas.openxmlformats.org/officeDocument/2006/relationships/image" Id="rId39" Target="media/rId39.png" /><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2022-12-21T17:00:02Z</dcterms:created>
  <dcterms:modified xsi:type="dcterms:W3CDTF">2022-12-21T17:00:02Z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12/21/22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Using Multilevel Models To Thread The Needle Between Universality and Cultural Specificity in Cross Cultural Research</vt:lpwstr>
  </property>
  <property fmtid="{D5CDD505-2E9C-101B-9397-08002B2CF9AE}" pid="15" name="toc-title">
    <vt:lpwstr>Table of contents</vt:lpwstr>
  </property>
  <property fmtid="{D5CDD505-2E9C-101B-9397-08002B2CF9AE}" pid="16" name="website">
    <vt:lpwstr/>
  </property>
</Properties>
</file>