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5.png" ContentType="image/png"/>
  <Override PartName="/word/media/rId28.png" ContentType="image/png"/>
  <Override PartName="/word/media/rId24.png" ContentType="image/png"/>
  <Override PartName="/word/media/rId51.png" ContentType="image/png"/>
  <Override PartName="/word/media/rId70.png" ContentType="image/png"/>
  <Override PartName="/word/media/rId91.png" ContentType="image/png"/>
  <Override PartName="/word/media/rId45.png" ContentType="image/png"/>
  <Override PartName="/word/media/rId64.png" ContentType="image/png"/>
  <Override PartName="/word/media/rId85.png" ContentType="image/png"/>
  <Override PartName="/word/media/rId58.png" ContentType="image/png"/>
  <Override PartName="/word/media/rId39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2024-07-08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7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2023)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2023; Wickham 2016)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Comparison of Software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See my discussion of the advantages and disadvantages of different software in the Appendix on estimation of multilevel models with different software.</w:t>
            </w:r>
          </w:p>
        </w:tc>
      </w:tr>
    </w:tbl>
    <w:bookmarkEnd w:id="27"/>
    <w:bookmarkStart w:id="33" w:name="sec-data"/>
    <w:p>
      <w:pPr>
        <w:pStyle w:val="Heading2"/>
      </w:pPr>
      <w:r>
        <w:t xml:space="preserve">1.2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Dataset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The examples use the</w:t>
            </w:r>
            <w:r>
              <w:t xml:space="preserve"> </w:t>
            </w:r>
            <w:r>
              <w:rPr>
                <w:rStyle w:val="VerbatimChar"/>
              </w:rPr>
              <w:t xml:space="preserve">simulated_multilevel_data.dta</w:t>
            </w:r>
            <w:r>
              <w:t xml:space="preserve"> </w:t>
            </w:r>
            <w:r>
              <w:t xml:space="preserve">file. Here is a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direct link</w:t>
              </w:r>
            </w:hyperlink>
            <w:r>
              <w:t xml:space="preserve"> </w:t>
            </w:r>
            <w:r>
              <w:t xml:space="preserve">to download the data.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32"/>
          <w:p/>
        </w:tc>
      </w:tr>
    </w:tbl>
    <w:bookmarkEnd w:id="33"/>
    <w:bookmarkEnd w:id="34"/>
    <w:bookmarkStart w:id="97" w:name="graphs"/>
    <w:p>
      <w:pPr>
        <w:pStyle w:val="Heading1"/>
      </w:pPr>
      <w:r>
        <w:t xml:space="preserve">2. Graphs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Order of Variables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Across software platforms, pay attention to the order of variables. I generally use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for an</w:t>
            </w:r>
            <w:r>
              <w:t xml:space="preserve"> </w:t>
            </w:r>
            <w:r>
              <w:rPr>
                <w:iCs/>
                <w:i/>
              </w:rPr>
              <w:t xml:space="preserve">independent</w:t>
            </w:r>
            <w:r>
              <w:t xml:space="preserve"> </w:t>
            </w:r>
            <w:r>
              <w:t xml:space="preserve">variable along the horizontal axis 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for a</w:t>
            </w:r>
            <w:r>
              <w:t xml:space="preserve"> </w:t>
            </w:r>
            <w:r>
              <w:rPr>
                <w:iCs/>
                <w:i/>
              </w:rPr>
              <w:t xml:space="preserve">dependent</w:t>
            </w:r>
            <w:r>
              <w:t xml:space="preserve"> </w:t>
            </w:r>
            <w:r>
              <w:t xml:space="preserve">variable along the vertical axis. Different software asks for the variables to be listed in different order, or different ways, so it is worth paying close attention to the syntax.</w:t>
            </w:r>
          </w:p>
        </w:tc>
      </w:tr>
    </w:tbl>
    <w:bookmarkStart w:id="56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8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8"/>
    <w:bookmarkStart w:id="43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scatter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42"/>
        </w:tc>
      </w:tr>
    </w:tbl>
    <w:bookmarkEnd w:id="43"/>
    <w:p>
      <w:pPr>
        <w:pStyle w:val="Heading3"/>
      </w:pPr>
      <w:r>
        <w:t xml:space="preserve">R</w:t>
      </w:r>
    </w:p>
    <w:bookmarkStart w:id="44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44"/>
    <w:bookmarkStart w:id="49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8"/>
        </w:tc>
      </w:tr>
    </w:tbl>
    <w:bookmarkEnd w:id="49"/>
    <w:p>
      <w:pPr>
        <w:pStyle w:val="Heading3"/>
      </w:pPr>
      <w:r>
        <w:t xml:space="preserve">Julia</w:t>
      </w:r>
    </w:p>
    <w:bookmarkStart w:id="50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50"/>
    <w:bookmarkStart w:id="55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4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54"/>
        </w:tc>
      </w:tr>
    </w:tbl>
    <w:bookmarkEnd w:id="55"/>
    <w:bookmarkEnd w:id="56"/>
    <w:bookmarkStart w:id="75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57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57"/>
    <w:bookmarkStart w:id="62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1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lfit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61"/>
        </w:tc>
      </w:tr>
    </w:tbl>
    <w:bookmarkEnd w:id="62"/>
    <w:p>
      <w:pPr>
        <w:pStyle w:val="Heading3"/>
      </w:pPr>
      <w:r>
        <w:t xml:space="preserve">R</w:t>
      </w:r>
    </w:p>
    <w:bookmarkStart w:id="63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63"/>
    <w:bookmarkStart w:id="68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7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67"/>
        </w:tc>
      </w:tr>
    </w:tbl>
    <w:bookmarkEnd w:id="68"/>
    <w:p>
      <w:pPr>
        <w:pStyle w:val="Heading3"/>
      </w:pPr>
      <w:r>
        <w:t xml:space="preserve">Julia</w:t>
      </w:r>
    </w:p>
    <w:bookmarkStart w:id="69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9"/>
    <w:bookmarkStart w:id="74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3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73"/>
        </w:tc>
      </w:tr>
    </w:tbl>
    <w:bookmarkEnd w:id="74"/>
    <w:bookmarkEnd w:id="75"/>
    <w:bookmarkStart w:id="96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76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76"/>
    <w:bookmarkStart w:id="83" w:name="spaghetti-plot"/>
    <w:p>
      <w:pPr>
        <w:pStyle w:val="Heading4"/>
      </w:pPr>
      <w:r>
        <w:t xml:space="preserve">2.3.0.2 Spaghetti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Installing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spagplot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spagplot</w:t>
            </w:r>
            <w:r>
              <w:t xml:space="preserve"> </w:t>
            </w:r>
            <w:r>
              <w:t xml:space="preserve">is a user written command. Type</w:t>
            </w:r>
            <w:r>
              <w:t xml:space="preserve"> </w:t>
            </w:r>
            <w:r>
              <w:rPr>
                <w:rStyle w:val="VerbatimChar"/>
              </w:rPr>
              <w:t xml:space="preserve">findit spagplot</w:t>
            </w:r>
            <w:r>
              <w:t xml:space="preserve"> </w:t>
            </w:r>
            <w:r>
              <w:t xml:space="preserve">to install.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2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82"/>
        </w:tc>
      </w:tr>
    </w:tbl>
    <w:bookmarkEnd w:id="83"/>
    <w:p>
      <w:pPr>
        <w:pStyle w:val="Heading3"/>
      </w:pPr>
      <w:r>
        <w:t xml:space="preserve">R</w:t>
      </w:r>
    </w:p>
    <w:bookmarkStart w:id="84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84"/>
    <w:bookmarkStart w:id="89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8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88"/>
        </w:tc>
      </w:tr>
    </w:tbl>
    <w:bookmarkEnd w:id="89"/>
    <w:p>
      <w:pPr>
        <w:pStyle w:val="Heading3"/>
      </w:pPr>
      <w:r>
        <w:t xml:space="preserve">Julia</w:t>
      </w:r>
    </w:p>
    <w:bookmarkStart w:id="90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90"/>
    <w:bookmarkStart w:id="95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94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94"/>
        </w:tc>
      </w:tr>
    </w:tbl>
    <w:bookmarkEnd w:id="95"/>
    <w:bookmarkEnd w:id="96"/>
    <w:bookmarkEnd w:id="97"/>
    <w:bookmarkStart w:id="107" w:name="references"/>
    <w:p>
      <w:pPr>
        <w:pStyle w:val="Heading1"/>
      </w:pPr>
      <w:r>
        <w:t xml:space="preserve">References</w:t>
      </w:r>
    </w:p>
    <w:bookmarkStart w:id="106" w:name="refs"/>
    <w:bookmarkStart w:id="99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98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99"/>
    <w:bookmarkStart w:id="100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100"/>
    <w:bookmarkStart w:id="102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2"/>
    <w:bookmarkStart w:id="103" w:name="ref-StataCorp2023"/>
    <w:p>
      <w:pPr>
        <w:pStyle w:val="Bibliography"/>
      </w:pPr>
      <w:r>
        <w:t xml:space="preserve">StataCorp. 2023.</w:t>
      </w:r>
      <w:r>
        <w:t xml:space="preserve"> </w:t>
      </w:r>
      <w:r>
        <w:rPr>
          <w:iCs/>
          <w:i/>
        </w:rPr>
        <w:t xml:space="preserve">Stata 18 Graphics Reference Manual</w:t>
      </w:r>
      <w:r>
        <w:t xml:space="preserve">. Stata Press.</w:t>
      </w:r>
    </w:p>
    <w:bookmarkEnd w:id="103"/>
    <w:bookmarkStart w:id="105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104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105"/>
    <w:bookmarkEnd w:id="106"/>
    <w:bookmarkEnd w:id="107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70" Target="media/rId70.png" /><Relationship Type="http://schemas.openxmlformats.org/officeDocument/2006/relationships/image" Id="rId91" Target="media/rId91.png" /><Relationship Type="http://schemas.openxmlformats.org/officeDocument/2006/relationships/image" Id="rId45" Target="media/rId45.png" /><Relationship Type="http://schemas.openxmlformats.org/officeDocument/2006/relationships/image" Id="rId64" Target="media/rId64.png" /><Relationship Type="http://schemas.openxmlformats.org/officeDocument/2006/relationships/image" Id="rId85" Target="media/rId85.png" /><Relationship Type="http://schemas.openxmlformats.org/officeDocument/2006/relationships/image" Id="rId58" Target="media/rId58.png" /><Relationship Type="http://schemas.openxmlformats.org/officeDocument/2006/relationships/image" Id="rId39" Target="media/rId39.png" /><Relationship Type="http://schemas.openxmlformats.org/officeDocument/2006/relationships/image" Id="rId79" Target="media/rId79.png" /><Relationship Type="http://schemas.openxmlformats.org/officeDocument/2006/relationships/hyperlink" Id="rId98" Target="https://doi.org/10.1137/141000671" TargetMode="External" /><Relationship Type="http://schemas.openxmlformats.org/officeDocument/2006/relationships/hyperlink" Id="rId104" Target="https://ggplot2.tidyverse.org" TargetMode="External" /><Relationship Type="http://schemas.openxmlformats.org/officeDocument/2006/relationships/hyperlink" Id="rId31" Target="https://github.com/agrogan1/multilevel-multilingual/raw/main/simulated_multilevel_data.dta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doi.org/10.1137/141000671" TargetMode="External" /><Relationship Type="http://schemas.openxmlformats.org/officeDocument/2006/relationships/hyperlink" Id="rId104" Target="https://ggplot2.tidyverse.org" TargetMode="External" /><Relationship Type="http://schemas.openxmlformats.org/officeDocument/2006/relationships/hyperlink" Id="rId31" Target="https://github.com/agrogan1/multilevel-multilingual/raw/main/simulated_multilevel_data.dta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2024-07-08T21:37:35Z</dcterms:created>
  <dcterms:modified xsi:type="dcterms:W3CDTF">2024-07-08T21:37:35Z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2024-07-08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