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4</w:t>
      </w:r>
      <w:r>
        <w:t xml:space="preserve"> </w:t>
      </w:r>
      <w:r>
        <w:t xml:space="preserve">Mar</w:t>
      </w:r>
      <w:r>
        <w:t xml:space="preserve"> </w:t>
      </w:r>
      <w:r>
        <w:t xml:space="preserve">2023</w:t>
      </w:r>
      <w:r>
        <w:t xml:space="preserve"> </w:t>
      </w:r>
      <w:r>
        <w:t xml:space="preserve">12:05:12</w:t>
      </w:r>
    </w:p>
    <w:bookmarkStart w:id="20" w:name="background"/>
    <w:p>
      <w:pPr>
        <w:pStyle w:val="Heading1"/>
      </w:pPr>
      <w:r>
        <w:t xml:space="preserve">Background 🌲</w:t>
      </w:r>
    </w:p>
    <w:p>
      <w:pPr>
        <w:pStyle w:val="FirstParagraph"/>
      </w:pPr>
      <w:r>
        <w:t xml:space="preserve">This is a handout about the process of</w:t>
      </w:r>
      <w:r>
        <w:t xml:space="preserve"> </w:t>
      </w:r>
      <w:r>
        <w:rPr>
          <w:rStyle w:val="VerbatimChar"/>
        </w:rPr>
        <w:t xml:space="preserve">reshape</w:t>
      </w:r>
      <w:r>
        <w:t xml:space="preserve">-ing data from</w:t>
      </w:r>
      <w:r>
        <w:t xml:space="preserve"> </w:t>
      </w:r>
      <w:r>
        <w:rPr>
          <w:iCs/>
          <w:i/>
        </w:rPr>
        <w:t xml:space="preserve">wide</w:t>
      </w:r>
      <w:r>
        <w:t xml:space="preserve"> </w:t>
      </w:r>
      <w:r>
        <w:t xml:space="preserve">to</w:t>
      </w:r>
      <w:r>
        <w:t xml:space="preserve"> </w:t>
      </w:r>
      <w:r>
        <w:rPr>
          <w:iCs/>
          <w:i/>
        </w:rPr>
        <w:t xml:space="preserve">long</w:t>
      </w:r>
      <w:r>
        <w:t xml:space="preserve"> </w:t>
      </w:r>
      <w:r>
        <w:t xml:space="preserve">and</w:t>
      </w:r>
      <w:r>
        <w:t xml:space="preserve"> </w:t>
      </w:r>
      <w:r>
        <w:rPr>
          <w:iCs/>
          <w:i/>
        </w:rPr>
        <w:t xml:space="preserve">vice versa</w:t>
      </w:r>
      <w:r>
        <w:t xml:space="preserve">.</w:t>
      </w:r>
    </w:p>
    <w:p>
      <w:pPr>
        <w:pStyle w:val="BodyText"/>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c</w:t>
      </w:r>
      <w:r>
        <w:br/>
      </w:r>
      <w:r>
        <w:rPr>
          <w:rStyle w:val="NormalTok"/>
        </w:rPr>
        <w:t xml:space="preserve">&gt; 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w:t>
      </w:r>
      <w:r>
        <w:br/>
      </w:r>
      <w:r>
        <w:rPr>
          <w:rStyle w:val="NormalTok"/>
        </w:rPr>
        <w:t xml:space="preserve">&gt; 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w:t>
      </w:r>
      <w:r>
        <w:br/>
      </w:r>
      <w:r>
        <w:rPr>
          <w:rStyle w:val="NormalTok"/>
        </w:rPr>
        <w:t xml:space="preserve">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Cs/>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Cs/>
          <w:i/>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Cs/>
          <w:i/>
        </w:rPr>
        <w:t xml:space="preserve">wide</w:t>
      </w:r>
      <w:r>
        <w:t xml:space="preserve"> </w:t>
      </w:r>
      <w:r>
        <w:t xml:space="preserve">format, where</w:t>
      </w:r>
      <w:r>
        <w:t xml:space="preserve"> </w:t>
      </w:r>
      <w:r>
        <w:rPr>
          <w:iCs/>
          <w:i/>
        </w:rPr>
        <w:t xml:space="preserve">every row is an individual</w:t>
      </w:r>
      <w:r>
        <w:t xml:space="preserve">, and</w:t>
      </w:r>
      <w:r>
        <w:t xml:space="preserve"> </w:t>
      </w:r>
      <w:r>
        <w:rPr>
          <w:iCs/>
          <w:i/>
        </w:rPr>
        <w:t xml:space="preserve">every individual has a single row of data</w:t>
      </w:r>
      <w:r>
        <w:t xml:space="preserve">. For a given measure, each time point is in a</w:t>
      </w:r>
      <w:r>
        <w:t xml:space="preserve"> </w:t>
      </w:r>
      <w:r>
        <w:rPr>
          <w:iCs/>
          <w:i/>
        </w:rPr>
        <w:t xml:space="preserve">different column of data</w:t>
      </w:r>
      <w:r>
        <w:t xml:space="preserve">.</w:t>
      </w:r>
    </w:p>
    <w:p>
      <w:pPr>
        <w:pStyle w:val="BodyText"/>
      </w:pPr>
      <w:r>
        <w:t xml:space="preserve">In</w:t>
      </w:r>
      <w:r>
        <w:t xml:space="preserve"> </w:t>
      </w:r>
      <w:r>
        <w:rPr>
          <w:iCs/>
          <w:i/>
        </w:rPr>
        <w:t xml:space="preserve">long</w:t>
      </w:r>
      <w:r>
        <w:t xml:space="preserve"> </w:t>
      </w:r>
      <w:r>
        <w:t xml:space="preserve">format,</w:t>
      </w:r>
      <w:r>
        <w:t xml:space="preserve"> </w:t>
      </w:r>
      <w:r>
        <w:rPr>
          <w:iCs/>
          <w:i/>
        </w:rPr>
        <w:t xml:space="preserve">every row is an individual-observation</w:t>
      </w:r>
      <w:r>
        <w:t xml:space="preserve">, and</w:t>
      </w:r>
      <w:r>
        <w:t xml:space="preserve"> </w:t>
      </w:r>
      <w:r>
        <w:rPr>
          <w:iCs/>
          <w:i/>
        </w:rPr>
        <w:t xml:space="preserve">every individual has multiple rows of data</w:t>
      </w:r>
      <w:r>
        <w:t xml:space="preserve">. For a given measure, each time point is in the</w:t>
      </w:r>
      <w:r>
        <w:t xml:space="preserve"> </w:t>
      </w:r>
      <w:r>
        <w:rPr>
          <w:iCs/>
          <w:i/>
        </w:rPr>
        <w:t xml:space="preserve">same column of data</w:t>
      </w:r>
      <w:r>
        <w:t xml:space="preserve">, and the different time points are distinguished by a</w:t>
      </w:r>
      <w:r>
        <w:t xml:space="preserve"> </w:t>
      </w:r>
      <w:r>
        <w:rPr>
          <w:iCs/>
          <w:i/>
        </w:rPr>
        <w:t xml:space="preserve">time</w:t>
      </w:r>
      <w:r>
        <w:t xml:space="preserve"> </w:t>
      </w:r>
      <w:r>
        <w:t xml:space="preserve">variable.</w:t>
      </w:r>
    </w:p>
    <w:bookmarkEnd w:id="25"/>
    <w:bookmarkStart w:id="30"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w:t>
      </w:r>
    </w:p>
    <w:bookmarkStart w:id="27" w:name="steps-in-reshaping-data"/>
    <w:p>
      <w:pPr>
        <w:pStyle w:val="Heading2"/>
      </w:pPr>
      <w:r>
        <w:t xml:space="preserve">Steps In Reshaping Data</w:t>
      </w:r>
    </w:p>
    <w:p>
      <w:pPr>
        <w:numPr>
          <w:ilvl w:val="0"/>
          <w:numId w:val="1001"/>
        </w:numPr>
        <w:pStyle w:val="Compact"/>
      </w:pPr>
      <w:r>
        <w:t xml:space="preserve">Only</w:t>
      </w:r>
      <w:r>
        <w:t xml:space="preserve"> </w:t>
      </w:r>
      <w:r>
        <w:rPr>
          <w:rStyle w:val="VerbatimChar"/>
        </w:rPr>
        <w:t xml:space="preserve">keep</w:t>
      </w:r>
      <w:r>
        <w:t xml:space="preserve"> </w:t>
      </w:r>
      <w:r>
        <w:t xml:space="preserve">the relevant variables, as we did just above.</w:t>
      </w:r>
    </w:p>
    <w:p>
      <w:pPr>
        <w:numPr>
          <w:ilvl w:val="0"/>
          <w:numId w:val="1001"/>
        </w:numPr>
        <w:pStyle w:val="Compact"/>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it would usually be easier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r>
        <w:rPr>
          <w:rStyle w:val="FootnoteReference"/>
        </w:rPr>
        <w:footnoteReference w:id="26"/>
      </w:r>
    </w:p>
    <w:p>
      <w:pPr>
        <w:numPr>
          <w:ilvl w:val="0"/>
          <w:numId w:val="1002"/>
        </w:numPr>
        <w:pStyle w:val="Compact"/>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7"/>
    <w:bookmarkStart w:id="28"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Cs/>
          <w:i/>
        </w:rPr>
        <w:t xml:space="preserve">time varying</w:t>
      </w:r>
      <w:r>
        <w:t xml:space="preserve">. Variables that are not included are considered to be</w:t>
      </w:r>
      <w:r>
        <w:t xml:space="preserve"> </w:t>
      </w:r>
      <w:r>
        <w:rPr>
          <w:iCs/>
          <w:i/>
        </w:rPr>
        <w:t xml:space="preserve">time invariant</w:t>
      </w:r>
      <w:r>
        <w:t xml:space="preserve">.</w:t>
      </w:r>
      <w:r>
        <w:t xml:space="preserve"> </w:t>
      </w:r>
      <w:r>
        <w:rPr>
          <w:rStyle w:val="VerbatimChar"/>
        </w:rPr>
        <w:t xml:space="preserve">Tree</w:t>
      </w:r>
      <w:r>
        <w:t xml:space="preserve"> </w:t>
      </w:r>
      <w:r>
        <w:t xml:space="preserve">is an</w:t>
      </w:r>
      <w:r>
        <w:t xml:space="preserve"> </w:t>
      </w:r>
      <w:r>
        <w:rPr>
          <w:iCs/>
          <w:i/>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Because</w:t>
      </w:r>
      <w:r>
        <w:t xml:space="preserve"> </w:t>
      </w:r>
      <w:r>
        <w:rPr>
          <w:rStyle w:val="VerbatimChar"/>
        </w:rPr>
        <w:t xml:space="preserve">Tree</w:t>
      </w:r>
      <w:r>
        <w:t xml:space="preserve"> </w:t>
      </w:r>
      <w:r>
        <w:t xml:space="preserve">is the id variable in this dataset, the appropriate command would be</w:t>
      </w:r>
      <w:r>
        <w:t xml:space="preserve"> </w:t>
      </w:r>
      <w:r>
        <w:rPr>
          <w:rStyle w:val="VerbatimChar"/>
        </w:rPr>
        <w:t xml:space="preserve">drop if Tree == .</w:t>
      </w:r>
      <w:r>
        <w:t xml:space="preserve">.</w:t>
      </w:r>
    </w:p>
    <w:bookmarkEnd w:id="28"/>
    <w:bookmarkStart w:id="29"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9"/>
    <w:bookmarkEnd w:id="30"/>
    <w:bookmarkStart w:id="31"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bookmarkEnd w:id="31"/>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In recent versions of Stata, there are advanced ways of dealing with variables with names such as</w:t>
      </w:r>
      <w:r>
        <w:t xml:space="preserve"> </w:t>
      </w:r>
      <w:r>
        <w:rPr>
          <w:rStyle w:val="VerbatimChar"/>
        </w:rPr>
        <w:t xml:space="preserve">x1suffix</w:t>
      </w:r>
      <w:r>
        <w:t xml:space="preserve">,</w:t>
      </w:r>
      <w:r>
        <w:t xml:space="preserve"> </w:t>
      </w:r>
      <w:r>
        <w:rPr>
          <w:rStyle w:val="VerbatimChar"/>
        </w:rPr>
        <w:t xml:space="preserve">x2suffix</w:t>
      </w:r>
      <w:r>
        <w:t xml:space="preserve">,</w:t>
      </w:r>
      <w:r>
        <w:t xml:space="preserve"> </w:t>
      </w:r>
      <w:r>
        <w:rPr>
          <w:rStyle w:val="VerbatimChar"/>
        </w:rPr>
        <w:t xml:space="preserve">x3suffix</w:t>
      </w:r>
      <w:r>
        <w:t xml:space="preserve">, etc.. See</w:t>
      </w:r>
      <w:r>
        <w:t xml:space="preserve"> </w:t>
      </w:r>
      <w:r>
        <w:rPr>
          <w:rStyle w:val="VerbatimChar"/>
        </w:rPr>
        <w:t xml:space="preserve">help reshape</w:t>
      </w:r>
      <w:r>
        <w:t xml:space="preserve"> </w:t>
      </w:r>
      <w:r>
        <w:t xml:space="preserve">for information on these new approaches. However, I still find it is often easier to</w:t>
      </w:r>
      <w:r>
        <w:t xml:space="preserve"> </w:t>
      </w:r>
      <w:r>
        <w:rPr>
          <w:rStyle w:val="VerbatimChar"/>
        </w:rPr>
        <w:t xml:space="preserve">rename</w:t>
      </w:r>
      <w:r>
        <w:t xml:space="preserve">’ variables before</w:t>
      </w:r>
      <w:r>
        <w:t xml:space="preserve"> </w:t>
      </w:r>
      <w:r>
        <w:rPr>
          <w:rStyle w:val="VerbatimChar"/>
        </w:rPr>
        <w:t xml:space="preserve">reshape</w:t>
      </w:r>
      <w:r>
        <w:t xml:space="preserve">-ing them.</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2023-03-04T17:05:13Z</dcterms:created>
  <dcterms:modified xsi:type="dcterms:W3CDTF">2023-03-04T17:05:13Z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Mar 2023 12:05:12</vt:lpwstr>
  </property>
</Properties>
</file>