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1.png" ContentType="image/png"/>
  <Override PartName="/word/media/rId40.png" ContentType="image/png"/>
  <Override PartName="/word/media/rId51.png" ContentType="image/png"/>
  <Override PartName="/word/media/rId60.png" ContentType="image/png"/>
  <Override PartName="/word/media/rId68.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Methods for Multiple Reporters of Child Maltreatment</w:t>
      </w:r>
    </w:p>
    <w:p>
      <w:pPr>
        <w:pStyle w:val="Subtitle"/>
      </w:pPr>
      <w:r>
        <w:t xml:space="preserve">Results from the Lehigh Study</w:t>
      </w:r>
    </w:p>
    <w:p>
      <w:pPr>
        <w:pStyle w:val="Author"/>
      </w:pPr>
      <w:r>
        <w:t xml:space="preserve">Lehigh Measurement and Causal Inference Analyses Team</w:t>
      </w:r>
    </w:p>
    <w:p>
      <w:pPr>
        <w:pStyle w:val="Date"/>
      </w:pPr>
      <w:r>
        <w:t xml:space="preserve">2025-06-02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background"/>
    <w:p>
      <w:pPr>
        <w:pStyle w:val="Heading1"/>
      </w:pPr>
      <w:r>
        <w:t xml:space="preserve">1. Background</w:t>
      </w:r>
    </w:p>
    <w:p>
      <w:pPr>
        <w:pStyle w:val="FirstParagraph"/>
      </w:pPr>
      <w:r>
        <w:t xml:space="preserve">The Lehigh Study presents a unique opportunity. Data are collected on experiences of abusive discipline as reported by</w:t>
      </w:r>
      <w:r>
        <w:t xml:space="preserve"> </w:t>
      </w:r>
      <w:r>
        <w:rPr>
          <w:i/>
          <w:iCs/>
        </w:rPr>
        <w:t xml:space="preserve">administrative</w:t>
      </w:r>
      <w:r>
        <w:t xml:space="preserve"> </w:t>
      </w:r>
      <w:r>
        <w:t xml:space="preserve">reports, two</w:t>
      </w:r>
      <w:r>
        <w:t xml:space="preserve"> </w:t>
      </w:r>
      <w:r>
        <w:rPr>
          <w:i/>
          <w:iCs/>
        </w:rPr>
        <w:t xml:space="preserve">parental</w:t>
      </w:r>
      <w:r>
        <w:t xml:space="preserve"> </w:t>
      </w:r>
      <w:r>
        <w:t xml:space="preserve">reports at two different time points, and two</w:t>
      </w:r>
      <w:r>
        <w:t xml:space="preserve"> </w:t>
      </w:r>
      <w:r>
        <w:rPr>
          <w:i/>
          <w:iCs/>
        </w:rPr>
        <w:t xml:space="preserve">self</w:t>
      </w:r>
      <w:r>
        <w:t xml:space="preserve"> </w:t>
      </w:r>
      <w:r>
        <w:t xml:space="preserve">reports at two different time points. However, in the absence of a gold standard measure of abusive discipline, appropriately aggregating these multiple reports across multiple time points represents an analytic challenge.</w:t>
      </w:r>
    </w:p>
    <w:p>
      <w:pPr>
        <w:pStyle w:val="BodyText"/>
      </w:pPr>
      <w:r>
        <w:t xml:space="preserve">In the manuscript below, we employ multiple strategies to estimate the relationship of these multiple reports from multiple reporters at multiple time points to a mental health outcome. We compare and contrast the advantages and disadvantages of these different methods, and conclude the manuscript with suggestions on optimal methodological approaches to confront the methodological challenges that are posed by having multiple reports from multiple reporters at multiple time points.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 Key Ideas or Questions</w:t>
            </w:r>
          </w:p>
        </w:tc>
      </w:tr>
      <w:tr>
        <w:trPr>
          <w:cantSplit/>
        </w:trPr>
        <w:tc>
          <w:tcPr>
            <w:tcMar>
              <w:top w:w="108" w:type="dxa"/>
              <w:bottom w:w="108" w:type="dxa"/>
            </w:tcMar>
          </w:tcPr>
          <w:p>
            <w:pPr>
              <w:pStyle w:val="Compact"/>
              <w:numPr>
                <w:ilvl w:val="0"/>
                <w:numId w:val="1001"/>
              </w:numPr>
            </w:pPr>
            <w:r>
              <w:t xml:space="preserve">Many sources in the literature note that data can come from multiple reporters. It is often suggested that it is important to</w:t>
            </w:r>
            <w:r>
              <w:t xml:space="preserve"> </w:t>
            </w:r>
            <w:r>
              <w:rPr>
                <w:i/>
                <w:iCs/>
              </w:rPr>
              <w:t xml:space="preserve">triangulate</w:t>
            </w:r>
            <w:r>
              <w:t xml:space="preserve"> </w:t>
            </w:r>
            <w:r>
              <w:t xml:space="preserve">these different sources of information, yet what is meant exactly, or operationally, by such</w:t>
            </w:r>
            <w:r>
              <w:t xml:space="preserve"> </w:t>
            </w:r>
            <w:r>
              <w:rPr>
                <w:i/>
                <w:iCs/>
              </w:rPr>
              <w:t xml:space="preserve">triangulation</w:t>
            </w:r>
            <w:r>
              <w:t xml:space="preserve"> </w:t>
            </w:r>
            <w:r>
              <w:t xml:space="preserve">is often unclear.</w:t>
            </w:r>
          </w:p>
          <w:p>
            <w:pPr>
              <w:pStyle w:val="Compact"/>
              <w:numPr>
                <w:ilvl w:val="0"/>
                <w:numId w:val="1001"/>
              </w:numPr>
            </w:pPr>
            <w:r>
              <w:t xml:space="preserve">How do the different methods highlight, or not highlight:</w:t>
            </w:r>
          </w:p>
          <w:p>
            <w:pPr>
              <w:pStyle w:val="Compact"/>
              <w:numPr>
                <w:ilvl w:val="1"/>
                <w:numId w:val="1002"/>
              </w:numPr>
            </w:pPr>
            <w:r>
              <w:t xml:space="preserve">The differences between prospective and retrospective reports, especially in predicting outcomes?</w:t>
            </w:r>
          </w:p>
          <w:p>
            <w:pPr>
              <w:pStyle w:val="Compact"/>
              <w:numPr>
                <w:ilvl w:val="1"/>
                <w:numId w:val="1002"/>
              </w:numPr>
            </w:pPr>
            <w:r>
              <w:t xml:space="preserve">The level of agreement or disagreement between different reporters?</w:t>
            </w:r>
          </w:p>
          <w:p>
            <w:pPr>
              <w:pStyle w:val="Compact"/>
              <w:numPr>
                <w:ilvl w:val="1"/>
                <w:numId w:val="1002"/>
              </w:numPr>
            </w:pPr>
            <w:r>
              <w:t xml:space="preserve">Issues of severity, chronicity, timing and developmental stages across reporters?</w:t>
            </w:r>
          </w:p>
        </w:tc>
      </w:tr>
    </w:tbl>
    <w:bookmarkEnd w:id="23"/>
    <w:bookmarkStart w:id="28" w:name="basic-conceptual-model"/>
    <w:p>
      <w:pPr>
        <w:pStyle w:val="Heading1"/>
      </w:pPr>
      <w:r>
        <w:t xml:space="preserve">2. Basic Conceptual Model</w:t>
      </w:r>
    </w:p>
    <w:p>
      <w:pPr>
        <w:pStyle w:val="FirstParagraph"/>
      </w:pPr>
      <w:r>
        <w:t xml:space="preserve">We begin with a basic conceptual model of the reports and time points in the data, without at this point suggesting any associational or causal relationships.</w:t>
      </w:r>
    </w:p>
    <w:tbl>
      <w:tblPr>
        <w:tblStyle w:val="Table"/>
        <w:tblW w:type="pct" w:w="5000"/>
        <w:tblLayout w:type="fixed"/>
        <w:tblLook w:firstRow="0" w:lastRow="0" w:firstColumn="0" w:lastColumn="0" w:noHBand="0" w:noVBand="0" w:val="0000"/>
      </w:tblPr>
      <w:tblGrid>
        <w:gridCol w:w="7920"/>
      </w:tblGrid>
      <w:tr>
        <w:tc>
          <w:tcPr/>
          <w:bookmarkStart w:id="27" w:name="fig-conceptual"/>
          <w:p>
            <w:pPr>
              <w:pStyle w:val="Compact"/>
              <w:jc w:val="center"/>
            </w:pPr>
            <w:r>
              <w:drawing>
                <wp:inline>
                  <wp:extent cx="5334000" cy="3001264"/>
                  <wp:effectExtent b="0" l="0" r="0" t="0"/>
                  <wp:docPr descr="" title="" id="25" name="Picture"/>
                  <a:graphic>
                    <a:graphicData uri="http://schemas.openxmlformats.org/drawingml/2006/picture">
                      <pic:pic>
                        <pic:nvPicPr>
                          <pic:cNvPr descr="Slide1.png" id="26" name="Picture"/>
                          <pic:cNvPicPr>
                            <a:picLocks noChangeArrowheads="1" noChangeAspect="1"/>
                          </pic:cNvPicPr>
                        </pic:nvPicPr>
                        <pic:blipFill>
                          <a:blip r:embed="rId24"/>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w:t>
            </w:r>
          </w:p>
          <w:bookmarkEnd w:id="27"/>
        </w:tc>
      </w:tr>
    </w:tbl>
    <w:bookmarkEnd w:id="28"/>
    <w:bookmarkStart w:id="30" w:name="variable-abbreviations"/>
    <w:p>
      <w:pPr>
        <w:pStyle w:val="Heading1"/>
      </w:pPr>
      <w:r>
        <w:t xml:space="preserve">3. Variable Abbreviations</w:t>
      </w:r>
    </w:p>
    <w:p>
      <w:pPr>
        <w:pStyle w:val="FirstParagraph"/>
      </w:pPr>
      <w:r>
        <w:t xml:space="preserve">For parsimony, we use the following conventions for variable names in equations and statistical syntax.</w:t>
      </w:r>
    </w:p>
    <w:tbl>
      <w:tblPr>
        <w:tblStyle w:val="Table"/>
        <w:tblW w:type="pct" w:w="5000"/>
        <w:tblLayout w:type="fixed"/>
        <w:tblLook w:firstRow="0" w:lastRow="0" w:firstColumn="0" w:lastColumn="0" w:noHBand="0" w:noVBand="0" w:val="0000"/>
      </w:tblPr>
      <w:tblGrid>
        <w:gridCol w:w="7920"/>
      </w:tblGrid>
      <w:tr>
        <w:tc>
          <w:tcPr/>
          <w:bookmarkStart w:id="29" w:name="tbl-variables"/>
          <w:p>
            <w:pPr>
              <w:jc w:val="center"/>
            </w:pPr>
            <w:pPr>
              <w:jc w:val="start"/>
              <w:spacing w:before="200"/>
              <w:pStyle w:val="ImageCaption"/>
            </w:pPr>
            <w:r>
              <w:t xml:space="preserve">Table 1: Variables and Variable Labels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jc w:val="center"/>
                  </w:pPr>
                  <w:r>
                    <w:t xml:space="preserve">Label</w:t>
                  </w:r>
                </w:p>
              </w:tc>
            </w:tr>
            <w:tr>
              <w:tc>
                <w:tcPr/>
                <w:p>
                  <w:pPr>
                    <w:pStyle w:val="Compact"/>
                    <w:jc w:val="center"/>
                  </w:pPr>
                  <w:r>
                    <w:rPr>
                      <w:rStyle w:val="VerbatimChar"/>
                    </w:rPr>
                    <w:t xml:space="preserve">administrative</w:t>
                  </w:r>
                </w:p>
              </w:tc>
              <w:tc>
                <w:tcPr/>
                <w:p>
                  <w:pPr>
                    <w:pStyle w:val="Compact"/>
                    <w:jc w:val="left"/>
                    <w:jc w:val="center"/>
                  </w:pPr>
                  <w:r>
                    <w:t xml:space="preserve">administrative report</w:t>
                  </w:r>
                </w:p>
              </w:tc>
            </w:tr>
            <w:tr>
              <w:tc>
                <w:tcPr/>
                <w:p>
                  <w:pPr>
                    <w:pStyle w:val="Compact"/>
                    <w:jc w:val="center"/>
                  </w:pPr>
                  <w:r>
                    <w:rPr>
                      <w:rStyle w:val="VerbatimChar"/>
                    </w:rPr>
                    <w:t xml:space="preserve">PR1</w:t>
                  </w:r>
                </w:p>
              </w:tc>
              <w:tc>
                <w:tcPr/>
                <w:p>
                  <w:pPr>
                    <w:pStyle w:val="Compact"/>
                    <w:jc w:val="left"/>
                    <w:jc w:val="center"/>
                  </w:pPr>
                  <w:r>
                    <w:t xml:space="preserve">parental report in early childhood</w:t>
                  </w:r>
                </w:p>
              </w:tc>
            </w:tr>
            <w:tr>
              <w:tc>
                <w:tcPr/>
                <w:p>
                  <w:pPr>
                    <w:pStyle w:val="Compact"/>
                    <w:jc w:val="center"/>
                  </w:pPr>
                  <w:r>
                    <w:rPr>
                      <w:rStyle w:val="VerbatimChar"/>
                    </w:rPr>
                    <w:t xml:space="preserve">PR2</w:t>
                  </w:r>
                </w:p>
              </w:tc>
              <w:tc>
                <w:tcPr/>
                <w:p>
                  <w:pPr>
                    <w:pStyle w:val="Compact"/>
                    <w:jc w:val="left"/>
                    <w:jc w:val="center"/>
                  </w:pPr>
                  <w:r>
                    <w:t xml:space="preserve">parental report in middle childhood</w:t>
                  </w:r>
                </w:p>
              </w:tc>
            </w:tr>
            <w:tr>
              <w:tc>
                <w:tcPr/>
                <w:p>
                  <w:pPr>
                    <w:pStyle w:val="Compact"/>
                    <w:jc w:val="center"/>
                  </w:pPr>
                  <w:r>
                    <w:rPr>
                      <w:rStyle w:val="VerbatimChar"/>
                    </w:rPr>
                    <w:t xml:space="preserve">SR1</w:t>
                  </w:r>
                </w:p>
              </w:tc>
              <w:tc>
                <w:tcPr/>
                <w:p>
                  <w:pPr>
                    <w:pStyle w:val="Compact"/>
                    <w:jc w:val="left"/>
                    <w:jc w:val="center"/>
                  </w:pPr>
                  <w:r>
                    <w:t xml:space="preserve">adolescent self report</w:t>
                  </w:r>
                </w:p>
              </w:tc>
            </w:tr>
            <w:tr>
              <w:tc>
                <w:tcPr/>
                <w:p>
                  <w:pPr>
                    <w:pStyle w:val="Compact"/>
                    <w:jc w:val="center"/>
                  </w:pPr>
                  <w:r>
                    <w:rPr>
                      <w:rStyle w:val="VerbatimChar"/>
                    </w:rPr>
                    <w:t xml:space="preserve">SR2</w:t>
                  </w:r>
                </w:p>
              </w:tc>
              <w:tc>
                <w:tcPr/>
                <w:p>
                  <w:pPr>
                    <w:pStyle w:val="Compact"/>
                    <w:jc w:val="left"/>
                    <w:jc w:val="center"/>
                  </w:pPr>
                  <w:r>
                    <w:t xml:space="preserve">adult self report</w:t>
                  </w:r>
                </w:p>
              </w:tc>
            </w:tr>
            <w:tr>
              <w:tc>
                <w:tcPr/>
                <w:p>
                  <w:pPr>
                    <w:pStyle w:val="Compact"/>
                    <w:jc w:val="center"/>
                  </w:pPr>
                  <w:r>
                    <w:rPr>
                      <w:rStyle w:val="VerbatimChar"/>
                    </w:rPr>
                    <w:t xml:space="preserve">covariates</w:t>
                  </w:r>
                </w:p>
              </w:tc>
              <w:tc>
                <w:tcPr/>
                <w:p>
                  <w:pPr>
                    <w:pStyle w:val="Compact"/>
                    <w:jc w:val="left"/>
                    <w:jc w:val="center"/>
                  </w:pPr>
                  <w:r>
                    <w:t xml:space="preserve">covariates (multiple variables)</w:t>
                  </w:r>
                </w:p>
              </w:tc>
            </w:tr>
            <w:tr>
              <w:tc>
                <w:tcPr/>
                <w:p>
                  <w:pPr>
                    <w:pStyle w:val="Compact"/>
                    <w:jc w:val="center"/>
                  </w:pPr>
                  <w:r>
                    <w:rPr>
                      <w:rStyle w:val="VerbatimChar"/>
                    </w:rPr>
                    <w:t xml:space="preserve">outcome</w:t>
                  </w:r>
                </w:p>
              </w:tc>
              <w:tc>
                <w:tcPr/>
                <w:p>
                  <w:pPr>
                    <w:pStyle w:val="Compact"/>
                    <w:jc w:val="left"/>
                    <w:jc w:val="center"/>
                  </w:pPr>
                  <w:r>
                    <w:t xml:space="preserve">mental health outcome</w:t>
                  </w:r>
                </w:p>
              </w:tc>
            </w:tr>
          </w:tbl>
          <w:bookmarkEnd w:id="29"/>
          <w:p/>
        </w:tc>
      </w:tr>
    </w:tbl>
    <w:bookmarkEnd w:id="30"/>
    <w:bookmarkStart w:id="88" w:name="methods"/>
    <w:p>
      <w:pPr>
        <w:pStyle w:val="Heading1"/>
      </w:pPr>
      <w:r>
        <w:t xml:space="preserve">4. Methods</w:t>
      </w:r>
    </w:p>
    <w:bookmarkStart w:id="39" w:name="ols-regression"/>
    <w:p>
      <w:pPr>
        <w:pStyle w:val="Heading2"/>
      </w:pPr>
      <w:r>
        <w:t xml:space="preserve">4.1 OLS Regression</w:t>
      </w:r>
    </w:p>
    <w:p>
      <w:pPr>
        <w:pStyle w:val="FirstParagraph"/>
      </w:pPr>
      <w:r>
        <w:t xml:space="preserve">Our outcome is continuous. Therefore we here employ</w:t>
      </w:r>
      <w:r>
        <w:t xml:space="preserve"> </w:t>
      </w:r>
      <w:r>
        <w:rPr>
          <w:i/>
          <w:iCs/>
        </w:rPr>
        <w:t xml:space="preserve">ordinary least squares regression</w:t>
      </w:r>
      <w:r>
        <w:t xml:space="preserve">. Were our outcome to be dichotomous, we could as easily employ</w:t>
      </w:r>
      <w:r>
        <w:t xml:space="preserve"> </w:t>
      </w:r>
      <w:r>
        <w:rPr>
          <w:i/>
          <w:iCs/>
        </w:rPr>
        <w:t xml:space="preserve">logistic regression</w:t>
      </w:r>
      <w:r>
        <w:t xml:space="preserve">.</w:t>
      </w:r>
    </w:p>
    <w:bookmarkStart w:id="35" w:name="diagram"/>
    <w:p>
      <w:pPr>
        <w:pStyle w:val="Heading3"/>
      </w:pPr>
      <w:r>
        <w:t xml:space="preserve">4.1.1 Diagram</w:t>
      </w:r>
    </w:p>
    <w:tbl>
      <w:tblPr>
        <w:tblStyle w:val="Table"/>
        <w:tblW w:type="pct" w:w="5000"/>
        <w:tblLayout w:type="fixed"/>
        <w:tblLook w:firstRow="0" w:lastRow="0" w:firstColumn="0" w:lastColumn="0" w:noHBand="0" w:noVBand="0" w:val="0000"/>
      </w:tblPr>
      <w:tblGrid>
        <w:gridCol w:w="7920"/>
      </w:tblGrid>
      <w:tr>
        <w:tc>
          <w:tcPr/>
          <w:bookmarkStart w:id="34" w:name="fig-OLS"/>
          <w:p>
            <w:pPr>
              <w:pStyle w:val="Compact"/>
              <w:jc w:val="center"/>
            </w:pPr>
            <w:r>
              <w:drawing>
                <wp:inline>
                  <wp:extent cx="5334000" cy="3001264"/>
                  <wp:effectExtent b="0" l="0" r="0" t="0"/>
                  <wp:docPr descr="" title="" id="32" name="Picture"/>
                  <a:graphic>
                    <a:graphicData uri="http://schemas.openxmlformats.org/drawingml/2006/picture">
                      <pic:pic>
                        <pic:nvPicPr>
                          <pic:cNvPr descr="Slide2.png" id="33" name="Picture"/>
                          <pic:cNvPicPr>
                            <a:picLocks noChangeArrowheads="1" noChangeAspect="1"/>
                          </pic:cNvPicPr>
                        </pic:nvPicPr>
                        <pic:blipFill>
                          <a:blip r:embed="rId3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OLS</w:t>
            </w:r>
          </w:p>
          <w:bookmarkEnd w:id="34"/>
        </w:tc>
      </w:tr>
    </w:tbl>
    <w:bookmarkEnd w:id="35"/>
    <w:bookmarkStart w:id="37" w:name="equation"/>
    <w:p>
      <w:pPr>
        <w:pStyle w:val="Heading3"/>
      </w:pPr>
      <w:r>
        <w:t xml:space="preserve">4.1.2 Equation</w:t>
      </w:r>
    </w:p>
    <w:p>
      <w:pPr>
        <w:pStyle w:val="FirstParagraph"/>
      </w:pPr>
      <w:bookmarkStart w:id="36" w:name="eq-OLS"/>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1</m:t>
              </m:r>
            </m:e>
          </m:d>
        </m:oMath>
      </m:oMathPara>
      <w:bookmarkEnd w:id="36"/>
    </w:p>
    <w:bookmarkEnd w:id="37"/>
    <w:bookmarkStart w:id="38" w:name="syntax"/>
    <w:p>
      <w:pPr>
        <w:pStyle w:val="Heading3"/>
      </w:pPr>
      <w:r>
        <w:t xml:space="preserve">4.1.3 Syntax</w:t>
      </w:r>
    </w:p>
    <w:p>
      <w:pPr>
        <w:pStyle w:val="SourceCode"/>
      </w:pPr>
      <w:r>
        <w:rPr>
          <w:rStyle w:val="KeywordTok"/>
        </w:rPr>
        <w:t xml:space="preserve">regress</w:t>
      </w:r>
      <w:r>
        <w:rPr>
          <w:rStyle w:val="NormalTok"/>
        </w:rPr>
        <w:t xml:space="preserve"> outcome P1 P2 SR1 SR2 administrative covariates</w:t>
      </w:r>
    </w:p>
    <w:p>
      <w:pPr>
        <w:pStyle w:val="FirstParagraph"/>
      </w:pPr>
      <w:r>
        <w:t xml:space="preserve">For logistic regression, the appropriate syntax would be:</w:t>
      </w:r>
    </w:p>
    <w:p>
      <w:pPr>
        <w:pStyle w:val="SourceCode"/>
      </w:pPr>
      <w:r>
        <w:rPr>
          <w:rStyle w:val="KeywordTok"/>
        </w:rPr>
        <w:t xml:space="preserve">logit</w:t>
      </w:r>
      <w:r>
        <w:rPr>
          <w:rStyle w:val="NormalTok"/>
        </w:rPr>
        <w:t xml:space="preserve"> outcome P1 P2 SR1 SR2 administrative covariates, </w:t>
      </w:r>
      <w:r>
        <w:rPr>
          <w:rStyle w:val="KeywordTok"/>
        </w:rPr>
        <w:t xml:space="preserve">or</w:t>
      </w:r>
    </w:p>
    <w:bookmarkEnd w:id="38"/>
    <w:bookmarkEnd w:id="39"/>
    <w:bookmarkStart w:id="50" w:name="summing-across-reporters"/>
    <w:p>
      <w:pPr>
        <w:pStyle w:val="Heading2"/>
      </w:pPr>
      <w:r>
        <w:t xml:space="preserve">4.2 Summing Across Reporters</w:t>
      </w:r>
    </w:p>
    <w:bookmarkStart w:id="44" w:name="diagram-1"/>
    <w:p>
      <w:pPr>
        <w:pStyle w:val="Heading3"/>
      </w:pPr>
      <w:r>
        <w:t xml:space="preserve">4.2.1 Diagram</w:t>
      </w:r>
    </w:p>
    <w:tbl>
      <w:tblPr>
        <w:tblStyle w:val="Table"/>
        <w:tblW w:type="pct" w:w="5000"/>
        <w:tblLayout w:type="fixed"/>
        <w:tblLook w:firstRow="0" w:lastRow="0" w:firstColumn="0" w:lastColumn="0" w:noHBand="0" w:noVBand="0" w:val="0000"/>
      </w:tblPr>
      <w:tblGrid>
        <w:gridCol w:w="7920"/>
      </w:tblGrid>
      <w:tr>
        <w:tc>
          <w:tcPr/>
          <w:bookmarkStart w:id="43" w:name="fig-sum"/>
          <w:p>
            <w:pPr>
              <w:pStyle w:val="Compact"/>
              <w:jc w:val="center"/>
            </w:pPr>
            <w:r>
              <w:drawing>
                <wp:inline>
                  <wp:extent cx="5334000" cy="3001264"/>
                  <wp:effectExtent b="0" l="0" r="0" t="0"/>
                  <wp:docPr descr="" title="" id="41" name="Picture"/>
                  <a:graphic>
                    <a:graphicData uri="http://schemas.openxmlformats.org/drawingml/2006/picture">
                      <pic:pic>
                        <pic:nvPicPr>
                          <pic:cNvPr descr="Slide3.png" id="42" name="Picture"/>
                          <pic:cNvPicPr>
                            <a:picLocks noChangeArrowheads="1" noChangeAspect="1"/>
                          </pic:cNvPicPr>
                        </pic:nvPicPr>
                        <pic:blipFill>
                          <a:blip r:embed="rId40"/>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summing across reporters</w:t>
            </w:r>
          </w:p>
          <w:bookmarkEnd w:id="43"/>
        </w:tc>
      </w:tr>
    </w:tbl>
    <w:bookmarkEnd w:id="44"/>
    <w:bookmarkStart w:id="48" w:name="equation-1"/>
    <w:p>
      <w:pPr>
        <w:pStyle w:val="Heading3"/>
      </w:pPr>
      <w:r>
        <w:t xml:space="preserve">4.2.2 Equation</w:t>
      </w:r>
    </w:p>
    <w:p>
      <w:pPr>
        <w:pStyle w:val="FirstParagraph"/>
      </w:pPr>
      <w:r>
        <w:t xml:space="preserve">First, we average parental reports:</w:t>
      </w:r>
    </w:p>
    <w:p>
      <w:pPr>
        <w:pStyle w:val="BodyText"/>
      </w:pPr>
      <w:bookmarkStart w:id="45" w:name="eq-average-parental"/>
      <m:oMathPara>
        <m:oMathParaPr>
          <m:jc m:val="center"/>
        </m:oMathParaPr>
        <m:oMath>
          <m:r>
            <m:t>P</m:t>
          </m:r>
          <m:r>
            <m:rPr>
              <m:sty m:val="p"/>
            </m:rPr>
            <m:t>=</m:t>
          </m:r>
          <m:f>
            <m:fPr>
              <m:type m:val="bar"/>
            </m:fPr>
            <m:num>
              <m:r>
                <m:t>P</m:t>
              </m:r>
              <m:r>
                <m:t>1</m:t>
              </m:r>
              <m:r>
                <m:rPr>
                  <m:sty m:val="p"/>
                </m:rPr>
                <m:t>+</m:t>
              </m:r>
              <m:r>
                <m:t>P</m:t>
              </m:r>
              <m:r>
                <m:t>2</m:t>
              </m:r>
            </m:num>
            <m:den>
              <m:r>
                <m:t>2</m:t>
              </m:r>
            </m:den>
          </m:f>
          <m:r>
            <m:t>  </m:t>
          </m:r>
          <m:d>
            <m:dPr>
              <m:begChr m:val="("/>
              <m:endChr m:val=")"/>
              <m:sepChr m:val=""/>
              <m:grow/>
            </m:dPr>
            <m:e>
              <m:r>
                <m:t>2</m:t>
              </m:r>
            </m:e>
          </m:d>
        </m:oMath>
      </m:oMathPara>
      <w:bookmarkEnd w:id="45"/>
    </w:p>
    <w:p>
      <w:pPr>
        <w:pStyle w:val="FirstParagraph"/>
      </w:pPr>
      <w:r>
        <w:t xml:space="preserve">Then, we average self reports:</w:t>
      </w:r>
    </w:p>
    <w:p>
      <w:pPr>
        <w:pStyle w:val="BodyText"/>
      </w:pPr>
      <w:bookmarkStart w:id="46" w:name="eq-average-self"/>
      <m:oMathPara>
        <m:oMathParaPr>
          <m:jc m:val="center"/>
        </m:oMathParaPr>
        <m:oMath>
          <m:r>
            <m:t>S</m:t>
          </m:r>
          <m:r>
            <m:t>R</m:t>
          </m:r>
          <m:r>
            <m:rPr>
              <m:sty m:val="p"/>
            </m:rPr>
            <m:t>=</m:t>
          </m:r>
          <m:f>
            <m:fPr>
              <m:type m:val="bar"/>
            </m:fPr>
            <m:num>
              <m:r>
                <m:t>S</m:t>
              </m:r>
              <m:r>
                <m:t>R</m:t>
              </m:r>
              <m:r>
                <m:t>1</m:t>
              </m:r>
              <m:r>
                <m:rPr>
                  <m:sty m:val="p"/>
                </m:rPr>
                <m:t>+</m:t>
              </m:r>
              <m:r>
                <m:t>S</m:t>
              </m:r>
              <m:r>
                <m:t>R</m:t>
              </m:r>
              <m:r>
                <m:t>2</m:t>
              </m:r>
            </m:num>
            <m:den>
              <m:r>
                <m:t>2</m:t>
              </m:r>
            </m:den>
          </m:f>
          <m:r>
            <m:t>  </m:t>
          </m:r>
          <m:d>
            <m:dPr>
              <m:begChr m:val="("/>
              <m:endChr m:val=")"/>
              <m:sepChr m:val=""/>
              <m:grow/>
            </m:dPr>
            <m:e>
              <m:r>
                <m:t>3</m:t>
              </m:r>
            </m:e>
          </m:d>
        </m:oMath>
      </m:oMathPara>
      <w:bookmarkEnd w:id="46"/>
    </w:p>
    <w:p>
      <w:pPr>
        <w:pStyle w:val="FirstParagraph"/>
      </w:pPr>
      <w:r>
        <w:t xml:space="preserve">Lastly, we estimate an OLS model in which averaged parental and self reports are variables in the model.</w:t>
      </w:r>
    </w:p>
    <w:p>
      <w:pPr>
        <w:pStyle w:val="BodyText"/>
      </w:pPr>
      <w:bookmarkStart w:id="47" w:name="eq-average-reporters"/>
      <m:oMathPara>
        <m:oMathParaPr>
          <m:jc m:val="center"/>
        </m:oMathParaPr>
        <m:oMath>
          <m:r>
            <m:rPr>
              <m:nor/>
              <m:sty m:val="p"/>
            </m:rPr>
            <m:t>outcome</m:t>
          </m:r>
          <m:r>
            <m:rPr>
              <m:sty m:val="p"/>
            </m:rPr>
            <m:t>=</m:t>
          </m:r>
          <m:sSub>
            <m:e>
              <m:r>
                <m:t>β</m:t>
              </m:r>
            </m:e>
            <m:sub>
              <m:r>
                <m:t>0</m:t>
              </m:r>
            </m:sub>
          </m:sSub>
          <m:r>
            <m:rPr>
              <m:sty m:val="p"/>
            </m:rPr>
            <m:t>+</m:t>
          </m:r>
          <m:r>
            <m:t>β</m:t>
          </m:r>
          <m:r>
            <m:rPr>
              <m:nor/>
              <m:sty m:val="p"/>
            </m:rPr>
            <m:t>P</m:t>
          </m:r>
          <m:r>
            <m:rPr>
              <m:sty m:val="p"/>
            </m:rPr>
            <m:t>+</m:t>
          </m:r>
          <m:r>
            <m:t>β</m:t>
          </m:r>
          <m:r>
            <m:rPr>
              <m:nor/>
              <m:sty m:val="p"/>
            </m:rPr>
            <m:t>SR</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4</m:t>
              </m:r>
            </m:e>
          </m:d>
        </m:oMath>
      </m:oMathPara>
      <w:bookmarkEnd w:id="47"/>
    </w:p>
    <w:bookmarkEnd w:id="48"/>
    <w:bookmarkStart w:id="49" w:name="syntax-1"/>
    <w:p>
      <w:pPr>
        <w:pStyle w:val="Heading3"/>
      </w:pPr>
      <w:r>
        <w:t xml:space="preserve">4.2.3 Syntax</w:t>
      </w:r>
    </w:p>
    <w:p>
      <w:pPr>
        <w:pStyle w:val="SourceCode"/>
      </w:pPr>
      <w:r>
        <w:rPr>
          <w:rStyle w:val="KeywordTok"/>
        </w:rPr>
        <w:t xml:space="preserve">generate</w:t>
      </w:r>
      <w:r>
        <w:rPr>
          <w:rStyle w:val="NormalTok"/>
        </w:rPr>
        <w:t xml:space="preserve"> P = (P1 + P2) / 2 </w:t>
      </w:r>
      <w:r>
        <w:rPr>
          <w:rStyle w:val="CommentTok"/>
        </w:rPr>
        <w:t xml:space="preserve">// is averaging appropriate?</w:t>
      </w:r>
      <w:r>
        <w:br/>
      </w:r>
      <w:r>
        <w:rPr>
          <w:rStyle w:val="NormalTok"/>
        </w:rPr>
        <w:t xml:space="preserve">  </w:t>
      </w:r>
      <w:r>
        <w:br/>
      </w:r>
      <w:r>
        <w:rPr>
          <w:rStyle w:val="KeywordTok"/>
        </w:rPr>
        <w:t xml:space="preserve">generate</w:t>
      </w:r>
      <w:r>
        <w:rPr>
          <w:rStyle w:val="NormalTok"/>
        </w:rPr>
        <w:t xml:space="preserve"> SR = (SR1 + SR2) / 2 </w:t>
      </w:r>
      <w:r>
        <w:rPr>
          <w:rStyle w:val="CommentTok"/>
        </w:rPr>
        <w:t xml:space="preserve">// is averaging appropriate?</w:t>
      </w:r>
      <w:r>
        <w:br/>
      </w:r>
      <w:r>
        <w:br/>
      </w:r>
      <w:r>
        <w:rPr>
          <w:rStyle w:val="KeywordTok"/>
        </w:rPr>
        <w:t xml:space="preserve">regress</w:t>
      </w:r>
      <w:r>
        <w:rPr>
          <w:rStyle w:val="NormalTok"/>
        </w:rPr>
        <w:t xml:space="preserve"> outcome P SR administrative covariates</w:t>
      </w:r>
    </w:p>
    <w:bookmarkEnd w:id="49"/>
    <w:bookmarkEnd w:id="50"/>
    <w:bookmarkStart w:id="59" w:name="path-model"/>
    <w:p>
      <w:pPr>
        <w:pStyle w:val="Heading2"/>
      </w:pPr>
      <w:r>
        <w:t xml:space="preserve">4.3 Path Model</w:t>
      </w:r>
    </w:p>
    <w:bookmarkStart w:id="55" w:name="diagram-2"/>
    <w:p>
      <w:pPr>
        <w:pStyle w:val="Heading3"/>
      </w:pPr>
      <w:r>
        <w:t xml:space="preserve">4.3.1 Diagram</w:t>
      </w:r>
    </w:p>
    <w:tbl>
      <w:tblPr>
        <w:tblStyle w:val="Table"/>
        <w:tblW w:type="pct" w:w="5000"/>
        <w:tblLayout w:type="fixed"/>
        <w:tblLook w:firstRow="0" w:lastRow="0" w:firstColumn="0" w:lastColumn="0" w:noHBand="0" w:noVBand="0" w:val="0000"/>
      </w:tblPr>
      <w:tblGrid>
        <w:gridCol w:w="7920"/>
      </w:tblGrid>
      <w:tr>
        <w:tc>
          <w:tcPr/>
          <w:bookmarkStart w:id="54" w:name="fig-path"/>
          <w:p>
            <w:pPr>
              <w:pStyle w:val="Compact"/>
              <w:jc w:val="center"/>
            </w:pPr>
            <w:r>
              <w:drawing>
                <wp:inline>
                  <wp:extent cx="5334000" cy="3001264"/>
                  <wp:effectExtent b="0" l="0" r="0" t="0"/>
                  <wp:docPr descr="" title="" id="52" name="Picture"/>
                  <a:graphic>
                    <a:graphicData uri="http://schemas.openxmlformats.org/drawingml/2006/picture">
                      <pic:pic>
                        <pic:nvPicPr>
                          <pic:cNvPr descr="Slide4.png" id="53" name="Picture"/>
                          <pic:cNvPicPr>
                            <a:picLocks noChangeArrowheads="1" noChangeAspect="1"/>
                          </pic:cNvPicPr>
                        </pic:nvPicPr>
                        <pic:blipFill>
                          <a:blip r:embed="rId5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path model</w:t>
            </w:r>
          </w:p>
          <w:bookmarkEnd w:id="54"/>
        </w:tc>
      </w:tr>
    </w:tbl>
    <w:bookmarkEnd w:id="55"/>
    <w:bookmarkStart w:id="57" w:name="equation-2"/>
    <w:p>
      <w:pPr>
        <w:pStyle w:val="Heading3"/>
      </w:pPr>
      <w:r>
        <w:t xml:space="preserve">4.3.2 Equation</w:t>
      </w:r>
    </w:p>
    <w:p>
      <w:pPr>
        <w:pStyle w:val="FirstParagraph"/>
      </w:pPr>
      <w:bookmarkStart w:id="56" w:name="eq-path"/>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5</m:t>
              </m:r>
            </m:e>
          </m:d>
        </m:oMath>
      </m:oMathPara>
      <w:bookmarkEnd w:id="56"/>
    </w:p>
    <w:p>
      <w:pPr>
        <w:pStyle w:val="FirstParagraph"/>
      </w:pPr>
      <m:oMathPara>
        <m:oMathParaPr>
          <m:jc m:val="center"/>
        </m:oMathParaPr>
        <m:oMath>
          <m:r>
            <m:rPr>
              <m:nor/>
              <m:sty m:val="p"/>
            </m:rPr>
            <m:t>SR2</m:t>
          </m:r>
          <m:r>
            <m:rPr>
              <m:sty m:val="p"/>
            </m:rPr>
            <m:t>=</m:t>
          </m:r>
          <m:sSub>
            <m:e>
              <m:r>
                <m:t>β</m:t>
              </m:r>
            </m:e>
            <m:sub>
              <m:r>
                <m:t>0</m:t>
              </m:r>
            </m:sub>
          </m:sSub>
          <m:r>
            <m:rPr>
              <m:sty m:val="p"/>
            </m:rPr>
            <m:t>+</m:t>
          </m:r>
          <m:r>
            <m:t>β</m:t>
          </m:r>
          <m:r>
            <m:rPr>
              <m:nor/>
              <m:sty m:val="p"/>
            </m:rPr>
            <m:t>SR1</m:t>
          </m:r>
          <m:r>
            <m:rPr>
              <m:sty m:val="p"/>
            </m:rPr>
            <m:t>+</m:t>
          </m:r>
          <m:sSub>
            <m:e>
              <m:r>
                <m:t>e</m:t>
              </m:r>
            </m:e>
            <m:sub>
              <m:r>
                <m:t>i</m:t>
              </m:r>
            </m:sub>
          </m:sSub>
        </m:oMath>
      </m:oMathPara>
    </w:p>
    <w:p>
      <w:pPr>
        <w:pStyle w:val="FirstParagraph"/>
      </w:pPr>
      <m:oMathPara>
        <m:oMathParaPr>
          <m:jc m:val="center"/>
        </m:oMathParaPr>
        <m:oMath>
          <m:r>
            <m:rPr>
              <m:nor/>
              <m:sty m:val="p"/>
            </m:rPr>
            <m:t>P2</m:t>
          </m:r>
          <m:r>
            <m:rPr>
              <m:sty m:val="p"/>
            </m:rPr>
            <m:t>=</m:t>
          </m:r>
          <m:sSub>
            <m:e>
              <m:r>
                <m:t>β</m:t>
              </m:r>
            </m:e>
            <m:sub>
              <m:r>
                <m:t>0</m:t>
              </m:r>
            </m:sub>
          </m:sSub>
          <m:r>
            <m:rPr>
              <m:sty m:val="p"/>
            </m:rPr>
            <m:t>+</m:t>
          </m:r>
          <m:r>
            <m:t>β</m:t>
          </m:r>
          <m:r>
            <m:rPr>
              <m:nor/>
              <m:sty m:val="p"/>
            </m:rPr>
            <m:t>P1</m:t>
          </m:r>
          <m:r>
            <m:rPr>
              <m:sty m:val="p"/>
            </m:rPr>
            <m:t>+</m:t>
          </m:r>
          <m:sSub>
            <m:e>
              <m:r>
                <m:t>e</m:t>
              </m:r>
            </m:e>
            <m:sub>
              <m:r>
                <m:t>i</m:t>
              </m:r>
            </m:sub>
          </m:sSub>
        </m:oMath>
      </m:oMathPara>
    </w:p>
    <w:bookmarkEnd w:id="57"/>
    <w:bookmarkStart w:id="58" w:name="syntax-2"/>
    <w:p>
      <w:pPr>
        <w:pStyle w:val="Heading3"/>
      </w:pPr>
      <w:r>
        <w:t xml:space="preserve">4.3.3 Syntax</w:t>
      </w:r>
    </w:p>
    <w:p>
      <w:pPr>
        <w:pStyle w:val="SourceCode"/>
      </w:pPr>
      <w:r>
        <w:rPr>
          <w:rStyle w:val="NormalTok"/>
        </w:rPr>
        <w:t xml:space="preserve">sem (outcome &lt;- covariates SR1 SR2 PR1 PR2 administrative) </w:t>
      </w:r>
      <w:r>
        <w:rPr>
          <w:rStyle w:val="CommentTok"/>
        </w:rPr>
        <w:t xml:space="preserve">///</w:t>
      </w:r>
      <w:r>
        <w:br/>
      </w:r>
      <w:r>
        <w:rPr>
          <w:rStyle w:val="NormalTok"/>
        </w:rPr>
        <w:t xml:space="preserve">  (SR2 &lt;- SR1) </w:t>
      </w:r>
      <w:r>
        <w:rPr>
          <w:rStyle w:val="CommentTok"/>
        </w:rPr>
        <w:t xml:space="preserve">///</w:t>
      </w:r>
      <w:r>
        <w:br/>
      </w:r>
      <w:r>
        <w:rPr>
          <w:rStyle w:val="NormalTok"/>
        </w:rPr>
        <w:t xml:space="preserve">  (PR2 &lt;- PR1) </w:t>
      </w:r>
      <w:r>
        <w:rPr>
          <w:rStyle w:val="CommentTok"/>
        </w:rPr>
        <w:t xml:space="preserve">///</w:t>
      </w:r>
      <w:r>
        <w:br/>
      </w:r>
      <w:r>
        <w:rPr>
          <w:rStyle w:val="NormalTok"/>
        </w:rPr>
        <w:t xml:space="preserve">  cov(</w:t>
      </w:r>
      <w:r>
        <w:rPr>
          <w:rStyle w:val="FunctionTok"/>
        </w:rPr>
        <w:t xml:space="preserve">e</w:t>
      </w:r>
      <w:r>
        <w:rPr>
          <w:rStyle w:val="NormalTok"/>
        </w:rPr>
        <w:t xml:space="preserve">.outcome*</w:t>
      </w:r>
      <w:r>
        <w:rPr>
          <w:rStyle w:val="FunctionTok"/>
        </w:rPr>
        <w:t xml:space="preserve">e</w:t>
      </w:r>
      <w:r>
        <w:rPr>
          <w:rStyle w:val="NormalTok"/>
        </w:rPr>
        <w:t xml:space="preserve">.SR2*</w:t>
      </w:r>
      <w:r>
        <w:rPr>
          <w:rStyle w:val="FunctionTok"/>
        </w:rPr>
        <w:t xml:space="preserve">e</w:t>
      </w:r>
      <w:r>
        <w:rPr>
          <w:rStyle w:val="NormalTok"/>
        </w:rPr>
        <w:t xml:space="preserve">.PR2) </w:t>
      </w:r>
      <w:r>
        <w:rPr>
          <w:rStyle w:val="CommentTok"/>
        </w:rPr>
        <w:t xml:space="preserve">// correlated errors</w:t>
      </w:r>
    </w:p>
    <w:bookmarkEnd w:id="58"/>
    <w:bookmarkEnd w:id="59"/>
    <w:bookmarkStart w:id="67" w:name="latent-constructs"/>
    <w:p>
      <w:pPr>
        <w:pStyle w:val="Heading2"/>
      </w:pPr>
      <w:r>
        <w:t xml:space="preserve">4.4 Latent Construct(s)</w:t>
      </w:r>
    </w:p>
    <w:bookmarkStart w:id="64" w:name="diagram-3"/>
    <w:p>
      <w:pPr>
        <w:pStyle w:val="Heading3"/>
      </w:pPr>
      <w:r>
        <w:t xml:space="preserve">4.4.1 Diagram</w:t>
      </w:r>
    </w:p>
    <w:tbl>
      <w:tblPr>
        <w:tblStyle w:val="Table"/>
        <w:tblW w:type="pct" w:w="5000"/>
        <w:tblLayout w:type="fixed"/>
        <w:tblLook w:firstRow="0" w:lastRow="0" w:firstColumn="0" w:lastColumn="0" w:noHBand="0" w:noVBand="0" w:val="0000"/>
      </w:tblPr>
      <w:tblGrid>
        <w:gridCol w:w="7920"/>
      </w:tblGrid>
      <w:tr>
        <w:tc>
          <w:tcPr/>
          <w:bookmarkStart w:id="63" w:name="fig-latent-construct"/>
          <w:p>
            <w:pPr>
              <w:pStyle w:val="Compact"/>
              <w:jc w:val="center"/>
            </w:pPr>
            <w:r>
              <w:drawing>
                <wp:inline>
                  <wp:extent cx="5334000" cy="3001264"/>
                  <wp:effectExtent b="0" l="0" r="0" t="0"/>
                  <wp:docPr descr="" title="" id="61" name="Picture"/>
                  <a:graphic>
                    <a:graphicData uri="http://schemas.openxmlformats.org/drawingml/2006/picture">
                      <pic:pic>
                        <pic:nvPicPr>
                          <pic:cNvPr descr="Slide5.png" id="62" name="Picture"/>
                          <pic:cNvPicPr>
                            <a:picLocks noChangeArrowheads="1" noChangeAspect="1"/>
                          </pic:cNvPicPr>
                        </pic:nvPicPr>
                        <pic:blipFill>
                          <a:blip r:embed="rId60"/>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latent construct</w:t>
            </w:r>
          </w:p>
          <w:bookmarkEnd w:id="63"/>
        </w:tc>
      </w:tr>
    </w:tbl>
    <w:bookmarkEnd w:id="64"/>
    <w:bookmarkStart w:id="65" w:name="equation-3"/>
    <w:p>
      <w:pPr>
        <w:pStyle w:val="Heading3"/>
      </w:pPr>
      <w:r>
        <w:t xml:space="preserve">4.4.2 Equation</w:t>
      </w:r>
    </w:p>
    <w:bookmarkEnd w:id="65"/>
    <w:bookmarkStart w:id="66" w:name="syntax-3"/>
    <w:p>
      <w:pPr>
        <w:pStyle w:val="Heading3"/>
      </w:pPr>
      <w:r>
        <w:t xml:space="preserve">4.4.3 Syntax</w:t>
      </w:r>
    </w:p>
    <w:p>
      <w:pPr>
        <w:pStyle w:val="SourceCode"/>
      </w:pPr>
      <w:r>
        <w:rPr>
          <w:rStyle w:val="NormalTok"/>
        </w:rPr>
        <w:t xml:space="preserve">sem </w:t>
      </w:r>
      <w:r>
        <w:rPr>
          <w:rStyle w:val="CommentTok"/>
        </w:rPr>
        <w:t xml:space="preserve">///</w:t>
      </w:r>
      <w:r>
        <w:br/>
      </w:r>
      <w:r>
        <w:rPr>
          <w:rStyle w:val="NormalTok"/>
        </w:rPr>
        <w:t xml:space="preserve">  (P1 P2 SR1 SR2 administrative &lt;- X) </w:t>
      </w:r>
      <w:r>
        <w:rPr>
          <w:rStyle w:val="CommentTok"/>
        </w:rPr>
        <w:t xml:space="preserve">/// measurement</w:t>
      </w:r>
      <w:r>
        <w:br/>
      </w:r>
      <w:r>
        <w:rPr>
          <w:rStyle w:val="NormalTok"/>
        </w:rPr>
        <w:t xml:space="preserve">  (outcome &lt;- covariates X) </w:t>
      </w:r>
      <w:r>
        <w:rPr>
          <w:rStyle w:val="CommentTok"/>
        </w:rPr>
        <w:t xml:space="preserve">// structural</w:t>
      </w:r>
    </w:p>
    <w:bookmarkEnd w:id="66"/>
    <w:bookmarkEnd w:id="67"/>
    <w:bookmarkStart w:id="75" w:name="Xbbb4e9837f84b6b82107dc65c92698e942b5174"/>
    <w:p>
      <w:pPr>
        <w:pStyle w:val="Heading2"/>
      </w:pPr>
      <w:r>
        <w:t xml:space="preserve">4.5 Latent Profile Analysis (Person Centered Approach)</w:t>
      </w:r>
    </w:p>
    <w:bookmarkStart w:id="72" w:name="diagram-4"/>
    <w:p>
      <w:pPr>
        <w:pStyle w:val="Heading3"/>
      </w:pPr>
      <w:r>
        <w:t xml:space="preserve">4.5.1 Diagram</w:t>
      </w:r>
    </w:p>
    <w:tbl>
      <w:tblPr>
        <w:tblStyle w:val="Table"/>
        <w:tblW w:type="pct" w:w="5000"/>
        <w:tblLayout w:type="fixed"/>
        <w:tblLook w:firstRow="0" w:lastRow="0" w:firstColumn="0" w:lastColumn="0" w:noHBand="0" w:noVBand="0" w:val="0000"/>
      </w:tblPr>
      <w:tblGrid>
        <w:gridCol w:w="7920"/>
      </w:tblGrid>
      <w:tr>
        <w:tc>
          <w:tcPr/>
          <w:bookmarkStart w:id="71" w:name="fig-latent-profile"/>
          <w:p>
            <w:pPr>
              <w:pStyle w:val="Compact"/>
              <w:jc w:val="center"/>
            </w:pPr>
            <w:r>
              <w:drawing>
                <wp:inline>
                  <wp:extent cx="5334000" cy="3001264"/>
                  <wp:effectExtent b="0" l="0" r="0" t="0"/>
                  <wp:docPr descr="" title="" id="69" name="Picture"/>
                  <a:graphic>
                    <a:graphicData uri="http://schemas.openxmlformats.org/drawingml/2006/picture">
                      <pic:pic>
                        <pic:nvPicPr>
                          <pic:cNvPr descr="Slide6.png" id="70" name="Picture"/>
                          <pic:cNvPicPr>
                            <a:picLocks noChangeArrowheads="1" noChangeAspect="1"/>
                          </pic:cNvPicPr>
                        </pic:nvPicPr>
                        <pic:blipFill>
                          <a:blip r:embed="rId6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latent profile</w:t>
            </w:r>
          </w:p>
          <w:bookmarkEnd w:id="71"/>
        </w:tc>
      </w:tr>
    </w:tbl>
    <w:bookmarkEnd w:id="72"/>
    <w:bookmarkStart w:id="73" w:name="equation-4"/>
    <w:p>
      <w:pPr>
        <w:pStyle w:val="Heading3"/>
      </w:pPr>
      <w:r>
        <w:t xml:space="preserve">4.5.2 Equation</w:t>
      </w:r>
    </w:p>
    <w:bookmarkEnd w:id="73"/>
    <w:bookmarkStart w:id="74" w:name="syntax-4"/>
    <w:p>
      <w:pPr>
        <w:pStyle w:val="Heading3"/>
      </w:pPr>
      <w:r>
        <w:t xml:space="preserve">4.5.3 Syntax</w:t>
      </w:r>
    </w:p>
    <w:p>
      <w:pPr>
        <w:pStyle w:val="FirstParagraph"/>
      </w:pPr>
      <w:r>
        <w:t xml:space="preserve">We first run a latent class analysis to generate latent underlying classes based upon the reports of discipline from the different reporterers</w:t>
      </w:r>
    </w:p>
    <w:p>
      <w:pPr>
        <w:pStyle w:val="BodyText"/>
      </w:pPr>
      <w:r>
        <w:t xml:space="preserve">In the syntax below, we estimate three latent classes. The actual number of latent classes is determined by running models with different numbers of latent classes, and comparing those models using</w:t>
      </w:r>
      <w:r>
        <w:t xml:space="preserve"> </w:t>
      </w:r>
      <w:r>
        <w:rPr>
          <w:i/>
          <w:iCs/>
        </w:rPr>
        <w:t xml:space="preserve">fit statistics</w:t>
      </w:r>
      <w:r>
        <w:t xml:space="preserve">, and</w:t>
      </w:r>
      <w:r>
        <w:t xml:space="preserve"> </w:t>
      </w:r>
      <w:r>
        <w:rPr>
          <w:i/>
          <w:iCs/>
        </w:rPr>
        <w:t xml:space="preserve">likelihood ratio tests</w:t>
      </w:r>
      <w:r>
        <w:t xml:space="preserve">.</w:t>
      </w:r>
    </w:p>
    <w:p>
      <w:pPr>
        <w:pStyle w:val="SourceCode"/>
      </w:pPr>
      <w:r>
        <w:rPr>
          <w:rStyle w:val="NormalTok"/>
        </w:rPr>
        <w:t xml:space="preserve">gsem (P1 P2 SR1 SR2 administrative &lt;-, gaussian), (lclass(C 3))</w:t>
      </w:r>
    </w:p>
    <w:p>
      <w:pPr>
        <w:pStyle w:val="FirstParagraph"/>
      </w:pPr>
      <w:r>
        <w:t xml:space="preserve">We then use class membership to predict the outcome.</w:t>
      </w:r>
    </w:p>
    <w:p>
      <w:pPr>
        <w:pStyle w:val="SourceCode"/>
      </w:pPr>
      <w:r>
        <w:rPr>
          <w:rStyle w:val="KeywordTok"/>
        </w:rPr>
        <w:t xml:space="preserve">regress</w:t>
      </w:r>
      <w:r>
        <w:rPr>
          <w:rStyle w:val="NormalTok"/>
        </w:rPr>
        <w:t xml:space="preserve"> outcome i.</w:t>
      </w:r>
      <w:r>
        <w:rPr>
          <w:rStyle w:val="KeywordTok"/>
        </w:rPr>
        <w:t xml:space="preserve">class</w:t>
      </w:r>
      <w:r>
        <w:rPr>
          <w:rStyle w:val="NormalTok"/>
        </w:rPr>
        <w:t xml:space="preserve"> covariates</w:t>
      </w:r>
    </w:p>
    <w:bookmarkEnd w:id="74"/>
    <w:bookmarkEnd w:id="75"/>
    <w:bookmarkStart w:id="84" w:name="network-analysis"/>
    <w:p>
      <w:pPr>
        <w:pStyle w:val="Heading2"/>
      </w:pPr>
      <w:r>
        <w:t xml:space="preserve">4.6 Network Analysis</w:t>
      </w:r>
    </w:p>
    <w:bookmarkStart w:id="80" w:name="diagram-5"/>
    <w:p>
      <w:pPr>
        <w:pStyle w:val="Heading3"/>
      </w:pPr>
      <w:r>
        <w:t xml:space="preserve">4.6.1 Diagram</w:t>
      </w:r>
    </w:p>
    <w:tbl>
      <w:tblPr>
        <w:tblStyle w:val="Table"/>
        <w:tblW w:type="pct" w:w="5000"/>
        <w:tblLayout w:type="fixed"/>
        <w:tblLook w:firstRow="0" w:lastRow="0" w:firstColumn="0" w:lastColumn="0" w:noHBand="0" w:noVBand="0" w:val="0000"/>
      </w:tblPr>
      <w:tblGrid>
        <w:gridCol w:w="7920"/>
      </w:tblGrid>
      <w:tr>
        <w:tc>
          <w:tcPr/>
          <w:bookmarkStart w:id="79" w:name="fig-network"/>
          <w:p>
            <w:pPr>
              <w:pStyle w:val="Compact"/>
              <w:jc w:val="center"/>
            </w:pPr>
            <w:r>
              <w:drawing>
                <wp:inline>
                  <wp:extent cx="5334000" cy="3001264"/>
                  <wp:effectExtent b="0" l="0" r="0" t="0"/>
                  <wp:docPr descr="" title="" id="77" name="Picture"/>
                  <a:graphic>
                    <a:graphicData uri="http://schemas.openxmlformats.org/drawingml/2006/picture">
                      <pic:pic>
                        <pic:nvPicPr>
                          <pic:cNvPr descr="Slide7.png" id="78" name="Picture"/>
                          <pic:cNvPicPr>
                            <a:picLocks noChangeArrowheads="1" noChangeAspect="1"/>
                          </pic:cNvPicPr>
                        </pic:nvPicPr>
                        <pic:blipFill>
                          <a:blip r:embed="rId76"/>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network model</w:t>
            </w:r>
          </w:p>
          <w:bookmarkEnd w:id="79"/>
        </w:tc>
      </w:tr>
    </w:tbl>
    <w:bookmarkEnd w:id="80"/>
    <w:bookmarkStart w:id="82" w:name="equation-5"/>
    <w:p>
      <w:pPr>
        <w:pStyle w:val="Heading3"/>
      </w:pPr>
      <w:r>
        <w:t xml:space="preserve">4.6.2 Equation</w:t>
      </w:r>
    </w:p>
    <w:p>
      <w:pPr>
        <w:pStyle w:val="FirstParagraph"/>
      </w:pPr>
      <w:bookmarkStart w:id="81" w:name="eq-network-matrix"/>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rPr>
                    <m:nor/>
                    <m:sty m:val="p"/>
                  </m:rPr>
                  <m:t>P1</m:t>
                </m:r>
              </m:e>
              <m:e>
                <m:r>
                  <m:rPr>
                    <m:nor/>
                    <m:sty m:val="p"/>
                  </m:rPr>
                  <m:t>P2</m:t>
                </m:r>
              </m:e>
              <m:e>
                <m:r>
                  <m:rPr>
                    <m:nor/>
                    <m:sty m:val="p"/>
                  </m:rPr>
                  <m:t>SR1</m:t>
                </m:r>
              </m:e>
              <m:e>
                <m:r>
                  <m:rPr>
                    <m:nor/>
                    <m:sty m:val="p"/>
                  </m:rPr>
                  <m:t>SR2</m:t>
                </m:r>
              </m:e>
              <m:e>
                <m:r>
                  <m:rPr>
                    <m:nor/>
                    <m:sty m:val="p"/>
                  </m:rPr>
                  <m:t>administrative</m:t>
                </m:r>
              </m:e>
              <m:e>
                <m:r>
                  <m:rPr>
                    <m:nor/>
                    <m:sty m:val="p"/>
                  </m:rPr>
                  <m:t>outcome</m:t>
                </m:r>
              </m:e>
            </m:mr>
            <m:mr>
              <m:e>
                <m:r>
                  <m:rPr>
                    <m:nor/>
                    <m:sty m:val="p"/>
                  </m:rPr>
                  <m:t>P1</m:t>
                </m:r>
              </m:e>
              <m:e>
                <m:r>
                  <m:t>1</m:t>
                </m:r>
              </m:e>
              <m:e>
                <m:sSub>
                  <m:e>
                    <m:r>
                      <m:t>r</m:t>
                    </m:r>
                  </m:e>
                  <m:sub>
                    <m:r>
                      <m:rPr>
                        <m:nor/>
                        <m:sty m:val="p"/>
                      </m:rPr>
                      <m:t>P1, P2</m:t>
                    </m:r>
                  </m:sub>
                </m:sSub>
              </m:e>
              <m:e>
                <m:sSub>
                  <m:e>
                    <m:r>
                      <m:t>r</m:t>
                    </m:r>
                  </m:e>
                  <m:sub>
                    <m:r>
                      <m:rPr>
                        <m:nor/>
                        <m:sty m:val="p"/>
                      </m:rPr>
                      <m:t>P1, SR1</m:t>
                    </m:r>
                  </m:sub>
                </m:sSub>
              </m:e>
              <m:e>
                <m:sSub>
                  <m:e>
                    <m:r>
                      <m:t>r</m:t>
                    </m:r>
                  </m:e>
                  <m:sub>
                    <m:r>
                      <m:rPr>
                        <m:nor/>
                        <m:sty m:val="p"/>
                      </m:rPr>
                      <m:t>P1, SR2</m:t>
                    </m:r>
                  </m:sub>
                </m:sSub>
              </m:e>
              <m:e>
                <m:sSub>
                  <m:e>
                    <m:r>
                      <m:t>r</m:t>
                    </m:r>
                  </m:e>
                  <m:sub>
                    <m:r>
                      <m:rPr>
                        <m:nor/>
                        <m:sty m:val="p"/>
                      </m:rPr>
                      <m:t>P1, administrative</m:t>
                    </m:r>
                  </m:sub>
                </m:sSub>
              </m:e>
              <m:e>
                <m:sSub>
                  <m:e>
                    <m:r>
                      <m:t>r</m:t>
                    </m:r>
                  </m:e>
                  <m:sub>
                    <m:r>
                      <m:rPr>
                        <m:nor/>
                        <m:sty m:val="p"/>
                      </m:rPr>
                      <m:t>P1, outcome</m:t>
                    </m:r>
                  </m:sub>
                </m:sSub>
              </m:e>
            </m:mr>
            <m:mr>
              <m:e>
                <m:r>
                  <m:rPr>
                    <m:nor/>
                    <m:sty m:val="p"/>
                  </m:rPr>
                  <m:t>P2</m:t>
                </m:r>
              </m:e>
              <m:e/>
              <m:e>
                <m:r>
                  <m:t>1</m:t>
                </m:r>
              </m:e>
              <m:e>
                <m:sSub>
                  <m:e>
                    <m:r>
                      <m:t>r</m:t>
                    </m:r>
                  </m:e>
                  <m:sub>
                    <m:r>
                      <m:rPr>
                        <m:nor/>
                        <m:sty m:val="p"/>
                      </m:rPr>
                      <m:t>P2, SR1</m:t>
                    </m:r>
                  </m:sub>
                </m:sSub>
              </m:e>
              <m:e>
                <m:sSub>
                  <m:e>
                    <m:r>
                      <m:t>r</m:t>
                    </m:r>
                  </m:e>
                  <m:sub>
                    <m:r>
                      <m:rPr>
                        <m:nor/>
                        <m:sty m:val="p"/>
                      </m:rPr>
                      <m:t>P2, SR2</m:t>
                    </m:r>
                  </m:sub>
                </m:sSub>
              </m:e>
              <m:e>
                <m:sSub>
                  <m:e>
                    <m:r>
                      <m:t>r</m:t>
                    </m:r>
                  </m:e>
                  <m:sub>
                    <m:r>
                      <m:rPr>
                        <m:nor/>
                        <m:sty m:val="p"/>
                      </m:rPr>
                      <m:t>P2, administrative</m:t>
                    </m:r>
                  </m:sub>
                </m:sSub>
              </m:e>
              <m:e>
                <m:sSub>
                  <m:e>
                    <m:r>
                      <m:t>r</m:t>
                    </m:r>
                  </m:e>
                  <m:sub>
                    <m:r>
                      <m:rPr>
                        <m:nor/>
                        <m:sty m:val="p"/>
                      </m:rPr>
                      <m:t>P2, outcome</m:t>
                    </m:r>
                  </m:sub>
                </m:sSub>
              </m:e>
            </m:mr>
            <m:mr>
              <m:e>
                <m:r>
                  <m:rPr>
                    <m:nor/>
                    <m:sty m:val="p"/>
                  </m:rPr>
                  <m:t>SR1</m:t>
                </m:r>
              </m:e>
              <m:e/>
              <m:e/>
              <m:e>
                <m:r>
                  <m:t>1</m:t>
                </m:r>
              </m:e>
              <m:e>
                <m:sSub>
                  <m:e>
                    <m:r>
                      <m:t>r</m:t>
                    </m:r>
                  </m:e>
                  <m:sub>
                    <m:r>
                      <m:rPr>
                        <m:nor/>
                        <m:sty m:val="p"/>
                      </m:rPr>
                      <m:t>SR1, SR2</m:t>
                    </m:r>
                  </m:sub>
                </m:sSub>
              </m:e>
              <m:e>
                <m:sSub>
                  <m:e>
                    <m:r>
                      <m:t>r</m:t>
                    </m:r>
                  </m:e>
                  <m:sub>
                    <m:r>
                      <m:rPr>
                        <m:nor/>
                        <m:sty m:val="p"/>
                      </m:rPr>
                      <m:t>SR1, administrative</m:t>
                    </m:r>
                  </m:sub>
                </m:sSub>
              </m:e>
              <m:e>
                <m:sSub>
                  <m:e>
                    <m:r>
                      <m:t>r</m:t>
                    </m:r>
                  </m:e>
                  <m:sub>
                    <m:r>
                      <m:rPr>
                        <m:nor/>
                        <m:sty m:val="p"/>
                      </m:rPr>
                      <m:t>SR1, outcome</m:t>
                    </m:r>
                  </m:sub>
                </m:sSub>
              </m:e>
            </m:mr>
            <m:mr>
              <m:e>
                <m:r>
                  <m:rPr>
                    <m:nor/>
                    <m:sty m:val="p"/>
                  </m:rPr>
                  <m:t>SR2</m:t>
                </m:r>
              </m:e>
              <m:e/>
              <m:e/>
              <m:e/>
              <m:e>
                <m:r>
                  <m:t>1</m:t>
                </m:r>
              </m:e>
              <m:e>
                <m:sSub>
                  <m:e>
                    <m:r>
                      <m:t>r</m:t>
                    </m:r>
                  </m:e>
                  <m:sub>
                    <m:r>
                      <m:rPr>
                        <m:nor/>
                        <m:sty m:val="p"/>
                      </m:rPr>
                      <m:t>SR2, administrative</m:t>
                    </m:r>
                  </m:sub>
                </m:sSub>
              </m:e>
              <m:e>
                <m:sSub>
                  <m:e>
                    <m:r>
                      <m:t>r</m:t>
                    </m:r>
                  </m:e>
                  <m:sub>
                    <m:r>
                      <m:rPr>
                        <m:nor/>
                        <m:sty m:val="p"/>
                      </m:rPr>
                      <m:t>SR2, outcome</m:t>
                    </m:r>
                  </m:sub>
                </m:sSub>
              </m:e>
            </m:mr>
            <m:mr>
              <m:e>
                <m:r>
                  <m:rPr>
                    <m:nor/>
                    <m:sty m:val="p"/>
                  </m:rPr>
                  <m:t>administrative</m:t>
                </m:r>
              </m:e>
              <m:e/>
              <m:e/>
              <m:e/>
              <m:e/>
              <m:e>
                <m:r>
                  <m:t>1</m:t>
                </m:r>
              </m:e>
              <m:e>
                <m:sSub>
                  <m:e>
                    <m:r>
                      <m:t>r</m:t>
                    </m:r>
                  </m:e>
                  <m:sub>
                    <m:r>
                      <m:rPr>
                        <m:nor/>
                        <m:sty m:val="p"/>
                      </m:rPr>
                      <m:t>administrative, outcome</m:t>
                    </m:r>
                  </m:sub>
                </m:sSub>
              </m:e>
            </m:mr>
            <m:mr>
              <m:e/>
            </m:mr>
            <m:mr>
              <m:e>
                <m:r>
                  <m:rPr>
                    <m:nor/>
                    <m:sty m:val="p"/>
                  </m:rPr>
                  <m:t>outcome</m:t>
                </m:r>
              </m:e>
              <m:e/>
              <m:e/>
              <m:e/>
              <m:e/>
              <m:e/>
              <m:e>
                <m:r>
                  <m:t>1</m:t>
                </m:r>
              </m:e>
            </m:mr>
          </m:m>
          <m:r>
            <m:t>  </m:t>
          </m:r>
          <m:d>
            <m:dPr>
              <m:begChr m:val="("/>
              <m:endChr m:val=")"/>
              <m:sepChr m:val=""/>
              <m:grow/>
            </m:dPr>
            <m:e>
              <m:r>
                <m:t>6</m:t>
              </m:r>
            </m:e>
          </m:d>
        </m:oMath>
      </m:oMathPara>
      <w:bookmarkEnd w:id="81"/>
    </w:p>
    <w:bookmarkEnd w:id="82"/>
    <w:bookmarkStart w:id="83" w:name="syntax-5"/>
    <w:p>
      <w:pPr>
        <w:pStyle w:val="Heading3"/>
      </w:pPr>
      <w:r>
        <w:t xml:space="preserve">4.6.3 Syntax</w:t>
      </w:r>
    </w:p>
    <w:p>
      <w:pPr>
        <w:pStyle w:val="SourceCode"/>
      </w:pPr>
      <w:r>
        <w:rPr>
          <w:rStyle w:val="FunctionTok"/>
        </w:rPr>
        <w:t xml:space="preserve">corr</w:t>
      </w:r>
      <w:r>
        <w:rPr>
          <w:rStyle w:val="NormalTok"/>
        </w:rPr>
        <w:t xml:space="preserve"> P1 P2 SR1 SR2 administrative outcome</w:t>
      </w:r>
    </w:p>
    <w:bookmarkEnd w:id="83"/>
    <w:bookmarkEnd w:id="84"/>
    <w:bookmarkStart w:id="85" w:name="multilevel-modeling"/>
    <w:p>
      <w:pPr>
        <w:pStyle w:val="Heading2"/>
      </w:pPr>
      <w:r>
        <w:t xml:space="preserve">4.7</w:t>
      </w:r>
      <w:r>
        <w:t xml:space="preserve"> </w:t>
      </w:r>
      <w:r>
        <w:rPr>
          <w:strike/>
        </w:rPr>
        <w:t xml:space="preserve">Multilevel Modeling</w:t>
      </w:r>
    </w:p>
    <w:bookmarkEnd w:id="85"/>
    <w:bookmarkStart w:id="86" w:name="Xf403e5f0b2b7dd480aaf14fb96f6316f77d03ce"/>
    <w:p>
      <w:pPr>
        <w:pStyle w:val="Heading2"/>
      </w:pPr>
      <w:r>
        <w:t xml:space="preserve">4.8</w:t>
      </w:r>
      <w:r>
        <w:t xml:space="preserve"> </w:t>
      </w:r>
      <w:r>
        <w:rPr>
          <w:strike/>
        </w:rPr>
        <w:t xml:space="preserve">Classification and Regression Tree (CART) (Machine Learning)</w:t>
      </w:r>
    </w:p>
    <w:bookmarkEnd w:id="86"/>
    <w:bookmarkStart w:id="87" w:name="random-forest-machine-learning"/>
    <w:p>
      <w:pPr>
        <w:pStyle w:val="Heading2"/>
      </w:pPr>
      <w:r>
        <w:t xml:space="preserve">4.9</w:t>
      </w:r>
      <w:r>
        <w:t xml:space="preserve"> </w:t>
      </w:r>
      <w:r>
        <w:rPr>
          <w:strike/>
        </w:rPr>
        <w:t xml:space="preserve">Random Forest (Machine Learning)</w:t>
      </w:r>
    </w:p>
    <w:bookmarkEnd w:id="87"/>
    <w:bookmarkEnd w:id="88"/>
    <w:bookmarkStart w:id="94" w:name="references"/>
    <w:p>
      <w:pPr>
        <w:pStyle w:val="Heading1"/>
      </w:pPr>
      <w:r>
        <w:t xml:space="preserve">5. References</w:t>
      </w:r>
    </w:p>
    <w:bookmarkStart w:id="93" w:name="refs"/>
    <w:bookmarkStart w:id="90" w:name="ref-Machlin2025"/>
    <w:p>
      <w:pPr>
        <w:pStyle w:val="Bibliography"/>
      </w:pPr>
      <w:r>
        <w:t xml:space="preserve">Machlin, L., Sheridan, M. A., Tsai, A. P.-T., &amp; McLaughlin, K. A. (2025). Research review: Assessment of early-life adversity and trauma – cumulative risk and dimensional approaches.</w:t>
      </w:r>
      <w:r>
        <w:t xml:space="preserve"> </w:t>
      </w:r>
      <w:r>
        <w:rPr>
          <w:i/>
          <w:iCs/>
        </w:rPr>
        <w:t xml:space="preserve">Journal of Child Psychology and Psychiatry</w:t>
      </w:r>
      <w:r>
        <w:t xml:space="preserve">,</w:t>
      </w:r>
      <w:r>
        <w:t xml:space="preserve"> </w:t>
      </w:r>
      <w:r>
        <w:rPr>
          <w:i/>
          <w:iCs/>
        </w:rPr>
        <w:t xml:space="preserve">n/a</w:t>
      </w:r>
      <w:r>
        <w:t xml:space="preserve">. https://doi.org/</w:t>
      </w:r>
      <w:hyperlink r:id="rId89">
        <w:r>
          <w:rPr>
            <w:rStyle w:val="Hyperlink"/>
          </w:rPr>
          <w:t xml:space="preserve">https://doi.org/10.1111/jcpp.14170</w:t>
        </w:r>
      </w:hyperlink>
    </w:p>
    <w:bookmarkEnd w:id="90"/>
    <w:bookmarkStart w:id="92" w:name="ref-McLaughlinKatieA2020"/>
    <w:p>
      <w:pPr>
        <w:pStyle w:val="Bibliography"/>
      </w:pPr>
      <w:r>
        <w:t xml:space="preserve">McLaughlin, K. A., Sheridan, M., Humphreys, K. L., Belsky, J., &amp; Ellis, B. J. (2020).</w:t>
      </w:r>
      <w:r>
        <w:t xml:space="preserve"> </w:t>
      </w:r>
      <w:r>
        <w:rPr>
          <w:i/>
          <w:iCs/>
        </w:rPr>
        <w:t xml:space="preserve">The value of dimensional models of early experience: Thinking clearly about concepts and categories</w:t>
      </w:r>
      <w:r>
        <w:t xml:space="preserve">. PsyArXiv.</w:t>
      </w:r>
      <w:r>
        <w:t xml:space="preserve"> </w:t>
      </w:r>
      <w:hyperlink r:id="rId91">
        <w:r>
          <w:rPr>
            <w:rStyle w:val="Hyperlink"/>
          </w:rPr>
          <w:t xml:space="preserve">https://doi.org/10.31234/osf.io/29fmt</w:t>
        </w:r>
      </w:hyperlink>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hyperlink" Id="rId89" Target="https://doi.org/10.1111/jcpp.14170" TargetMode="External" /><Relationship Type="http://schemas.openxmlformats.org/officeDocument/2006/relationships/hyperlink" Id="rId91" Target="https://doi.org/10.31234/osf.io/29fmt"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111/jcpp.14170" TargetMode="External" /><Relationship Type="http://schemas.openxmlformats.org/officeDocument/2006/relationships/hyperlink" Id="rId91" Target="https://doi.org/10.31234/osf.io/29fm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Methods for Multiple Reporters of Child Maltreatment</dc:title>
  <dc:creator>Lehigh Measurement and Causal Inference Analyses Team</dc:creator>
  <cp:keywords/>
  <dcterms:created xsi:type="dcterms:W3CDTF">2025-06-02T20:21:55Z</dcterms:created>
  <dcterms:modified xsi:type="dcterms:W3CDTF">2025-06-02T20:21:55Z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csl">
    <vt:lpwstr>apa.csl</vt:lpwstr>
  </property>
  <property fmtid="{D5CDD505-2E9C-101B-9397-08002B2CF9AE}" pid="7" name="date">
    <vt:lpwstr>2025-06-02</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@McLaughlinKatieA2020, @Machlin2025</vt:lpwstr>
  </property>
  <property fmtid="{D5CDD505-2E9C-101B-9397-08002B2CF9AE}" pid="14" name="subtitle">
    <vt:lpwstr>Results from the Lehigh Study</vt:lpwstr>
  </property>
  <property fmtid="{D5CDD505-2E9C-101B-9397-08002B2CF9AE}" pid="15" name="toc-title">
    <vt:lpwstr>Table of contents</vt:lpwstr>
  </property>
</Properties>
</file>