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2023-12-14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2023"/>
    <w:p>
      <w:pPr>
        <w:pStyle w:val="Bibliography"/>
      </w:pPr>
      <w:r>
        <w:t xml:space="preserve">Ward, Kaitlin P., Andrew C. Grogan-Kaylor, Julie Ma, Garrett Pace, and Shawna J. Lee. 2023.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https://doi.org/10.1136/bmjopen-2021-058439</w:t>
        </w:r>
      </w:hyperlink>
      <w:r>
        <w:t xml:space="preserve">.</w:t>
      </w:r>
    </w:p>
    <w:bookmarkEnd w:id="37"/>
    <w:bookmarkStart w:id="39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8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9"/>
    <w:bookmarkStart w:id="41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40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41"/>
    <w:bookmarkStart w:id="43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2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3"/>
    <w:bookmarkEnd w:id="44"/>
    <w:bookmarkEnd w:id="45"/>
    <w:sectPr w:rsidR="004944F0" w:rsidRPr="004944F0" w:rsidSect="00A51FE2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0D4A1C56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1F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9D4AB9"/>
    <w:rPr>
      <w:rFonts w:ascii="Consolas" w:hAnsi="Consolas"/>
      <w:sz w:val="21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9D4AB9"/>
    <w:pPr>
      <w:shd w:color="auto" w:fill="auto" w:val="pct5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and Child Development</dc:title>
  <dc:creator/>
  <cp:keywords/>
  <dcterms:created xsi:type="dcterms:W3CDTF">2023-12-14T16:14:36Z</dcterms:created>
  <dcterms:modified xsi:type="dcterms:W3CDTF">2023-12-14T16:14:36Z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@Ward2023,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