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2022-05-02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21" name="Picture"/>
            <a:graphic>
              <a:graphicData uri="http://schemas.openxmlformats.org/drawingml/2006/picture">
                <pic:pic>
                  <pic:nvPicPr>
                    <pic:cNvPr descr="images/MICScountries.png" id="22"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3"/>
    <w:bookmarkStart w:id="24"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4"/>
    <w:bookmarkStart w:id="31" w:name="findings"/>
    <w:p>
      <w:pPr>
        <w:pStyle w:val="Heading1"/>
      </w:pPr>
      <w:r>
        <w:t xml:space="preserve">Findings</w:t>
      </w:r>
    </w:p>
    <w:bookmarkStart w:id="25"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BlockTex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bookmarkEnd w:id="25"/>
    <w:bookmarkStart w:id="26" w:name="physical-punishment"/>
    <w:p>
      <w:pPr>
        <w:pStyle w:val="Heading2"/>
      </w:pPr>
      <w:r>
        <w:t xml:space="preserve">Physical Punishment</w:t>
      </w:r>
    </w:p>
    <w:p>
      <w:pPr>
        <w:pStyle w:val="FirstParagraph"/>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0"/>
          <w:numId w:val="1001"/>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0"/>
          <w:numId w:val="1001"/>
        </w:numPr>
        <w:pStyle w:val="Compact"/>
      </w:pPr>
      <w:r>
        <w:t xml:space="preserve">Country level norms seem to have an association with child outcomes. In countries where spanking is more normative, child aggression is higher.</w:t>
      </w:r>
    </w:p>
    <w:bookmarkEnd w:id="26"/>
    <w:bookmarkStart w:id="27" w:name="key-takeaway"/>
    <w:p>
      <w:pPr>
        <w:pStyle w:val="Heading2"/>
      </w:pPr>
      <w:r>
        <w:t xml:space="preserve">Key Takeaway</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7"/>
    <w:bookmarkStart w:id="28" w:name="psychological-aggression"/>
    <w:p>
      <w:pPr>
        <w:pStyle w:val="Heading2"/>
      </w:pPr>
      <w:r>
        <w:t xml:space="preserve">Psychological Aggression</w:t>
      </w:r>
    </w:p>
    <w:p>
      <w:pPr>
        <w:pStyle w:val="FirstParagraph"/>
      </w:pPr>
      <w:r>
        <w:t xml:space="preserve">Psychological aggression (e.g. calling a child names) may have effects that are as harmful as those of physical punishment.</w:t>
      </w:r>
    </w:p>
    <w:bookmarkEnd w:id="28"/>
    <w:bookmarkStart w:id="29" w:name="other-forms-of-discipline"/>
    <w:p>
      <w:pPr>
        <w:pStyle w:val="Heading2"/>
      </w:pPr>
      <w:r>
        <w:t xml:space="preserve">Other Forms Of Discipline</w:t>
      </w:r>
    </w:p>
    <w:p>
      <w:pPr>
        <w:numPr>
          <w:ilvl w:val="0"/>
          <w:numId w:val="1002"/>
        </w:numPr>
        <w:pStyle w:val="Compact"/>
      </w:pPr>
      <w:r>
        <w:t xml:space="preserve">Positive discipline–in the form of verbal reasoning–is generally associated with improvements in child well-being across countries, and should therefore be recommended.</w:t>
      </w:r>
    </w:p>
    <w:p>
      <w:pPr>
        <w:numPr>
          <w:ilvl w:val="0"/>
          <w:numId w:val="1002"/>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9"/>
    <w:bookmarkStart w:id="30" w:name="child-physical-abuse"/>
    <w:p>
      <w:pPr>
        <w:pStyle w:val="Heading2"/>
      </w:pPr>
      <w:r>
        <w:t xml:space="preserve">Child Physical Abuse</w:t>
      </w:r>
    </w:p>
    <w:p>
      <w:pPr>
        <w:pStyle w:val="FirstParagraph"/>
      </w:pPr>
      <w:r>
        <w:t xml:space="preserve">Simulations with MICS data suggest that eliminating the use of physical punishment would be met with a large reduction in the amount of physical child abuse.</w:t>
      </w:r>
    </w:p>
    <w:bookmarkEnd w:id="30"/>
    <w:bookmarkEnd w:id="31"/>
    <w:bookmarkStart w:id="32" w:name="conclusion"/>
    <w:p>
      <w:pPr>
        <w:pStyle w:val="Heading1"/>
      </w:pPr>
      <w:r>
        <w:t xml:space="preserve">Conclusion</w:t>
      </w:r>
    </w:p>
    <w:p>
      <w:pPr>
        <w:pStyle w:val="FirstParagraph"/>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32"/>
    <w:bookmarkStart w:id="45" w:name="references"/>
    <w:p>
      <w:pPr>
        <w:pStyle w:val="Heading1"/>
      </w:pPr>
      <w:r>
        <w:t xml:space="preserve">References</w:t>
      </w:r>
    </w:p>
    <w:bookmarkStart w:id="44" w:name="refs"/>
    <w:bookmarkStart w:id="34"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33">
        <w:r>
          <w:rPr>
            <w:rStyle w:val="Hyperlink"/>
          </w:rPr>
          <w:t xml:space="preserve">https://doi.org/10.1177/0165025420981642</w:t>
        </w:r>
      </w:hyperlink>
      <w:r>
        <w:t xml:space="preserve">.</w:t>
      </w:r>
    </w:p>
    <w:bookmarkEnd w:id="34"/>
    <w:bookmarkStart w:id="35"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5"/>
    <w:bookmarkStart w:id="37"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6">
        <w:r>
          <w:rPr>
            <w:rStyle w:val="Hyperlink"/>
          </w:rPr>
          <w:t xml:space="preserve">https://doi.org/10.1016/j.chiabu.2018.11.003</w:t>
        </w:r>
      </w:hyperlink>
      <w:r>
        <w:t xml:space="preserve">.</w:t>
      </w:r>
    </w:p>
    <w:bookmarkEnd w:id="37"/>
    <w:bookmarkStart w:id="39"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8">
        <w:r>
          <w:rPr>
            <w:rStyle w:val="Hyperlink"/>
          </w:rPr>
          <w:t xml:space="preserve">https://doi.org/10.1136/bmjopen-2020-046075</w:t>
        </w:r>
      </w:hyperlink>
      <w:r>
        <w:t xml:space="preserve">.</w:t>
      </w:r>
    </w:p>
    <w:bookmarkEnd w:id="39"/>
    <w:bookmarkStart w:id="41"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40">
        <w:r>
          <w:rPr>
            <w:rStyle w:val="Hyperlink"/>
          </w:rPr>
          <w:t xml:space="preserve">https://doi.org/10.31234/osf.io/f5t8x</w:t>
        </w:r>
      </w:hyperlink>
      <w:r>
        <w:t xml:space="preserve">.</w:t>
      </w:r>
    </w:p>
    <w:bookmarkEnd w:id="41"/>
    <w:bookmarkStart w:id="43" w:name="ref-WardC"/>
    <w:p>
      <w:pPr>
        <w:pStyle w:val="Bibliography"/>
      </w:pPr>
      <w:r>
        <w:t xml:space="preserve">Ward, Kaitlin P., Shawna J. Lee, Andrew C. Grogan-Kaylor, Julie Ma, and Garrett T. Pace. 2022.</w:t>
      </w:r>
      <w:r>
        <w:t xml:space="preserve"> </w:t>
      </w:r>
      <w:r>
        <w:t xml:space="preserve">“</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 </w:t>
      </w:r>
      <w:r>
        <w:t xml:space="preserve">128. https://doi.org/</w:t>
      </w:r>
      <w:hyperlink r:id="rId42">
        <w:r>
          <w:rPr>
            <w:rStyle w:val="Hyperlink"/>
          </w:rPr>
          <w:t xml:space="preserve">https://doi.org/10.1016/j.chiabu.2022.105606</w:t>
        </w:r>
      </w:hyperlink>
      <w:r>
        <w:t xml:space="preserve">.</w:t>
      </w:r>
    </w:p>
    <w:bookmarkEnd w:id="43"/>
    <w:bookmarkEnd w:id="44"/>
    <w:bookmarkEnd w:id="45"/>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6" Target="https://doi.org/10.1016/j.chiabu.2018.11.003" TargetMode="External" /><Relationship Type="http://schemas.openxmlformats.org/officeDocument/2006/relationships/hyperlink" Id="rId42" Target="https://doi.org/10.1016/j.chiabu.2022.105606" TargetMode="External" /><Relationship Type="http://schemas.openxmlformats.org/officeDocument/2006/relationships/hyperlink" Id="rId38" Target="https://doi.org/10.1136/bmjopen-2020-046075" TargetMode="External" /><Relationship Type="http://schemas.openxmlformats.org/officeDocument/2006/relationships/hyperlink" Id="rId33" Target="https://doi.org/10.1177/0165025420981642" TargetMode="External" /><Relationship Type="http://schemas.openxmlformats.org/officeDocument/2006/relationships/hyperlink" Id="rId40"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chiabu.2018.11.003" TargetMode="External" /><Relationship Type="http://schemas.openxmlformats.org/officeDocument/2006/relationships/hyperlink" Id="rId42" Target="https://doi.org/10.1016/j.chiabu.2022.105606" TargetMode="External" /><Relationship Type="http://schemas.openxmlformats.org/officeDocument/2006/relationships/hyperlink" Id="rId38" Target="https://doi.org/10.1136/bmjopen-2020-046075" TargetMode="External" /><Relationship Type="http://schemas.openxmlformats.org/officeDocument/2006/relationships/hyperlink" Id="rId33" Target="https://doi.org/10.1177/0165025420981642" TargetMode="External" /><Relationship Type="http://schemas.openxmlformats.org/officeDocument/2006/relationships/hyperlink" Id="rId40"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2022-05-02T14:33:39Z</dcterms:created>
  <dcterms:modified xsi:type="dcterms:W3CDTF">2022-05-02T14:33:39Z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2022-05-02</vt:lpwstr>
  </property>
  <property fmtid="{D5CDD505-2E9C-101B-9397-08002B2CF9AE}" pid="6" name="fontsize">
    <vt:lpwstr>12pt</vt:lpwstr>
  </property>
  <property fmtid="{D5CDD505-2E9C-101B-9397-08002B2CF9AE}" pid="7" name="mainfont">
    <vt:lpwstr>Futura</vt:lpwstr>
  </property>
  <property fmtid="{D5CDD505-2E9C-101B-9397-08002B2CF9AE}" pid="8" name="nocite">
    <vt:lpwstr>@Grogan-Kaylor2021, @WardA, @WardC, @ward_grogan-kaylor_ma_pace_lee_2021, @Pace2019, @Ma</vt:lpwstr>
  </property>
  <property fmtid="{D5CDD505-2E9C-101B-9397-08002B2CF9AE}" pid="9" name="output">
    <vt:lpwstr/>
  </property>
</Properties>
</file>