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800"/>
        <w:jc w:val="center"/>
      </w:pPr>
      <w:r>
        <w:rPr>
          <w:b/>
          <w:bCs/>
          <w:sz w:val="40"/>
          <w:szCs w:val="40"/>
        </w:rPr>
        <w:t xml:space="preserve">AGRO-GUARDIAN AI</w:t>
      </w:r>
    </w:p>
    <w:p>
      <w:pPr>
        <w:spacing w:after="300"/>
        <w:jc w:val="center"/>
      </w:pPr>
      <w:r>
        <w:rPr>
          <w:b/>
          <w:bCs/>
          <w:sz w:val="32"/>
          <w:szCs w:val="32"/>
        </w:rPr>
        <w:t xml:space="preserve">Ginger Knowledge Base — Domain 14</w:t>
      </w:r>
    </w:p>
    <w:p>
      <w:pPr>
        <w:spacing w:after="200"/>
        <w:jc w:val="center"/>
      </w:pPr>
      <w:r>
        <w:rPr>
          <w:sz w:val="28"/>
          <w:szCs w:val="28"/>
        </w:rPr>
        <w:t xml:space="preserve">Satellite &amp; Remote Sensing Intelligence</w:t>
      </w:r>
    </w:p>
    <w:p>
      <w:pPr>
        <w:spacing w:after="800"/>
        <w:jc w:val="center"/>
      </w:pPr>
      <w:r>
        <w:rPr>
          <w:sz w:val="28"/>
          <w:szCs w:val="28"/>
        </w:rPr>
        <w:t xml:space="preserve">उपग्रह व दूरसंवेदन बुद्धिमत्ता</w:t>
      </w:r>
    </w:p>
    <w:p>
      <w:pPr>
        <w:spacing w:after="200"/>
        <w:jc w:val="center"/>
      </w:pPr>
      <w:r>
        <w:rPr>
          <w:b/>
          <w:bCs/>
          <w:color w:val="8B0000"/>
          <w:sz w:val="24"/>
          <w:szCs w:val="24"/>
        </w:rPr>
        <w:t xml:space="preserve">RAW MASTER RESEARCH DOCUMENT — PHASE 1</w:t>
      </w:r>
    </w:p>
    <w:p>
      <w:pPr>
        <w:spacing w:after="400"/>
        <w:jc w:val="center"/>
      </w:pPr>
      <w:r>
        <w:rPr>
          <w:i/>
          <w:iCs/>
          <w:sz w:val="22"/>
          <w:szCs w:val="22"/>
        </w:rPr>
        <w:t xml:space="preserve">Kannad, Chhatrapati Sambhajinagar, Marathwada</w:t>
      </w:r>
    </w:p>
    <w:p>
      <w:r>
        <w:t xml:space="preserve"/>
      </w:r>
    </w:p>
    <w:p>
      <w:pPr>
        <w:spacing w:after="100"/>
        <w:jc w:val="center"/>
      </w:pPr>
      <w:r>
        <w:rPr>
          <w:sz w:val="22"/>
          <w:szCs w:val="22"/>
        </w:rPr>
        <w:t xml:space="preserve">Crop: ginger (Zingiber officinale Roscoe) — आले</w:t>
      </w:r>
    </w:p>
    <w:p>
      <w:pPr>
        <w:spacing w:after="100"/>
        <w:jc w:val="center"/>
      </w:pPr>
      <w:r>
        <w:rPr>
          <w:sz w:val="22"/>
          <w:szCs w:val="22"/>
        </w:rPr>
        <w:t xml:space="preserve">Domain author: kb_author</w:t>
      </w:r>
    </w:p>
    <w:p>
      <w:pPr>
        <w:spacing w:after="100"/>
        <w:jc w:val="center"/>
      </w:pPr>
      <w:r>
        <w:rPr>
          <w:sz w:val="22"/>
          <w:szCs w:val="22"/>
        </w:rPr>
        <w:t xml:space="preserve">Version: draft-1.0    Date: 17 September 2026</w:t>
      </w:r>
    </w:p>
    <w:p>
      <w:pPr>
        <w:spacing w:after="800"/>
        <w:jc w:val="center"/>
      </w:pPr>
      <w:r>
        <w:rPr>
          <w:i/>
          <w:iCs/>
          <w:sz w:val="22"/>
          <w:szCs w:val="22"/>
        </w:rPr>
        <w:t xml:space="preserve">Status: PHASE_1_RAW_UNVALIDATED</w:t>
      </w:r>
    </w:p>
    <w:p>
      <w:pPr>
        <w:spacing w:after="200" w:before="400"/>
      </w:pPr>
      <w:r>
        <w:rPr>
          <w:b/>
          <w:bCs/>
          <w:sz w:val="24"/>
          <w:szCs w:val="24"/>
        </w:rPr>
        <w:t xml:space="preserve">Reading protocol</w:t>
      </w:r>
    </w:p>
    <w:p>
      <w:pPr>
        <w:spacing w:after="120"/>
      </w:pPr>
      <w:r>
        <w:t xml:space="preserve">This is a Phase 1 raw research document. Its purpose is to gather, in one place, every piece of remote-sensing evidence, formula, threshold, source and open question that touches ginger cultivation in the Kannad belt. It is deliberately over-inclusive. The Phase 2 filtering pass converts the useful subset into JSON rules for the Farm Brain advisory engine; a fact absent from this document cannot appear in a rule.</w:t>
      </w:r>
    </w:p>
    <w:p>
      <w:pPr>
        <w:spacing w:after="120"/>
      </w:pPr>
      <w:r>
        <w:t xml:space="preserve">हे Phase 1 चे कच्चे संशोधन दस्तऐवज आहे. उद्देश — उपग्रह व दूरसंवेदनाशी संबंधित प्रत्येक पुरावा, सूत्र, थ्रेशोल्ड, स्रोत आणि खुला प्रश्न एकाच ठिकाणी नोंदवणे. यात हेतुपुरस्सर जास्त तपशील ठेवला आहे. Phase 2 गाळणीत यातील उपयुक्त भाग JSON नियमांमध्ये रूपांतरित होईल; येथे नसलेली माहिती नंतरच्या नियमांत येऊ शकत नाही.</w:t>
      </w:r>
    </w:p>
    <w:p>
      <w:pPr>
        <w:spacing w:after="120"/>
      </w:pPr>
      <w:r>
        <w:t xml:space="preserve">Governing constraint carried from Domain 6 and repeated in every relevant section of this document: ginger is an underground-harvest crop. Its rhizome — the sale product — is not visible to any satellite. A partially rot-infected crop stays green above ground while the rhizome is compromised. This shapes every use case in this domain.</w:t>
      </w:r>
    </w:p>
    <w:p>
      <w:pPr>
        <w:spacing w:after="120"/>
      </w:pPr>
      <w:r>
        <w:t xml:space="preserve">मूळ मर्यादा (Domain 6 वरून घेतलेली आणि येथे प्रत्येक संबंधित विभागात पुनरावृत्त): आले हे भूमिगत काढणीचे पीक आहे. विक्री होणारा गड्डा उपग्रहाला दिसतच नाही. कूज लागलेले पीक जमिनीवर हिरवेगारच दिसते. या मर्यादेवर या डोमेनमधील प्रत्येक वापर उभा आहे.</w:t>
      </w:r>
    </w:p>
    <w:p>
      <w:r>
        <w:br w:type="page"/>
      </w:r>
    </w:p>
    <w:p>
      <w:pPr>
        <w:pStyle w:val="Heading1"/>
        <w:spacing w:after="200" w:before="400"/>
      </w:pPr>
      <w:r>
        <w:rPr>
          <w:b/>
          <w:bCs/>
          <w:sz w:val="32"/>
          <w:szCs w:val="32"/>
        </w:rPr>
        <w:t xml:space="preserve">Table of Contents — विभाग यादी</w:t>
      </w:r>
    </w:p>
    <w:p>
      <w:pPr>
        <w:spacing w:after="120"/>
      </w:pPr>
      <w:r>
        <w:t xml:space="preserve">SECTION 1.  Scope, definition, and boundary with Domain 7</w:t>
      </w:r>
    </w:p>
    <w:p>
      <w:pPr>
        <w:spacing w:after="120"/>
      </w:pPr>
      <w:r>
        <w:t xml:space="preserve">SECTION 2.  Satellite data sources — available sensors and access channels</w:t>
      </w:r>
    </w:p>
    <w:p>
      <w:pPr>
        <w:spacing w:after="120"/>
      </w:pPr>
      <w:r>
        <w:t xml:space="preserve">SECTION 3.  Kannad viewing geometry — revisit, cloud cover, effective observation frequency</w:t>
      </w:r>
    </w:p>
    <w:p>
      <w:pPr>
        <w:spacing w:after="120"/>
      </w:pPr>
      <w:r>
        <w:t xml:space="preserve">SECTION 4.  Vegetation indices — NDVI, NDRE, NDWI, NDMI, EVI, SAVI, MSAVI, GNDVI</w:t>
      </w:r>
    </w:p>
    <w:p>
      <w:pPr>
        <w:spacing w:after="120"/>
      </w:pPr>
      <w:r>
        <w:t xml:space="preserve">SECTION 5.  The underground-rhizome blind spot — what satellite can and cannot see for ginger</w:t>
      </w:r>
    </w:p>
    <w:p>
      <w:pPr>
        <w:spacing w:after="120"/>
      </w:pPr>
      <w:r>
        <w:t xml:space="preserve">SECTION 6.  Synthetic Aperture Radar (Sentinel-1) — cloud-independent soil moisture and tillage detection</w:t>
      </w:r>
    </w:p>
    <w:p>
      <w:pPr>
        <w:spacing w:after="120"/>
      </w:pPr>
      <w:r>
        <w:t xml:space="preserve">SECTION 7.  Thermal and Land Surface Temperature — canopy water stress index for ginger</w:t>
      </w:r>
    </w:p>
    <w:p>
      <w:pPr>
        <w:spacing w:after="120"/>
      </w:pPr>
      <w:r>
        <w:t xml:space="preserve">SECTION 8.  Phenological signatures — expected NDVI curve for ginger G0 through G5</w:t>
      </w:r>
    </w:p>
    <w:p>
      <w:pPr>
        <w:spacing w:after="120"/>
      </w:pPr>
      <w:r>
        <w:t xml:space="preserve">SECTION 9.  Anomaly and change detection — divergence-based early warning</w:t>
      </w:r>
    </w:p>
    <w:p>
      <w:pPr>
        <w:spacing w:after="120"/>
      </w:pPr>
      <w:r>
        <w:t xml:space="preserve">SECTION 10. Satellite × ground-truth IoT fusion — conflict resolution and precedence with the sub-node</w:t>
      </w:r>
    </w:p>
    <w:p>
      <w:pPr>
        <w:spacing w:after="120"/>
      </w:pPr>
      <w:r>
        <w:t xml:space="preserve">SECTION 11. Cluster-level pixel geometry and shared-master economics</w:t>
      </w:r>
    </w:p>
    <w:p>
      <w:pPr>
        <w:spacing w:after="120"/>
      </w:pPr>
      <w:r>
        <w:t xml:space="preserve">SECTION 12. Data pipeline and technical stack — from Copernicus / Bhuvan to Farm Brain</w:t>
      </w:r>
    </w:p>
    <w:p>
      <w:pPr>
        <w:spacing w:after="120"/>
      </w:pPr>
      <w:r>
        <w:t xml:space="preserve">SECTION 13. Legal, licensing and DPDP compliance for geospatial data in India</w:t>
      </w:r>
    </w:p>
    <w:p>
      <w:pPr>
        <w:spacing w:after="120"/>
      </w:pPr>
      <w:r>
        <w:t xml:space="preserve">SECTION 14. Cost and operational economics — free tiers, paid tiers, break-even by cluster size</w:t>
      </w:r>
    </w:p>
    <w:p>
      <w:pPr>
        <w:spacing w:after="120"/>
      </w:pPr>
      <w:r>
        <w:t xml:space="preserve">SECTION 15. Marathwada and Kannad specific data and government services (MOSDAC, VEDAS, FASAL, Bhuvan, VNMKV)</w:t>
      </w:r>
    </w:p>
    <w:p>
      <w:pPr>
        <w:spacing w:after="120"/>
      </w:pPr>
      <w:r>
        <w:t xml:space="preserve">SECTION 16. Honest limits, prohibited claims, and open items for field validation</w:t>
      </w:r>
    </w:p>
    <w:p>
      <w:r>
        <w:br w:type="page"/>
      </w:r>
    </w:p>
    <w:p>
      <w:pPr>
        <w:pStyle w:val="Heading1"/>
        <w:spacing w:after="200" w:before="400"/>
      </w:pPr>
      <w:r>
        <w:rPr>
          <w:b/>
          <w:bCs/>
          <w:sz w:val="32"/>
          <w:szCs w:val="32"/>
        </w:rPr>
        <w:t xml:space="preserve">SECTION 1. Scope, definition, and boundary with Domain 7 — व्याप्ती व मर्यादा</w:t>
      </w:r>
    </w:p>
    <w:p>
      <w:pPr>
        <w:pStyle w:val="Heading2"/>
        <w:spacing w:after="150" w:before="300"/>
      </w:pPr>
      <w:r>
        <w:rPr>
          <w:b/>
          <w:bCs/>
          <w:sz w:val="26"/>
          <w:szCs w:val="26"/>
        </w:rPr>
        <w:t xml:space="preserve">1.1 What this domain covers — काय समाविष्ट आहे</w:t>
      </w:r>
    </w:p>
    <w:p>
      <w:pPr>
        <w:spacing w:after="120"/>
      </w:pPr>
      <w:r>
        <w:t xml:space="preserve">Domain 14 covers every advisory input derived from a sensor that is not physically at the plot. This means space-borne optical, radar, and thermal imagery; aerial and drone imagery when routed through the same pipeline; and any derived product (vegetation indices, soil-moisture maps, land-surface temperature) that reaches the Farm Brain from such sources.</w:t>
      </w:r>
    </w:p>
    <w:p>
      <w:pPr>
        <w:spacing w:after="120"/>
      </w:pPr>
      <w:r>
        <w:t xml:space="preserve">या डोमेनमध्ये अशा प्रत्येक सल्ला-निविष्ठेचा समावेश आहे जी शेतावर प्रत्यक्ष बसवलेल्या सेन्सरकडून येत नाही. म्हणजे उपग्रहाची प्रकाशीय (optical), रडार आणि थर्मल छायाचित्रे; याच पाइपलाइनमधून येणारी हवाईछायाचित्रे किंवा ड्रोन छायाचित्रे; आणि यातून तयार होणारी सर्व उत्पादने (वनस्पती निर्देशांक, मृदा-ओलावा नकाशे, भूपृष्ठ तापमान).</w:t>
      </w:r>
    </w:p>
    <w:p>
      <w:pPr>
        <w:pStyle w:val="Heading2"/>
        <w:spacing w:after="150" w:before="300"/>
      </w:pPr>
      <w:r>
        <w:rPr>
          <w:b/>
          <w:bCs/>
          <w:sz w:val="26"/>
          <w:szCs w:val="26"/>
        </w:rPr>
        <w:t xml:space="preserve">1.2 What this domain does not cover — काय समाविष्ट नाही</w:t>
      </w:r>
    </w:p>
    <w:p>
      <w:pPr>
        <w:pStyle w:val="ListParagraph"/>
        <w:numPr>
          <w:ilvl w:val="0"/>
          <w:numId w:val="1"/>
        </w:numPr>
        <w:spacing w:after="80"/>
      </w:pPr>
      <w:r>
        <w:t xml:space="preserve">Weather at the plot — belongs to Domain 7 (cluster weather station is on-plot infrastructure)</w:t>
      </w:r>
    </w:p>
    <w:p>
      <w:pPr>
        <w:pStyle w:val="ListParagraph"/>
        <w:numPr>
          <w:ilvl w:val="0"/>
          <w:numId w:val="1"/>
        </w:numPr>
        <w:spacing w:after="80"/>
      </w:pPr>
      <w:r>
        <w:t xml:space="preserve">Soil physical or chemical measurement at the plot — belongs to Domain 2</w:t>
      </w:r>
    </w:p>
    <w:p>
      <w:pPr>
        <w:pStyle w:val="ListParagraph"/>
        <w:numPr>
          <w:ilvl w:val="0"/>
          <w:numId w:val="1"/>
        </w:numPr>
        <w:spacing w:after="80"/>
      </w:pPr>
      <w:r>
        <w:t xml:space="preserve">Sub-node soil-moisture, EC, and temperature readings — belong to Domain 3 (water) and Domain 4 (nutrient)</w:t>
      </w:r>
    </w:p>
    <w:p>
      <w:pPr>
        <w:pStyle w:val="ListParagraph"/>
        <w:numPr>
          <w:ilvl w:val="0"/>
          <w:numId w:val="1"/>
        </w:numPr>
        <w:spacing w:after="80"/>
      </w:pPr>
      <w:r>
        <w:t xml:space="preserve">Public rainfall forecast handling and bias correction — belongs to Domain 7 (D07-BC series); satellite-derived rainfall estimates like GPM IMERG feed into Domain 7, not this domain</w:t>
      </w:r>
    </w:p>
    <w:p>
      <w:pPr>
        <w:pStyle w:val="ListParagraph"/>
        <w:numPr>
          <w:ilvl w:val="0"/>
          <w:numId w:val="1"/>
        </w:numPr>
        <w:spacing w:after="80"/>
      </w:pPr>
      <w:r>
        <w:t xml:space="preserve">Yield estimation as a business claim — Domain 12 already prohibits it; satellite yield estimates are treated as inputs to the same prohibition</w:t>
      </w:r>
    </w:p>
    <w:p>
      <w:pPr>
        <w:pStyle w:val="Heading2"/>
        <w:spacing w:after="150" w:before="300"/>
      </w:pPr>
      <w:r>
        <w:rPr>
          <w:b/>
          <w:bCs/>
          <w:sz w:val="26"/>
          <w:szCs w:val="26"/>
        </w:rPr>
        <w:t xml:space="preserve">1.3 Why this domain is separate from Domain 7 — Domain 7 पासून वेगळे का</w:t>
      </w:r>
    </w:p>
    <w:p>
      <w:pPr>
        <w:spacing w:after="120"/>
      </w:pPr>
      <w:r>
        <w:t xml:space="preserve">Weather (D07) is measured at the cluster station and is a point observation with high temporal density (hourly to daily). Satellite is a spatial observation with lower temporal density (daily to weekly), a wider footprint (10 m to 1 km pixels), and completely different failure modes (cloud cover, sensor saturation, atmospheric correction error, geolocation drift). The two data classes have different licences, different pipelines, different SLAs and different levels of trust — separating them keeps the precedence system honest.</w:t>
      </w:r>
    </w:p>
    <w:p>
      <w:pPr>
        <w:spacing w:after="120"/>
      </w:pPr>
      <w:r>
        <w:t xml:space="preserve">हवामान (D07) क्लस्टर स्थानकावर मोजले जाते — बिंदू निरीक्षण, वेळेच्या दृष्टीने घनदाट (तासाला ते दैनिक). उपग्रह हे अवकाशीय निरीक्षण — वेळेच्या दृष्टीने कमी घन (दैनिक ते आठवडी), पिक्सेल आकार १० मी ते १ किमी, आणि पूर्णपणे वेगळ्या अपयश-प्रकारांसह (ढग, संवेदक-संपृक्तता, वातावरणीय दुरुस्ती चूक, स्थान विचलन). दोन्ही डेटा-वर्ग वेगळे लायसेन्स, वेगळी पाइपलाइन, वेगळे SLA आणि वेगळे विश्वास-पातळी असल्याने ते वेगळे ठेवणे precedence system साठी आवश्यक आहे.</w:t>
      </w:r>
    </w:p>
    <w:p>
      <w:pPr>
        <w:pStyle w:val="Heading2"/>
        <w:spacing w:after="150" w:before="300"/>
      </w:pPr>
      <w:r>
        <w:rPr>
          <w:b/>
          <w:bCs/>
          <w:sz w:val="26"/>
          <w:szCs w:val="26"/>
        </w:rPr>
        <w:t xml:space="preserve">1.4 Cardinal principle — मूलभूत तत्त्व</w:t>
      </w:r>
    </w:p>
    <w:p>
      <w:pPr>
        <w:spacing w:after="120"/>
      </w:pPr>
      <w:r>
        <w:t xml:space="preserve">Ground-truth sensor at the plot beats satellite pixel over the plot, whenever they conflict. Satellite is a spatial context provider and an early anomaly detector; it is not a decision authority over an in-field sensor. This principle is stated once here and referenced in every conflict-resolution rule in Section 10.</w:t>
      </w:r>
    </w:p>
    <w:p>
      <w:pPr>
        <w:spacing w:after="120"/>
      </w:pPr>
      <w:r>
        <w:t xml:space="preserve">शेतावरील ग्राउंड-ट्रुथ सेन्सर हा शेतावरील उपग्रह-पिक्सेलपेक्षा नेहमी वरचढ — जिथेही ते परस्परविरोधी उत्तरे देतात. उपग्रह हा अवकाशीय संदर्भ पुरवठादार आहे व लवकर विसंगती शोधणारा आहे; तो शेतातील सेन्सरवर निर्णय-अधिकार नाही. हे तत्त्व येथे एकदाच नोंदवले आहे व Section 10 मधील प्रत्येक conflict-resolution नियमात याचा संदर्भ आहे.</w:t>
      </w:r>
    </w:p>
    <w:p>
      <w:pPr>
        <w:pStyle w:val="Heading2"/>
        <w:spacing w:after="150" w:before="300"/>
      </w:pPr>
      <w:r>
        <w:rPr>
          <w:b/>
          <w:bCs/>
          <w:sz w:val="26"/>
          <w:szCs w:val="26"/>
        </w:rPr>
        <w:t xml:space="preserve">1.5 Ginger-specific framing — आले-विशिष्ट दृष्टिकोन</w:t>
      </w:r>
    </w:p>
    <w:p>
      <w:pPr>
        <w:spacing w:after="120"/>
      </w:pPr>
      <w:r>
        <w:t xml:space="preserve">For a leaf crop or fruit crop, satellite vegetation indices are strongly correlated with the sale product. For ginger, the sale product is the underground rhizome, and the vegetation index measures only the above-ground canopy. Everything satellite tells us must be translated through this decoupling.</w:t>
      </w:r>
    </w:p>
    <w:p>
      <w:pPr>
        <w:spacing w:after="120"/>
      </w:pPr>
      <w:r>
        <w:t xml:space="preserve">पानाच्या पिकांसाठी किंवा फळ पिकांसाठी उपग्रहाचे निर्देशांक थेट विक्री उत्पादनाशी संबंधित असतात. आल्याच्या बाबतीत विक्री उत्पादन जमिनीखाली आहे आणि निर्देशांक फक्त वरचा पर्णसमूह मोजतो. उपग्रह जे काही सांगतो ते या फरकातून वाचावे लागते.</w:t>
      </w:r>
    </w:p>
    <w:p>
      <w:pPr>
        <w:pStyle w:val="Heading2"/>
        <w:spacing w:after="150" w:before="300"/>
      </w:pPr>
      <w:r>
        <w:rPr>
          <w:b/>
          <w:bCs/>
          <w:sz w:val="26"/>
          <w:szCs w:val="26"/>
        </w:rPr>
        <w:t xml:space="preserve">1.6 Position within the KB — नॉलेज बेसमधील स्थान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900"/>
        <w:gridCol w:w="1900"/>
        <w:gridCol w:w="1960"/>
      </w:tblGrid>
      <w:tr>
        <w:trPr>
          <w:tblHeader/>
        </w:trPr>
        <w:tc>
          <w:tcPr>
            <w:tcW w:type="dxa" w:w="1800"/>
            <w:shd w:fill="DCE6F1" w:color="auto" w:val="clear"/>
          </w:tcPr>
          <w:p>
            <w:pPr>
              <w:spacing w:after="60"/>
            </w:pPr>
            <w:r>
              <w:rPr>
                <w:b/>
                <w:bCs/>
                <w:sz w:val="20"/>
                <w:szCs w:val="20"/>
              </w:rPr>
              <w:t xml:space="preserve">Domain</w:t>
            </w:r>
          </w:p>
        </w:tc>
        <w:tc>
          <w:tcPr>
            <w:tcW w:type="dxa" w:w="1800"/>
            <w:shd w:fill="DCE6F1" w:color="auto" w:val="clear"/>
          </w:tcPr>
          <w:p>
            <w:pPr>
              <w:spacing w:after="60"/>
            </w:pPr>
            <w:r>
              <w:rPr>
                <w:b/>
                <w:bCs/>
                <w:sz w:val="20"/>
                <w:szCs w:val="20"/>
              </w:rPr>
              <w:t xml:space="preserve">Sensor location</w:t>
            </w:r>
          </w:p>
        </w:tc>
        <w:tc>
          <w:tcPr>
            <w:tcW w:type="dxa" w:w="1900"/>
            <w:shd w:fill="DCE6F1" w:color="auto" w:val="clear"/>
          </w:tcPr>
          <w:p>
            <w:pPr>
              <w:spacing w:after="60"/>
            </w:pPr>
            <w:r>
              <w:rPr>
                <w:b/>
                <w:bCs/>
                <w:sz w:val="20"/>
                <w:szCs w:val="20"/>
              </w:rPr>
              <w:t xml:space="preserve">Temporal</w:t>
            </w:r>
          </w:p>
        </w:tc>
        <w:tc>
          <w:tcPr>
            <w:tcW w:type="dxa" w:w="1900"/>
            <w:shd w:fill="DCE6F1" w:color="auto" w:val="clear"/>
          </w:tcPr>
          <w:p>
            <w:pPr>
              <w:spacing w:after="60"/>
            </w:pPr>
            <w:r>
              <w:rPr>
                <w:b/>
                <w:bCs/>
                <w:sz w:val="20"/>
                <w:szCs w:val="20"/>
              </w:rPr>
              <w:t xml:space="preserve">Spatial</w:t>
            </w:r>
          </w:p>
        </w:tc>
        <w:tc>
          <w:tcPr>
            <w:tcW w:type="dxa" w:w="1960"/>
            <w:shd w:fill="DCE6F1" w:color="auto" w:val="clear"/>
          </w:tcPr>
          <w:p>
            <w:pPr>
              <w:spacing w:after="60"/>
            </w:pPr>
            <w:r>
              <w:rPr>
                <w:b/>
                <w:bCs/>
                <w:sz w:val="20"/>
                <w:szCs w:val="20"/>
              </w:rPr>
              <w:t xml:space="preserve">Trust in conflict</w:t>
            </w:r>
          </w:p>
        </w:tc>
      </w:tr>
      <w:tr>
        <w:tc>
          <w:tcPr>
            <w:tcW w:type="dxa" w:w="1800"/>
          </w:tcPr>
          <w:p>
            <w:pPr>
              <w:spacing w:after="60"/>
            </w:pPr>
            <w:r>
              <w:rPr>
                <w:b w:val="false"/>
                <w:bCs w:val="false"/>
                <w:sz w:val="20"/>
                <w:szCs w:val="20"/>
              </w:rPr>
              <w:t xml:space="preserve">D02 Soil</w:t>
            </w:r>
          </w:p>
        </w:tc>
        <w:tc>
          <w:tcPr>
            <w:tcW w:type="dxa" w:w="1800"/>
          </w:tcPr>
          <w:p>
            <w:pPr>
              <w:spacing w:after="60"/>
            </w:pPr>
            <w:r>
              <w:rPr>
                <w:b w:val="false"/>
                <w:bCs w:val="false"/>
                <w:sz w:val="20"/>
                <w:szCs w:val="20"/>
              </w:rPr>
              <w:t xml:space="preserve">plot</w:t>
            </w:r>
          </w:p>
        </w:tc>
        <w:tc>
          <w:tcPr>
            <w:tcW w:type="dxa" w:w="1900"/>
          </w:tcPr>
          <w:p>
            <w:pPr>
              <w:spacing w:after="60"/>
            </w:pPr>
            <w:r>
              <w:rPr>
                <w:b w:val="false"/>
                <w:bCs w:val="false"/>
                <w:sz w:val="20"/>
                <w:szCs w:val="20"/>
              </w:rPr>
              <w:t xml:space="preserve">once/season</w:t>
            </w:r>
          </w:p>
        </w:tc>
        <w:tc>
          <w:tcPr>
            <w:tcW w:type="dxa" w:w="1900"/>
          </w:tcPr>
          <w:p>
            <w:pPr>
              <w:spacing w:after="60"/>
            </w:pPr>
            <w:r>
              <w:rPr>
                <w:b w:val="false"/>
                <w:bCs w:val="false"/>
                <w:sz w:val="20"/>
                <w:szCs w:val="20"/>
              </w:rPr>
              <w:t xml:space="preserve">point</w:t>
            </w:r>
          </w:p>
        </w:tc>
        <w:tc>
          <w:tcPr>
            <w:tcW w:type="dxa" w:w="1960"/>
          </w:tcPr>
          <w:p>
            <w:pPr>
              <w:spacing w:after="60"/>
            </w:pPr>
            <w:r>
              <w:rPr>
                <w:b w:val="false"/>
                <w:bCs w:val="false"/>
                <w:sz w:val="20"/>
                <w:szCs w:val="20"/>
              </w:rPr>
              <w:t xml:space="preserve">authoritative on soil physics</w:t>
            </w:r>
          </w:p>
        </w:tc>
      </w:tr>
      <w:tr>
        <w:tc>
          <w:tcPr>
            <w:tcW w:type="dxa" w:w="1800"/>
          </w:tcPr>
          <w:p>
            <w:pPr>
              <w:spacing w:after="60"/>
            </w:pPr>
            <w:r>
              <w:rPr>
                <w:b w:val="false"/>
                <w:bCs w:val="false"/>
                <w:sz w:val="20"/>
                <w:szCs w:val="20"/>
              </w:rPr>
              <w:t xml:space="preserve">D03 Water</w:t>
            </w:r>
          </w:p>
        </w:tc>
        <w:tc>
          <w:tcPr>
            <w:tcW w:type="dxa" w:w="1800"/>
          </w:tcPr>
          <w:p>
            <w:pPr>
              <w:spacing w:after="60"/>
            </w:pPr>
            <w:r>
              <w:rPr>
                <w:b w:val="false"/>
                <w:bCs w:val="false"/>
                <w:sz w:val="20"/>
                <w:szCs w:val="20"/>
              </w:rPr>
              <w:t xml:space="preserve">plot sub-node</w:t>
            </w:r>
          </w:p>
        </w:tc>
        <w:tc>
          <w:tcPr>
            <w:tcW w:type="dxa" w:w="1900"/>
          </w:tcPr>
          <w:p>
            <w:pPr>
              <w:spacing w:after="60"/>
            </w:pPr>
            <w:r>
              <w:rPr>
                <w:b w:val="false"/>
                <w:bCs w:val="false"/>
                <w:sz w:val="20"/>
                <w:szCs w:val="20"/>
              </w:rPr>
              <w:t xml:space="preserve">minutes</w:t>
            </w:r>
          </w:p>
        </w:tc>
        <w:tc>
          <w:tcPr>
            <w:tcW w:type="dxa" w:w="1900"/>
          </w:tcPr>
          <w:p>
            <w:pPr>
              <w:spacing w:after="60"/>
            </w:pPr>
            <w:r>
              <w:rPr>
                <w:b w:val="false"/>
                <w:bCs w:val="false"/>
                <w:sz w:val="20"/>
                <w:szCs w:val="20"/>
              </w:rPr>
              <w:t xml:space="preserve">point</w:t>
            </w:r>
          </w:p>
        </w:tc>
        <w:tc>
          <w:tcPr>
            <w:tcW w:type="dxa" w:w="1960"/>
          </w:tcPr>
          <w:p>
            <w:pPr>
              <w:spacing w:after="60"/>
            </w:pPr>
            <w:r>
              <w:rPr>
                <w:b w:val="false"/>
                <w:bCs w:val="false"/>
                <w:sz w:val="20"/>
                <w:szCs w:val="20"/>
              </w:rPr>
              <w:t xml:space="preserve">authoritative on root-zone moisture</w:t>
            </w:r>
          </w:p>
        </w:tc>
      </w:tr>
      <w:tr>
        <w:tc>
          <w:tcPr>
            <w:tcW w:type="dxa" w:w="1800"/>
          </w:tcPr>
          <w:p>
            <w:pPr>
              <w:spacing w:after="60"/>
            </w:pPr>
            <w:r>
              <w:rPr>
                <w:b w:val="false"/>
                <w:bCs w:val="false"/>
                <w:sz w:val="20"/>
                <w:szCs w:val="20"/>
              </w:rPr>
              <w:t xml:space="preserve">D07 Weather</w:t>
            </w:r>
          </w:p>
        </w:tc>
        <w:tc>
          <w:tcPr>
            <w:tcW w:type="dxa" w:w="1800"/>
          </w:tcPr>
          <w:p>
            <w:pPr>
              <w:spacing w:after="60"/>
            </w:pPr>
            <w:r>
              <w:rPr>
                <w:b w:val="false"/>
                <w:bCs w:val="false"/>
                <w:sz w:val="20"/>
                <w:szCs w:val="20"/>
              </w:rPr>
              <w:t xml:space="preserve">cluster station</w:t>
            </w:r>
          </w:p>
        </w:tc>
        <w:tc>
          <w:tcPr>
            <w:tcW w:type="dxa" w:w="1900"/>
          </w:tcPr>
          <w:p>
            <w:pPr>
              <w:spacing w:after="60"/>
            </w:pPr>
            <w:r>
              <w:rPr>
                <w:b w:val="false"/>
                <w:bCs w:val="false"/>
                <w:sz w:val="20"/>
                <w:szCs w:val="20"/>
              </w:rPr>
              <w:t xml:space="preserve">hourly</w:t>
            </w:r>
          </w:p>
        </w:tc>
        <w:tc>
          <w:tcPr>
            <w:tcW w:type="dxa" w:w="1900"/>
          </w:tcPr>
          <w:p>
            <w:pPr>
              <w:spacing w:after="60"/>
            </w:pPr>
            <w:r>
              <w:rPr>
                <w:b w:val="false"/>
                <w:bCs w:val="false"/>
                <w:sz w:val="20"/>
                <w:szCs w:val="20"/>
              </w:rPr>
              <w:t xml:space="preserve">1–2 km</w:t>
            </w:r>
          </w:p>
        </w:tc>
        <w:tc>
          <w:tcPr>
            <w:tcW w:type="dxa" w:w="1960"/>
          </w:tcPr>
          <w:p>
            <w:pPr>
              <w:spacing w:after="60"/>
            </w:pPr>
            <w:r>
              <w:rPr>
                <w:b w:val="false"/>
                <w:bCs w:val="false"/>
                <w:sz w:val="20"/>
                <w:szCs w:val="20"/>
              </w:rPr>
              <w:t xml:space="preserve">authoritative on local weather</w:t>
            </w:r>
          </w:p>
        </w:tc>
      </w:tr>
      <w:tr>
        <w:tc>
          <w:tcPr>
            <w:tcW w:type="dxa" w:w="1800"/>
          </w:tcPr>
          <w:p>
            <w:pPr>
              <w:spacing w:after="60"/>
            </w:pPr>
            <w:r>
              <w:rPr>
                <w:b w:val="false"/>
                <w:bCs w:val="false"/>
                <w:sz w:val="20"/>
                <w:szCs w:val="20"/>
              </w:rPr>
              <w:t xml:space="preserve">D14 Satellite</w:t>
            </w:r>
          </w:p>
        </w:tc>
        <w:tc>
          <w:tcPr>
            <w:tcW w:type="dxa" w:w="1800"/>
          </w:tcPr>
          <w:p>
            <w:pPr>
              <w:spacing w:after="60"/>
            </w:pPr>
            <w:r>
              <w:rPr>
                <w:b w:val="false"/>
                <w:bCs w:val="false"/>
                <w:sz w:val="20"/>
                <w:szCs w:val="20"/>
              </w:rPr>
              <w:t xml:space="preserve">space</w:t>
            </w:r>
          </w:p>
        </w:tc>
        <w:tc>
          <w:tcPr>
            <w:tcW w:type="dxa" w:w="1900"/>
          </w:tcPr>
          <w:p>
            <w:pPr>
              <w:spacing w:after="60"/>
            </w:pPr>
            <w:r>
              <w:rPr>
                <w:b w:val="false"/>
                <w:bCs w:val="false"/>
                <w:sz w:val="20"/>
                <w:szCs w:val="20"/>
              </w:rPr>
              <w:t xml:space="preserve">daily–weekly</w:t>
            </w:r>
          </w:p>
        </w:tc>
        <w:tc>
          <w:tcPr>
            <w:tcW w:type="dxa" w:w="1900"/>
          </w:tcPr>
          <w:p>
            <w:pPr>
              <w:spacing w:after="60"/>
            </w:pPr>
            <w:r>
              <w:rPr>
                <w:b w:val="false"/>
                <w:bCs w:val="false"/>
                <w:sz w:val="20"/>
                <w:szCs w:val="20"/>
              </w:rPr>
              <w:t xml:space="preserve">10 m–1 km</w:t>
            </w:r>
          </w:p>
        </w:tc>
        <w:tc>
          <w:tcPr>
            <w:tcW w:type="dxa" w:w="1960"/>
          </w:tcPr>
          <w:p>
            <w:pPr>
              <w:spacing w:after="60"/>
            </w:pPr>
            <w:r>
              <w:rPr>
                <w:b w:val="false"/>
                <w:bCs w:val="false"/>
                <w:sz w:val="20"/>
                <w:szCs w:val="20"/>
              </w:rPr>
              <w:t xml:space="preserve">contextual + early warning</w:t>
            </w:r>
          </w:p>
        </w:tc>
      </w:tr>
    </w:tbl>
    <w:p>
      <w:pPr>
        <w:spacing w:after="300" w:before="200"/>
      </w:pPr>
      <w:r>
        <w:rPr>
          <w:i/>
          <w:iCs/>
          <w:sz w:val="20"/>
          <w:szCs w:val="20"/>
        </w:rPr>
        <w:t xml:space="preserve">Sources: Agro-Guardian Ginger KB architecture document (2 August 2026); Domain 6 architectural note on rhizome-canopy decoupling; Domain 7 station-vs-space distinction; Domain 12 prohibited-claim list.</w:t>
      </w:r>
    </w:p>
    <w:p>
      <w:r>
        <w:br w:type="page"/>
      </w:r>
    </w:p>
    <w:p>
      <w:pPr>
        <w:pStyle w:val="Heading1"/>
        <w:spacing w:after="200" w:before="400"/>
      </w:pPr>
      <w:r>
        <w:rPr>
          <w:b/>
          <w:bCs/>
          <w:sz w:val="32"/>
          <w:szCs w:val="32"/>
        </w:rPr>
        <w:t xml:space="preserve">SECTION 2. Satellite data sources — उपलब्ध उपग्रह व प्रवेश मार्ग</w:t>
      </w:r>
    </w:p>
    <w:p>
      <w:pPr>
        <w:pStyle w:val="Heading2"/>
        <w:spacing w:after="150" w:before="300"/>
      </w:pPr>
      <w:r>
        <w:rPr>
          <w:b/>
          <w:bCs/>
          <w:sz w:val="26"/>
          <w:szCs w:val="26"/>
        </w:rPr>
        <w:t xml:space="preserve">2.1 Free optical sources — मोफत प्रकाशीय स्रोत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400"/>
        <w:gridCol w:w="1400"/>
        <w:gridCol w:w="2960"/>
      </w:tblGrid>
      <w:tr>
        <w:trPr>
          <w:tblHeader/>
        </w:trPr>
        <w:tc>
          <w:tcPr>
            <w:tcW w:type="dxa" w:w="1900"/>
            <w:shd w:fill="DCE6F1" w:color="auto" w:val="clear"/>
          </w:tcPr>
          <w:p>
            <w:pPr>
              <w:spacing w:after="60"/>
            </w:pPr>
            <w:r>
              <w:rPr>
                <w:b/>
                <w:bCs/>
                <w:sz w:val="20"/>
                <w:szCs w:val="20"/>
              </w:rPr>
              <w:t xml:space="preserve">Sensor</w:t>
            </w:r>
          </w:p>
        </w:tc>
        <w:tc>
          <w:tcPr>
            <w:tcW w:type="dxa" w:w="1700"/>
            <w:shd w:fill="DCE6F1" w:color="auto" w:val="clear"/>
          </w:tcPr>
          <w:p>
            <w:pPr>
              <w:spacing w:after="60"/>
            </w:pPr>
            <w:r>
              <w:rPr>
                <w:b/>
                <w:bCs/>
                <w:sz w:val="20"/>
                <w:szCs w:val="20"/>
              </w:rPr>
              <w:t xml:space="preserve">Owner</w:t>
            </w:r>
          </w:p>
        </w:tc>
        <w:tc>
          <w:tcPr>
            <w:tcW w:type="dxa" w:w="1400"/>
            <w:shd w:fill="DCE6F1" w:color="auto" w:val="clear"/>
          </w:tcPr>
          <w:p>
            <w:pPr>
              <w:spacing w:after="60"/>
            </w:pPr>
            <w:r>
              <w:rPr>
                <w:b/>
                <w:bCs/>
                <w:sz w:val="20"/>
                <w:szCs w:val="20"/>
              </w:rPr>
              <w:t xml:space="preserve">Spatial (m)</w:t>
            </w:r>
          </w:p>
        </w:tc>
        <w:tc>
          <w:tcPr>
            <w:tcW w:type="dxa" w:w="1400"/>
            <w:shd w:fill="DCE6F1" w:color="auto" w:val="clear"/>
          </w:tcPr>
          <w:p>
            <w:pPr>
              <w:spacing w:after="60"/>
            </w:pPr>
            <w:r>
              <w:rPr>
                <w:b/>
                <w:bCs/>
                <w:sz w:val="20"/>
                <w:szCs w:val="20"/>
              </w:rPr>
              <w:t xml:space="preserve">Revisit</w:t>
            </w:r>
          </w:p>
        </w:tc>
        <w:tc>
          <w:tcPr>
            <w:tcW w:type="dxa" w:w="2960"/>
            <w:shd w:fill="DCE6F1" w:color="auto" w:val="clear"/>
          </w:tcPr>
          <w:p>
            <w:pPr>
              <w:spacing w:after="60"/>
            </w:pPr>
            <w:r>
              <w:rPr>
                <w:b/>
                <w:bCs/>
                <w:sz w:val="20"/>
                <w:szCs w:val="20"/>
              </w:rPr>
              <w:t xml:space="preserve">Bands relevant to ginger</w:t>
            </w:r>
          </w:p>
        </w:tc>
      </w:tr>
      <w:tr>
        <w:tc>
          <w:tcPr>
            <w:tcW w:type="dxa" w:w="1900"/>
          </w:tcPr>
          <w:p>
            <w:pPr>
              <w:spacing w:after="60"/>
            </w:pPr>
            <w:r>
              <w:rPr>
                <w:b w:val="false"/>
                <w:bCs w:val="false"/>
                <w:sz w:val="20"/>
                <w:szCs w:val="20"/>
              </w:rPr>
              <w:t xml:space="preserve">Sentinel-2 A/B (MSI)</w:t>
            </w:r>
          </w:p>
        </w:tc>
        <w:tc>
          <w:tcPr>
            <w:tcW w:type="dxa" w:w="1700"/>
          </w:tcPr>
          <w:p>
            <w:pPr>
              <w:spacing w:after="60"/>
            </w:pPr>
            <w:r>
              <w:rPr>
                <w:b w:val="false"/>
                <w:bCs w:val="false"/>
                <w:sz w:val="20"/>
                <w:szCs w:val="20"/>
              </w:rPr>
              <w:t xml:space="preserve">ESA / Copernicus</w:t>
            </w:r>
          </w:p>
        </w:tc>
        <w:tc>
          <w:tcPr>
            <w:tcW w:type="dxa" w:w="1400"/>
          </w:tcPr>
          <w:p>
            <w:pPr>
              <w:spacing w:after="60"/>
            </w:pPr>
            <w:r>
              <w:rPr>
                <w:b w:val="false"/>
                <w:bCs w:val="false"/>
                <w:sz w:val="20"/>
                <w:szCs w:val="20"/>
              </w:rPr>
              <w:t xml:space="preserve">10 / 20 / 60</w:t>
            </w:r>
          </w:p>
        </w:tc>
        <w:tc>
          <w:tcPr>
            <w:tcW w:type="dxa" w:w="1400"/>
          </w:tcPr>
          <w:p>
            <w:pPr>
              <w:spacing w:after="60"/>
            </w:pPr>
            <w:r>
              <w:rPr>
                <w:b w:val="false"/>
                <w:bCs w:val="false"/>
                <w:sz w:val="20"/>
                <w:szCs w:val="20"/>
              </w:rPr>
              <w:t xml:space="preserve">5 days combined</w:t>
            </w:r>
          </w:p>
        </w:tc>
        <w:tc>
          <w:tcPr>
            <w:tcW w:type="dxa" w:w="2960"/>
          </w:tcPr>
          <w:p>
            <w:pPr>
              <w:spacing w:after="60"/>
            </w:pPr>
            <w:r>
              <w:rPr>
                <w:b w:val="false"/>
                <w:bCs w:val="false"/>
                <w:sz w:val="20"/>
                <w:szCs w:val="20"/>
              </w:rPr>
              <w:t xml:space="preserve">B2, B3, B4, B8 (NDVI); B5, B6, B7 (red-edge, NDRE); B8A, B11, B12 (moisture, NDMI)</w:t>
            </w:r>
          </w:p>
        </w:tc>
      </w:tr>
      <w:tr>
        <w:tc>
          <w:tcPr>
            <w:tcW w:type="dxa" w:w="1900"/>
          </w:tcPr>
          <w:p>
            <w:pPr>
              <w:spacing w:after="60"/>
            </w:pPr>
            <w:r>
              <w:rPr>
                <w:b w:val="false"/>
                <w:bCs w:val="false"/>
                <w:sz w:val="20"/>
                <w:szCs w:val="20"/>
              </w:rPr>
              <w:t xml:space="preserve">Landsat-8/9 (OLI/TIRS)</w:t>
            </w:r>
          </w:p>
        </w:tc>
        <w:tc>
          <w:tcPr>
            <w:tcW w:type="dxa" w:w="1700"/>
          </w:tcPr>
          <w:p>
            <w:pPr>
              <w:spacing w:after="60"/>
            </w:pPr>
            <w:r>
              <w:rPr>
                <w:b w:val="false"/>
                <w:bCs w:val="false"/>
                <w:sz w:val="20"/>
                <w:szCs w:val="20"/>
              </w:rPr>
              <w:t xml:space="preserve">USGS / NASA</w:t>
            </w:r>
          </w:p>
        </w:tc>
        <w:tc>
          <w:tcPr>
            <w:tcW w:type="dxa" w:w="1400"/>
          </w:tcPr>
          <w:p>
            <w:pPr>
              <w:spacing w:after="60"/>
            </w:pPr>
            <w:r>
              <w:rPr>
                <w:b w:val="false"/>
                <w:bCs w:val="false"/>
                <w:sz w:val="20"/>
                <w:szCs w:val="20"/>
              </w:rPr>
              <w:t xml:space="preserve">30 optical / 100 thermal</w:t>
            </w:r>
          </w:p>
        </w:tc>
        <w:tc>
          <w:tcPr>
            <w:tcW w:type="dxa" w:w="1400"/>
          </w:tcPr>
          <w:p>
            <w:pPr>
              <w:spacing w:after="60"/>
            </w:pPr>
            <w:r>
              <w:rPr>
                <w:b w:val="false"/>
                <w:bCs w:val="false"/>
                <w:sz w:val="20"/>
                <w:szCs w:val="20"/>
              </w:rPr>
              <w:t xml:space="preserve">8 days combined</w:t>
            </w:r>
          </w:p>
        </w:tc>
        <w:tc>
          <w:tcPr>
            <w:tcW w:type="dxa" w:w="2960"/>
          </w:tcPr>
          <w:p>
            <w:pPr>
              <w:spacing w:after="60"/>
            </w:pPr>
            <w:r>
              <w:rPr>
                <w:b w:val="false"/>
                <w:bCs w:val="false"/>
                <w:sz w:val="20"/>
                <w:szCs w:val="20"/>
              </w:rPr>
              <w:t xml:space="preserve">B4, B5 (NDVI); B6 (SWIR moisture); B10 (LST thermal — the reason Landsat is worth keeping)</w:t>
            </w:r>
          </w:p>
        </w:tc>
      </w:tr>
      <w:tr>
        <w:tc>
          <w:tcPr>
            <w:tcW w:type="dxa" w:w="1900"/>
          </w:tcPr>
          <w:p>
            <w:pPr>
              <w:spacing w:after="60"/>
            </w:pPr>
            <w:r>
              <w:rPr>
                <w:b w:val="false"/>
                <w:bCs w:val="false"/>
                <w:sz w:val="20"/>
                <w:szCs w:val="20"/>
              </w:rPr>
              <w:t xml:space="preserve">Terra / Aqua MODIS</w:t>
            </w:r>
          </w:p>
        </w:tc>
        <w:tc>
          <w:tcPr>
            <w:tcW w:type="dxa" w:w="1700"/>
          </w:tcPr>
          <w:p>
            <w:pPr>
              <w:spacing w:after="60"/>
            </w:pPr>
            <w:r>
              <w:rPr>
                <w:b w:val="false"/>
                <w:bCs w:val="false"/>
                <w:sz w:val="20"/>
                <w:szCs w:val="20"/>
              </w:rPr>
              <w:t xml:space="preserve">NASA</w:t>
            </w:r>
          </w:p>
        </w:tc>
        <w:tc>
          <w:tcPr>
            <w:tcW w:type="dxa" w:w="1400"/>
          </w:tcPr>
          <w:p>
            <w:pPr>
              <w:spacing w:after="60"/>
            </w:pPr>
            <w:r>
              <w:rPr>
                <w:b w:val="false"/>
                <w:bCs w:val="false"/>
                <w:sz w:val="20"/>
                <w:szCs w:val="20"/>
              </w:rPr>
              <w:t xml:space="preserve">250 / 500 / 1000</w:t>
            </w:r>
          </w:p>
        </w:tc>
        <w:tc>
          <w:tcPr>
            <w:tcW w:type="dxa" w:w="1400"/>
          </w:tcPr>
          <w:p>
            <w:pPr>
              <w:spacing w:after="60"/>
            </w:pPr>
            <w:r>
              <w:rPr>
                <w:b w:val="false"/>
                <w:bCs w:val="false"/>
                <w:sz w:val="20"/>
                <w:szCs w:val="20"/>
              </w:rPr>
              <w:t xml:space="preserve">daily</w:t>
            </w:r>
          </w:p>
        </w:tc>
        <w:tc>
          <w:tcPr>
            <w:tcW w:type="dxa" w:w="2960"/>
          </w:tcPr>
          <w:p>
            <w:pPr>
              <w:spacing w:after="60"/>
            </w:pPr>
            <w:r>
              <w:rPr>
                <w:b w:val="false"/>
                <w:bCs w:val="false"/>
                <w:sz w:val="20"/>
                <w:szCs w:val="20"/>
              </w:rPr>
              <w:t xml:space="preserve">MOD13Q1 NDVI 250 m 16-day; too coarse for a single ginger plot but usable for regional baseline</w:t>
            </w:r>
          </w:p>
        </w:tc>
      </w:tr>
      <w:tr>
        <w:tc>
          <w:tcPr>
            <w:tcW w:type="dxa" w:w="1900"/>
          </w:tcPr>
          <w:p>
            <w:pPr>
              <w:spacing w:after="60"/>
            </w:pPr>
            <w:r>
              <w:rPr>
                <w:b w:val="false"/>
                <w:bCs w:val="false"/>
                <w:sz w:val="20"/>
                <w:szCs w:val="20"/>
              </w:rPr>
              <w:t xml:space="preserve">EOS-06 (Oceansat-3) OCM</w:t>
            </w:r>
          </w:p>
        </w:tc>
        <w:tc>
          <w:tcPr>
            <w:tcW w:type="dxa" w:w="1700"/>
          </w:tcPr>
          <w:p>
            <w:pPr>
              <w:spacing w:after="60"/>
            </w:pPr>
            <w:r>
              <w:rPr>
                <w:b w:val="false"/>
                <w:bCs w:val="false"/>
                <w:sz w:val="20"/>
                <w:szCs w:val="20"/>
              </w:rPr>
              <w:t xml:space="preserve">ISRO</w:t>
            </w:r>
          </w:p>
        </w:tc>
        <w:tc>
          <w:tcPr>
            <w:tcW w:type="dxa" w:w="1400"/>
          </w:tcPr>
          <w:p>
            <w:pPr>
              <w:spacing w:after="60"/>
            </w:pPr>
            <w:r>
              <w:rPr>
                <w:b w:val="false"/>
                <w:bCs w:val="false"/>
                <w:sz w:val="20"/>
                <w:szCs w:val="20"/>
              </w:rPr>
              <w:t xml:space="preserve">360</w:t>
            </w:r>
          </w:p>
        </w:tc>
        <w:tc>
          <w:tcPr>
            <w:tcW w:type="dxa" w:w="1400"/>
          </w:tcPr>
          <w:p>
            <w:pPr>
              <w:spacing w:after="60"/>
            </w:pPr>
            <w:r>
              <w:rPr>
                <w:b w:val="false"/>
                <w:bCs w:val="false"/>
                <w:sz w:val="20"/>
                <w:szCs w:val="20"/>
              </w:rPr>
              <w:t xml:space="preserve">2 days</w:t>
            </w:r>
          </w:p>
        </w:tc>
        <w:tc>
          <w:tcPr>
            <w:tcW w:type="dxa" w:w="2960"/>
          </w:tcPr>
          <w:p>
            <w:pPr>
              <w:spacing w:after="60"/>
            </w:pPr>
            <w:r>
              <w:rPr>
                <w:b w:val="false"/>
                <w:bCs w:val="false"/>
                <w:sz w:val="20"/>
                <w:szCs w:val="20"/>
              </w:rPr>
              <w:t xml:space="preserve">coastal/agri wide-swath; usable as regional context, not per-plot</w:t>
            </w:r>
          </w:p>
        </w:tc>
      </w:tr>
      <w:tr>
        <w:tc>
          <w:tcPr>
            <w:tcW w:type="dxa" w:w="1900"/>
          </w:tcPr>
          <w:p>
            <w:pPr>
              <w:spacing w:after="60"/>
            </w:pPr>
            <w:r>
              <w:rPr>
                <w:b w:val="false"/>
                <w:bCs w:val="false"/>
                <w:sz w:val="20"/>
                <w:szCs w:val="20"/>
              </w:rPr>
              <w:t xml:space="preserve">Resourcesat-2A LISS-III</w:t>
            </w:r>
          </w:p>
        </w:tc>
        <w:tc>
          <w:tcPr>
            <w:tcW w:type="dxa" w:w="1700"/>
          </w:tcPr>
          <w:p>
            <w:pPr>
              <w:spacing w:after="60"/>
            </w:pPr>
            <w:r>
              <w:rPr>
                <w:b w:val="false"/>
                <w:bCs w:val="false"/>
                <w:sz w:val="20"/>
                <w:szCs w:val="20"/>
              </w:rPr>
              <w:t xml:space="preserve">ISRO</w:t>
            </w:r>
          </w:p>
        </w:tc>
        <w:tc>
          <w:tcPr>
            <w:tcW w:type="dxa" w:w="1400"/>
          </w:tcPr>
          <w:p>
            <w:pPr>
              <w:spacing w:after="60"/>
            </w:pPr>
            <w:r>
              <w:rPr>
                <w:b w:val="false"/>
                <w:bCs w:val="false"/>
                <w:sz w:val="20"/>
                <w:szCs w:val="20"/>
              </w:rPr>
              <w:t xml:space="preserve">23.5</w:t>
            </w:r>
          </w:p>
        </w:tc>
        <w:tc>
          <w:tcPr>
            <w:tcW w:type="dxa" w:w="1400"/>
          </w:tcPr>
          <w:p>
            <w:pPr>
              <w:spacing w:after="60"/>
            </w:pPr>
            <w:r>
              <w:rPr>
                <w:b w:val="false"/>
                <w:bCs w:val="false"/>
                <w:sz w:val="20"/>
                <w:szCs w:val="20"/>
              </w:rPr>
              <w:t xml:space="preserve">24 days</w:t>
            </w:r>
          </w:p>
        </w:tc>
        <w:tc>
          <w:tcPr>
            <w:tcW w:type="dxa" w:w="2960"/>
          </w:tcPr>
          <w:p>
            <w:pPr>
              <w:spacing w:after="60"/>
            </w:pPr>
            <w:r>
              <w:rPr>
                <w:b w:val="false"/>
                <w:bCs w:val="false"/>
                <w:sz w:val="20"/>
                <w:szCs w:val="20"/>
              </w:rPr>
              <w:t xml:space="preserve">legacy — still available via Bhuvan for archive queries</w:t>
            </w:r>
          </w:p>
        </w:tc>
      </w:tr>
    </w:tbl>
    <w:p>
      <w:pPr>
        <w:pStyle w:val="Heading2"/>
        <w:spacing w:after="150" w:before="300"/>
      </w:pPr>
      <w:r>
        <w:rPr>
          <w:b/>
          <w:bCs/>
          <w:sz w:val="26"/>
          <w:szCs w:val="26"/>
        </w:rPr>
        <w:t xml:space="preserve">2.2 Free radar sources — मोफत रडार स्रोत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700"/>
        <w:gridCol w:w="1500"/>
        <w:gridCol w:w="1860"/>
      </w:tblGrid>
      <w:tr>
        <w:trPr>
          <w:tblHeader/>
        </w:trPr>
        <w:tc>
          <w:tcPr>
            <w:tcW w:type="dxa" w:w="2400"/>
            <w:shd w:fill="DCE6F1" w:color="auto" w:val="clear"/>
          </w:tcPr>
          <w:p>
            <w:pPr>
              <w:spacing w:after="60"/>
            </w:pPr>
            <w:r>
              <w:rPr>
                <w:b/>
                <w:bCs/>
                <w:sz w:val="20"/>
                <w:szCs w:val="20"/>
              </w:rPr>
              <w:t xml:space="preserve">Sensor</w:t>
            </w:r>
          </w:p>
        </w:tc>
        <w:tc>
          <w:tcPr>
            <w:tcW w:type="dxa" w:w="1900"/>
            <w:shd w:fill="DCE6F1" w:color="auto" w:val="clear"/>
          </w:tcPr>
          <w:p>
            <w:pPr>
              <w:spacing w:after="60"/>
            </w:pPr>
            <w:r>
              <w:rPr>
                <w:b/>
                <w:bCs/>
                <w:sz w:val="20"/>
                <w:szCs w:val="20"/>
              </w:rPr>
              <w:t xml:space="preserve">Owner</w:t>
            </w:r>
          </w:p>
        </w:tc>
        <w:tc>
          <w:tcPr>
            <w:tcW w:type="dxa" w:w="1700"/>
            <w:shd w:fill="DCE6F1" w:color="auto" w:val="clear"/>
          </w:tcPr>
          <w:p>
            <w:pPr>
              <w:spacing w:after="60"/>
            </w:pPr>
            <w:r>
              <w:rPr>
                <w:b/>
                <w:bCs/>
                <w:sz w:val="20"/>
                <w:szCs w:val="20"/>
              </w:rPr>
              <w:t xml:space="preserve">Spatial (m)</w:t>
            </w:r>
          </w:p>
        </w:tc>
        <w:tc>
          <w:tcPr>
            <w:tcW w:type="dxa" w:w="1500"/>
            <w:shd w:fill="DCE6F1" w:color="auto" w:val="clear"/>
          </w:tcPr>
          <w:p>
            <w:pPr>
              <w:spacing w:after="60"/>
            </w:pPr>
            <w:r>
              <w:rPr>
                <w:b/>
                <w:bCs/>
                <w:sz w:val="20"/>
                <w:szCs w:val="20"/>
              </w:rPr>
              <w:t xml:space="preserve">Revisit</w:t>
            </w:r>
          </w:p>
        </w:tc>
        <w:tc>
          <w:tcPr>
            <w:tcW w:type="dxa" w:w="1860"/>
            <w:shd w:fill="DCE6F1" w:color="auto" w:val="clear"/>
          </w:tcPr>
          <w:p>
            <w:pPr>
              <w:spacing w:after="60"/>
            </w:pPr>
            <w:r>
              <w:rPr>
                <w:b/>
                <w:bCs/>
                <w:sz w:val="20"/>
                <w:szCs w:val="20"/>
              </w:rPr>
              <w:t xml:space="preserve">Polarisation</w:t>
            </w:r>
          </w:p>
        </w:tc>
      </w:tr>
      <w:tr>
        <w:tc>
          <w:tcPr>
            <w:tcW w:type="dxa" w:w="2400"/>
          </w:tcPr>
          <w:p>
            <w:pPr>
              <w:spacing w:after="60"/>
            </w:pPr>
            <w:r>
              <w:rPr>
                <w:b w:val="false"/>
                <w:bCs w:val="false"/>
                <w:sz w:val="20"/>
                <w:szCs w:val="20"/>
              </w:rPr>
              <w:t xml:space="preserve">Sentinel-1 A/C (C-band SAR)</w:t>
            </w:r>
          </w:p>
        </w:tc>
        <w:tc>
          <w:tcPr>
            <w:tcW w:type="dxa" w:w="1900"/>
          </w:tcPr>
          <w:p>
            <w:pPr>
              <w:spacing w:after="60"/>
            </w:pPr>
            <w:r>
              <w:rPr>
                <w:b w:val="false"/>
                <w:bCs w:val="false"/>
                <w:sz w:val="20"/>
                <w:szCs w:val="20"/>
              </w:rPr>
              <w:t xml:space="preserve">ESA / Copernicus</w:t>
            </w:r>
          </w:p>
        </w:tc>
        <w:tc>
          <w:tcPr>
            <w:tcW w:type="dxa" w:w="1700"/>
          </w:tcPr>
          <w:p>
            <w:pPr>
              <w:spacing w:after="60"/>
            </w:pPr>
            <w:r>
              <w:rPr>
                <w:b w:val="false"/>
                <w:bCs w:val="false"/>
                <w:sz w:val="20"/>
                <w:szCs w:val="20"/>
              </w:rPr>
              <w:t xml:space="preserve">10 (IW mode)</w:t>
            </w:r>
          </w:p>
        </w:tc>
        <w:tc>
          <w:tcPr>
            <w:tcW w:type="dxa" w:w="1500"/>
          </w:tcPr>
          <w:p>
            <w:pPr>
              <w:spacing w:after="60"/>
            </w:pPr>
            <w:r>
              <w:rPr>
                <w:b w:val="false"/>
                <w:bCs w:val="false"/>
                <w:sz w:val="20"/>
                <w:szCs w:val="20"/>
              </w:rPr>
              <w:t xml:space="preserve">6–12 days over India</w:t>
            </w:r>
          </w:p>
        </w:tc>
        <w:tc>
          <w:tcPr>
            <w:tcW w:type="dxa" w:w="1860"/>
          </w:tcPr>
          <w:p>
            <w:pPr>
              <w:spacing w:after="60"/>
            </w:pPr>
            <w:r>
              <w:rPr>
                <w:b w:val="false"/>
                <w:bCs w:val="false"/>
                <w:sz w:val="20"/>
                <w:szCs w:val="20"/>
              </w:rPr>
              <w:t xml:space="preserve">VV + VH; cloud-independent, monsoon-usable</w:t>
            </w:r>
          </w:p>
        </w:tc>
      </w:tr>
      <w:tr>
        <w:tc>
          <w:tcPr>
            <w:tcW w:type="dxa" w:w="2400"/>
          </w:tcPr>
          <w:p>
            <w:pPr>
              <w:spacing w:after="60"/>
            </w:pPr>
            <w:r>
              <w:rPr>
                <w:b w:val="false"/>
                <w:bCs w:val="false"/>
                <w:sz w:val="20"/>
                <w:szCs w:val="20"/>
              </w:rPr>
              <w:t xml:space="preserve">NISAR (planned/launched)</w:t>
            </w:r>
          </w:p>
        </w:tc>
        <w:tc>
          <w:tcPr>
            <w:tcW w:type="dxa" w:w="1900"/>
          </w:tcPr>
          <w:p>
            <w:pPr>
              <w:spacing w:after="60"/>
            </w:pPr>
            <w:r>
              <w:rPr>
                <w:b w:val="false"/>
                <w:bCs w:val="false"/>
                <w:sz w:val="20"/>
                <w:szCs w:val="20"/>
              </w:rPr>
              <w:t xml:space="preserve">NASA + ISRO</w:t>
            </w:r>
          </w:p>
        </w:tc>
        <w:tc>
          <w:tcPr>
            <w:tcW w:type="dxa" w:w="1700"/>
          </w:tcPr>
          <w:p>
            <w:pPr>
              <w:spacing w:after="60"/>
            </w:pPr>
            <w:r>
              <w:rPr>
                <w:b w:val="false"/>
                <w:bCs w:val="false"/>
                <w:sz w:val="20"/>
                <w:szCs w:val="20"/>
              </w:rPr>
              <w:t xml:space="preserve">3–10</w:t>
            </w:r>
          </w:p>
        </w:tc>
        <w:tc>
          <w:tcPr>
            <w:tcW w:type="dxa" w:w="1500"/>
          </w:tcPr>
          <w:p>
            <w:pPr>
              <w:spacing w:after="60"/>
            </w:pPr>
            <w:r>
              <w:rPr>
                <w:b w:val="false"/>
                <w:bCs w:val="false"/>
                <w:sz w:val="20"/>
                <w:szCs w:val="20"/>
              </w:rPr>
              <w:t xml:space="preserve">12 days</w:t>
            </w:r>
          </w:p>
        </w:tc>
        <w:tc>
          <w:tcPr>
            <w:tcW w:type="dxa" w:w="1860"/>
          </w:tcPr>
          <w:p>
            <w:pPr>
              <w:spacing w:after="60"/>
            </w:pPr>
            <w:r>
              <w:rPr>
                <w:b w:val="false"/>
                <w:bCs w:val="false"/>
                <w:sz w:val="20"/>
                <w:szCs w:val="20"/>
              </w:rPr>
              <w:t xml:space="preserve">L-band + S-band; deeper penetration; treat as watch-list until formal open access</w:t>
            </w:r>
          </w:p>
        </w:tc>
      </w:tr>
      <w:tr>
        <w:tc>
          <w:tcPr>
            <w:tcW w:type="dxa" w:w="2400"/>
          </w:tcPr>
          <w:p>
            <w:pPr>
              <w:spacing w:after="60"/>
            </w:pPr>
            <w:r>
              <w:rPr>
                <w:b w:val="false"/>
                <w:bCs w:val="false"/>
                <w:sz w:val="20"/>
                <w:szCs w:val="20"/>
              </w:rPr>
              <w:t xml:space="preserve">RISAT-1B</w:t>
            </w:r>
          </w:p>
        </w:tc>
        <w:tc>
          <w:tcPr>
            <w:tcW w:type="dxa" w:w="1900"/>
          </w:tcPr>
          <w:p>
            <w:pPr>
              <w:spacing w:after="60"/>
            </w:pPr>
            <w:r>
              <w:rPr>
                <w:b w:val="false"/>
                <w:bCs w:val="false"/>
                <w:sz w:val="20"/>
                <w:szCs w:val="20"/>
              </w:rPr>
              <w:t xml:space="preserve">ISRO</w:t>
            </w:r>
          </w:p>
        </w:tc>
        <w:tc>
          <w:tcPr>
            <w:tcW w:type="dxa" w:w="1700"/>
          </w:tcPr>
          <w:p>
            <w:pPr>
              <w:spacing w:after="60"/>
            </w:pPr>
            <w:r>
              <w:rPr>
                <w:b w:val="false"/>
                <w:bCs w:val="false"/>
                <w:sz w:val="20"/>
                <w:szCs w:val="20"/>
              </w:rPr>
              <w:t xml:space="preserve">3 / 6 / 18</w:t>
            </w:r>
          </w:p>
        </w:tc>
        <w:tc>
          <w:tcPr>
            <w:tcW w:type="dxa" w:w="1500"/>
          </w:tcPr>
          <w:p>
            <w:pPr>
              <w:spacing w:after="60"/>
            </w:pPr>
            <w:r>
              <w:rPr>
                <w:b w:val="false"/>
                <w:bCs w:val="false"/>
                <w:sz w:val="20"/>
                <w:szCs w:val="20"/>
              </w:rPr>
              <w:t xml:space="preserve">variable</w:t>
            </w:r>
          </w:p>
        </w:tc>
        <w:tc>
          <w:tcPr>
            <w:tcW w:type="dxa" w:w="1860"/>
          </w:tcPr>
          <w:p>
            <w:pPr>
              <w:spacing w:after="60"/>
            </w:pPr>
            <w:r>
              <w:rPr>
                <w:b w:val="false"/>
                <w:bCs w:val="false"/>
                <w:sz w:val="20"/>
                <w:szCs w:val="20"/>
              </w:rPr>
              <w:t xml:space="preserve">C-band SAR; access via Bhuvan / NRSC portal, not always free for commercial use</w:t>
            </w:r>
          </w:p>
        </w:tc>
      </w:tr>
    </w:tbl>
    <w:p>
      <w:pPr>
        <w:pStyle w:val="Heading2"/>
        <w:spacing w:after="150" w:before="300"/>
      </w:pPr>
      <w:r>
        <w:rPr>
          <w:b/>
          <w:bCs/>
          <w:sz w:val="26"/>
          <w:szCs w:val="26"/>
        </w:rPr>
        <w:t xml:space="preserve">2.3 Free thermal sources — मोफत थर्मल स्रोत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2000"/>
        <w:gridCol w:w="1900"/>
        <w:gridCol w:w="2060"/>
      </w:tblGrid>
      <w:tr>
        <w:trPr>
          <w:tblHeader/>
        </w:trPr>
        <w:tc>
          <w:tcPr>
            <w:tcW w:type="dxa" w:w="1900"/>
            <w:shd w:fill="DCE6F1" w:color="auto" w:val="clear"/>
          </w:tcPr>
          <w:p>
            <w:pPr>
              <w:spacing w:after="60"/>
            </w:pPr>
            <w:r>
              <w:rPr>
                <w:b/>
                <w:bCs/>
                <w:sz w:val="20"/>
                <w:szCs w:val="20"/>
              </w:rPr>
              <w:t xml:space="preserve">Sensor</w:t>
            </w:r>
          </w:p>
        </w:tc>
        <w:tc>
          <w:tcPr>
            <w:tcW w:type="dxa" w:w="1500"/>
            <w:shd w:fill="DCE6F1" w:color="auto" w:val="clear"/>
          </w:tcPr>
          <w:p>
            <w:pPr>
              <w:spacing w:after="60"/>
            </w:pPr>
            <w:r>
              <w:rPr>
                <w:b/>
                <w:bCs/>
                <w:sz w:val="20"/>
                <w:szCs w:val="20"/>
              </w:rPr>
              <w:t xml:space="preserve">Owner</w:t>
            </w:r>
          </w:p>
        </w:tc>
        <w:tc>
          <w:tcPr>
            <w:tcW w:type="dxa" w:w="2000"/>
            <w:shd w:fill="DCE6F1" w:color="auto" w:val="clear"/>
          </w:tcPr>
          <w:p>
            <w:pPr>
              <w:spacing w:after="60"/>
            </w:pPr>
            <w:r>
              <w:rPr>
                <w:b/>
                <w:bCs/>
                <w:sz w:val="20"/>
                <w:szCs w:val="20"/>
              </w:rPr>
              <w:t xml:space="preserve">Spatial (m)</w:t>
            </w:r>
          </w:p>
        </w:tc>
        <w:tc>
          <w:tcPr>
            <w:tcW w:type="dxa" w:w="1900"/>
            <w:shd w:fill="DCE6F1" w:color="auto" w:val="clear"/>
          </w:tcPr>
          <w:p>
            <w:pPr>
              <w:spacing w:after="60"/>
            </w:pPr>
            <w:r>
              <w:rPr>
                <w:b/>
                <w:bCs/>
                <w:sz w:val="20"/>
                <w:szCs w:val="20"/>
              </w:rPr>
              <w:t xml:space="preserve">Revisit</w:t>
            </w:r>
          </w:p>
        </w:tc>
        <w:tc>
          <w:tcPr>
            <w:tcW w:type="dxa" w:w="2060"/>
            <w:shd w:fill="DCE6F1" w:color="auto" w:val="clear"/>
          </w:tcPr>
          <w:p>
            <w:pPr>
              <w:spacing w:after="60"/>
            </w:pPr>
            <w:r>
              <w:rPr>
                <w:b/>
                <w:bCs/>
                <w:sz w:val="20"/>
                <w:szCs w:val="20"/>
              </w:rPr>
              <w:t xml:space="preserve">Use for ginger</w:t>
            </w:r>
          </w:p>
        </w:tc>
      </w:tr>
      <w:tr>
        <w:tc>
          <w:tcPr>
            <w:tcW w:type="dxa" w:w="1900"/>
          </w:tcPr>
          <w:p>
            <w:pPr>
              <w:spacing w:after="60"/>
            </w:pPr>
            <w:r>
              <w:rPr>
                <w:b w:val="false"/>
                <w:bCs w:val="false"/>
                <w:sz w:val="20"/>
                <w:szCs w:val="20"/>
              </w:rPr>
              <w:t xml:space="preserve">Landsat-8/9 TIRS</w:t>
            </w:r>
          </w:p>
        </w:tc>
        <w:tc>
          <w:tcPr>
            <w:tcW w:type="dxa" w:w="1500"/>
          </w:tcPr>
          <w:p>
            <w:pPr>
              <w:spacing w:after="60"/>
            </w:pPr>
            <w:r>
              <w:rPr>
                <w:b w:val="false"/>
                <w:bCs w:val="false"/>
                <w:sz w:val="20"/>
                <w:szCs w:val="20"/>
              </w:rPr>
              <w:t xml:space="preserve">USGS</w:t>
            </w:r>
          </w:p>
        </w:tc>
        <w:tc>
          <w:tcPr>
            <w:tcW w:type="dxa" w:w="2000"/>
          </w:tcPr>
          <w:p>
            <w:pPr>
              <w:spacing w:after="60"/>
            </w:pPr>
            <w:r>
              <w:rPr>
                <w:b w:val="false"/>
                <w:bCs w:val="false"/>
                <w:sz w:val="20"/>
                <w:szCs w:val="20"/>
              </w:rPr>
              <w:t xml:space="preserve">100 (resampled 30)</w:t>
            </w:r>
          </w:p>
        </w:tc>
        <w:tc>
          <w:tcPr>
            <w:tcW w:type="dxa" w:w="1900"/>
          </w:tcPr>
          <w:p>
            <w:pPr>
              <w:spacing w:after="60"/>
            </w:pPr>
            <w:r>
              <w:rPr>
                <w:b w:val="false"/>
                <w:bCs w:val="false"/>
                <w:sz w:val="20"/>
                <w:szCs w:val="20"/>
              </w:rPr>
              <w:t xml:space="preserve">8 days combined</w:t>
            </w:r>
          </w:p>
        </w:tc>
        <w:tc>
          <w:tcPr>
            <w:tcW w:type="dxa" w:w="2060"/>
          </w:tcPr>
          <w:p>
            <w:pPr>
              <w:spacing w:after="60"/>
            </w:pPr>
            <w:r>
              <w:rPr>
                <w:b w:val="false"/>
                <w:bCs w:val="false"/>
                <w:sz w:val="20"/>
                <w:szCs w:val="20"/>
              </w:rPr>
              <w:t xml:space="preserve">canopy temperature → CWSI; the single best free thermal for a small plot</w:t>
            </w:r>
          </w:p>
        </w:tc>
      </w:tr>
      <w:tr>
        <w:tc>
          <w:tcPr>
            <w:tcW w:type="dxa" w:w="1900"/>
          </w:tcPr>
          <w:p>
            <w:pPr>
              <w:spacing w:after="60"/>
            </w:pPr>
            <w:r>
              <w:rPr>
                <w:b w:val="false"/>
                <w:bCs w:val="false"/>
                <w:sz w:val="20"/>
                <w:szCs w:val="20"/>
              </w:rPr>
              <w:t xml:space="preserve">MODIS LST (MOD11A1)</w:t>
            </w:r>
          </w:p>
        </w:tc>
        <w:tc>
          <w:tcPr>
            <w:tcW w:type="dxa" w:w="1500"/>
          </w:tcPr>
          <w:p>
            <w:pPr>
              <w:spacing w:after="60"/>
            </w:pPr>
            <w:r>
              <w:rPr>
                <w:b w:val="false"/>
                <w:bCs w:val="false"/>
                <w:sz w:val="20"/>
                <w:szCs w:val="20"/>
              </w:rPr>
              <w:t xml:space="preserve">NASA</w:t>
            </w:r>
          </w:p>
        </w:tc>
        <w:tc>
          <w:tcPr>
            <w:tcW w:type="dxa" w:w="2000"/>
          </w:tcPr>
          <w:p>
            <w:pPr>
              <w:spacing w:after="60"/>
            </w:pPr>
            <w:r>
              <w:rPr>
                <w:b w:val="false"/>
                <w:bCs w:val="false"/>
                <w:sz w:val="20"/>
                <w:szCs w:val="20"/>
              </w:rPr>
              <w:t xml:space="preserve">1000</w:t>
            </w:r>
          </w:p>
        </w:tc>
        <w:tc>
          <w:tcPr>
            <w:tcW w:type="dxa" w:w="1900"/>
          </w:tcPr>
          <w:p>
            <w:pPr>
              <w:spacing w:after="60"/>
            </w:pPr>
            <w:r>
              <w:rPr>
                <w:b w:val="false"/>
                <w:bCs w:val="false"/>
                <w:sz w:val="20"/>
                <w:szCs w:val="20"/>
              </w:rPr>
              <w:t xml:space="preserve">daily</w:t>
            </w:r>
          </w:p>
        </w:tc>
        <w:tc>
          <w:tcPr>
            <w:tcW w:type="dxa" w:w="2060"/>
          </w:tcPr>
          <w:p>
            <w:pPr>
              <w:spacing w:after="60"/>
            </w:pPr>
            <w:r>
              <w:rPr>
                <w:b w:val="false"/>
                <w:bCs w:val="false"/>
                <w:sz w:val="20"/>
                <w:szCs w:val="20"/>
              </w:rPr>
              <w:t xml:space="preserve">regional context, not per-plot; useful for cluster-level heat maps</w:t>
            </w:r>
          </w:p>
        </w:tc>
      </w:tr>
      <w:tr>
        <w:tc>
          <w:tcPr>
            <w:tcW w:type="dxa" w:w="1900"/>
          </w:tcPr>
          <w:p>
            <w:pPr>
              <w:spacing w:after="60"/>
            </w:pPr>
            <w:r>
              <w:rPr>
                <w:b w:val="false"/>
                <w:bCs w:val="false"/>
                <w:sz w:val="20"/>
                <w:szCs w:val="20"/>
              </w:rPr>
              <w:t xml:space="preserve">ECOSTRESS (ISS)</w:t>
            </w:r>
          </w:p>
        </w:tc>
        <w:tc>
          <w:tcPr>
            <w:tcW w:type="dxa" w:w="1500"/>
          </w:tcPr>
          <w:p>
            <w:pPr>
              <w:spacing w:after="60"/>
            </w:pPr>
            <w:r>
              <w:rPr>
                <w:b w:val="false"/>
                <w:bCs w:val="false"/>
                <w:sz w:val="20"/>
                <w:szCs w:val="20"/>
              </w:rPr>
              <w:t xml:space="preserve">NASA</w:t>
            </w:r>
          </w:p>
        </w:tc>
        <w:tc>
          <w:tcPr>
            <w:tcW w:type="dxa" w:w="2000"/>
          </w:tcPr>
          <w:p>
            <w:pPr>
              <w:spacing w:after="60"/>
            </w:pPr>
            <w:r>
              <w:rPr>
                <w:b w:val="false"/>
                <w:bCs w:val="false"/>
                <w:sz w:val="20"/>
                <w:szCs w:val="20"/>
              </w:rPr>
              <w:t xml:space="preserve">70</w:t>
            </w:r>
          </w:p>
        </w:tc>
        <w:tc>
          <w:tcPr>
            <w:tcW w:type="dxa" w:w="1900"/>
          </w:tcPr>
          <w:p>
            <w:pPr>
              <w:spacing w:after="60"/>
            </w:pPr>
            <w:r>
              <w:rPr>
                <w:b w:val="false"/>
                <w:bCs w:val="false"/>
                <w:sz w:val="20"/>
                <w:szCs w:val="20"/>
              </w:rPr>
              <w:t xml:space="preserve">variable, non-repeating</w:t>
            </w:r>
          </w:p>
        </w:tc>
        <w:tc>
          <w:tcPr>
            <w:tcW w:type="dxa" w:w="2060"/>
          </w:tcPr>
          <w:p>
            <w:pPr>
              <w:spacing w:after="60"/>
            </w:pPr>
            <w:r>
              <w:rPr>
                <w:b w:val="false"/>
                <w:bCs w:val="false"/>
                <w:sz w:val="20"/>
                <w:szCs w:val="20"/>
              </w:rPr>
              <w:t xml:space="preserve">when it passes it gives an excellent snapshot; do not build a rule on availability</w:t>
            </w:r>
          </w:p>
        </w:tc>
      </w:tr>
    </w:tbl>
    <w:p>
      <w:pPr>
        <w:pStyle w:val="Heading2"/>
        <w:spacing w:after="150" w:before="300"/>
      </w:pPr>
      <w:r>
        <w:rPr>
          <w:b/>
          <w:bCs/>
          <w:sz w:val="26"/>
          <w:szCs w:val="26"/>
        </w:rPr>
        <w:t xml:space="preserve">2.4 Commercial optical sources — व्यावसायिक स्रोत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400"/>
        <w:gridCol w:w="1600"/>
        <w:gridCol w:w="2760"/>
      </w:tblGrid>
      <w:tr>
        <w:trPr>
          <w:tblHeader/>
        </w:trPr>
        <w:tc>
          <w:tcPr>
            <w:tcW w:type="dxa" w:w="1900"/>
            <w:shd w:fill="DCE6F1" w:color="auto" w:val="clear"/>
          </w:tcPr>
          <w:p>
            <w:pPr>
              <w:spacing w:after="60"/>
            </w:pPr>
            <w:r>
              <w:rPr>
                <w:b/>
                <w:bCs/>
                <w:sz w:val="20"/>
                <w:szCs w:val="20"/>
              </w:rPr>
              <w:t xml:space="preserve">Sensor</w:t>
            </w:r>
          </w:p>
        </w:tc>
        <w:tc>
          <w:tcPr>
            <w:tcW w:type="dxa" w:w="1700"/>
            <w:shd w:fill="DCE6F1" w:color="auto" w:val="clear"/>
          </w:tcPr>
          <w:p>
            <w:pPr>
              <w:spacing w:after="60"/>
            </w:pPr>
            <w:r>
              <w:rPr>
                <w:b/>
                <w:bCs/>
                <w:sz w:val="20"/>
                <w:szCs w:val="20"/>
              </w:rPr>
              <w:t xml:space="preserve">Owner</w:t>
            </w:r>
          </w:p>
        </w:tc>
        <w:tc>
          <w:tcPr>
            <w:tcW w:type="dxa" w:w="1400"/>
            <w:shd w:fill="DCE6F1" w:color="auto" w:val="clear"/>
          </w:tcPr>
          <w:p>
            <w:pPr>
              <w:spacing w:after="60"/>
            </w:pPr>
            <w:r>
              <w:rPr>
                <w:b/>
                <w:bCs/>
                <w:sz w:val="20"/>
                <w:szCs w:val="20"/>
              </w:rPr>
              <w:t xml:space="preserve">Spatial (m)</w:t>
            </w:r>
          </w:p>
        </w:tc>
        <w:tc>
          <w:tcPr>
            <w:tcW w:type="dxa" w:w="1600"/>
            <w:shd w:fill="DCE6F1" w:color="auto" w:val="clear"/>
          </w:tcPr>
          <w:p>
            <w:pPr>
              <w:spacing w:after="60"/>
            </w:pPr>
            <w:r>
              <w:rPr>
                <w:b/>
                <w:bCs/>
                <w:sz w:val="20"/>
                <w:szCs w:val="20"/>
              </w:rPr>
              <w:t xml:space="preserve">Revisit</w:t>
            </w:r>
          </w:p>
        </w:tc>
        <w:tc>
          <w:tcPr>
            <w:tcW w:type="dxa" w:w="2760"/>
            <w:shd w:fill="DCE6F1" w:color="auto" w:val="clear"/>
          </w:tcPr>
          <w:p>
            <w:pPr>
              <w:spacing w:after="60"/>
            </w:pPr>
            <w:r>
              <w:rPr>
                <w:b/>
                <w:bCs/>
                <w:sz w:val="20"/>
                <w:szCs w:val="20"/>
              </w:rPr>
              <w:t xml:space="preserve">Indicative price</w:t>
            </w:r>
          </w:p>
        </w:tc>
      </w:tr>
      <w:tr>
        <w:tc>
          <w:tcPr>
            <w:tcW w:type="dxa" w:w="1900"/>
          </w:tcPr>
          <w:p>
            <w:pPr>
              <w:spacing w:after="60"/>
            </w:pPr>
            <w:r>
              <w:rPr>
                <w:b w:val="false"/>
                <w:bCs w:val="false"/>
                <w:sz w:val="20"/>
                <w:szCs w:val="20"/>
              </w:rPr>
              <w:t xml:space="preserve">PlanetScope</w:t>
            </w:r>
          </w:p>
        </w:tc>
        <w:tc>
          <w:tcPr>
            <w:tcW w:type="dxa" w:w="1700"/>
          </w:tcPr>
          <w:p>
            <w:pPr>
              <w:spacing w:after="60"/>
            </w:pPr>
            <w:r>
              <w:rPr>
                <w:b w:val="false"/>
                <w:bCs w:val="false"/>
                <w:sz w:val="20"/>
                <w:szCs w:val="20"/>
              </w:rPr>
              <w:t xml:space="preserve">Planet Labs</w:t>
            </w:r>
          </w:p>
        </w:tc>
        <w:tc>
          <w:tcPr>
            <w:tcW w:type="dxa" w:w="1400"/>
          </w:tcPr>
          <w:p>
            <w:pPr>
              <w:spacing w:after="60"/>
            </w:pPr>
            <w:r>
              <w:rPr>
                <w:b w:val="false"/>
                <w:bCs w:val="false"/>
                <w:sz w:val="20"/>
                <w:szCs w:val="20"/>
              </w:rPr>
              <w:t xml:space="preserve">3</w:t>
            </w:r>
          </w:p>
        </w:tc>
        <w:tc>
          <w:tcPr>
            <w:tcW w:type="dxa" w:w="1600"/>
          </w:tcPr>
          <w:p>
            <w:pPr>
              <w:spacing w:after="60"/>
            </w:pPr>
            <w:r>
              <w:rPr>
                <w:b w:val="false"/>
                <w:bCs w:val="false"/>
                <w:sz w:val="20"/>
                <w:szCs w:val="20"/>
              </w:rPr>
              <w:t xml:space="preserve">daily</w:t>
            </w:r>
          </w:p>
        </w:tc>
        <w:tc>
          <w:tcPr>
            <w:tcW w:type="dxa" w:w="2760"/>
          </w:tcPr>
          <w:p>
            <w:pPr>
              <w:spacing w:after="60"/>
            </w:pPr>
            <w:r>
              <w:rPr>
                <w:b w:val="false"/>
                <w:bCs w:val="false"/>
                <w:sz w:val="20"/>
                <w:szCs w:val="20"/>
              </w:rPr>
              <w:t xml:space="preserve">~$1–3 per km² per month, minimums apply; educational tier via NICFI/Planet EDU</w:t>
            </w:r>
          </w:p>
        </w:tc>
      </w:tr>
      <w:tr>
        <w:tc>
          <w:tcPr>
            <w:tcW w:type="dxa" w:w="1900"/>
          </w:tcPr>
          <w:p>
            <w:pPr>
              <w:spacing w:after="60"/>
            </w:pPr>
            <w:r>
              <w:rPr>
                <w:b w:val="false"/>
                <w:bCs w:val="false"/>
                <w:sz w:val="20"/>
                <w:szCs w:val="20"/>
              </w:rPr>
              <w:t xml:space="preserve">SkySat</w:t>
            </w:r>
          </w:p>
        </w:tc>
        <w:tc>
          <w:tcPr>
            <w:tcW w:type="dxa" w:w="1700"/>
          </w:tcPr>
          <w:p>
            <w:pPr>
              <w:spacing w:after="60"/>
            </w:pPr>
            <w:r>
              <w:rPr>
                <w:b w:val="false"/>
                <w:bCs w:val="false"/>
                <w:sz w:val="20"/>
                <w:szCs w:val="20"/>
              </w:rPr>
              <w:t xml:space="preserve">Planet Labs</w:t>
            </w:r>
          </w:p>
        </w:tc>
        <w:tc>
          <w:tcPr>
            <w:tcW w:type="dxa" w:w="1400"/>
          </w:tcPr>
          <w:p>
            <w:pPr>
              <w:spacing w:after="60"/>
            </w:pPr>
            <w:r>
              <w:rPr>
                <w:b w:val="false"/>
                <w:bCs w:val="false"/>
                <w:sz w:val="20"/>
                <w:szCs w:val="20"/>
              </w:rPr>
              <w:t xml:space="preserve">0.5</w:t>
            </w:r>
          </w:p>
        </w:tc>
        <w:tc>
          <w:tcPr>
            <w:tcW w:type="dxa" w:w="1600"/>
          </w:tcPr>
          <w:p>
            <w:pPr>
              <w:spacing w:after="60"/>
            </w:pPr>
            <w:r>
              <w:rPr>
                <w:b w:val="false"/>
                <w:bCs w:val="false"/>
                <w:sz w:val="20"/>
                <w:szCs w:val="20"/>
              </w:rPr>
              <w:t xml:space="preserve">tasking</w:t>
            </w:r>
          </w:p>
        </w:tc>
        <w:tc>
          <w:tcPr>
            <w:tcW w:type="dxa" w:w="2760"/>
          </w:tcPr>
          <w:p>
            <w:pPr>
              <w:spacing w:after="60"/>
            </w:pPr>
            <w:r>
              <w:rPr>
                <w:b w:val="false"/>
                <w:bCs w:val="false"/>
                <w:sz w:val="20"/>
                <w:szCs w:val="20"/>
              </w:rPr>
              <w:t xml:space="preserve">high but only justified for a specific investigation, not a season subscription</w:t>
            </w:r>
          </w:p>
        </w:tc>
      </w:tr>
      <w:tr>
        <w:tc>
          <w:tcPr>
            <w:tcW w:type="dxa" w:w="1900"/>
          </w:tcPr>
          <w:p>
            <w:pPr>
              <w:spacing w:after="60"/>
            </w:pPr>
            <w:r>
              <w:rPr>
                <w:b w:val="false"/>
                <w:bCs w:val="false"/>
                <w:sz w:val="20"/>
                <w:szCs w:val="20"/>
              </w:rPr>
              <w:t xml:space="preserve">SPOT 6/7</w:t>
            </w:r>
          </w:p>
        </w:tc>
        <w:tc>
          <w:tcPr>
            <w:tcW w:type="dxa" w:w="1700"/>
          </w:tcPr>
          <w:p>
            <w:pPr>
              <w:spacing w:after="60"/>
            </w:pPr>
            <w:r>
              <w:rPr>
                <w:b w:val="false"/>
                <w:bCs w:val="false"/>
                <w:sz w:val="20"/>
                <w:szCs w:val="20"/>
              </w:rPr>
              <w:t xml:space="preserve">Airbus</w:t>
            </w:r>
          </w:p>
        </w:tc>
        <w:tc>
          <w:tcPr>
            <w:tcW w:type="dxa" w:w="1400"/>
          </w:tcPr>
          <w:p>
            <w:pPr>
              <w:spacing w:after="60"/>
            </w:pPr>
            <w:r>
              <w:rPr>
                <w:b w:val="false"/>
                <w:bCs w:val="false"/>
                <w:sz w:val="20"/>
                <w:szCs w:val="20"/>
              </w:rPr>
              <w:t xml:space="preserve">1.5</w:t>
            </w:r>
          </w:p>
        </w:tc>
        <w:tc>
          <w:tcPr>
            <w:tcW w:type="dxa" w:w="1600"/>
          </w:tcPr>
          <w:p>
            <w:pPr>
              <w:spacing w:after="60"/>
            </w:pPr>
            <w:r>
              <w:rPr>
                <w:b w:val="false"/>
                <w:bCs w:val="false"/>
                <w:sz w:val="20"/>
                <w:szCs w:val="20"/>
              </w:rPr>
              <w:t xml:space="preserve">1–3 days</w:t>
            </w:r>
          </w:p>
        </w:tc>
        <w:tc>
          <w:tcPr>
            <w:tcW w:type="dxa" w:w="2760"/>
          </w:tcPr>
          <w:p>
            <w:pPr>
              <w:spacing w:after="60"/>
            </w:pPr>
            <w:r>
              <w:rPr>
                <w:b w:val="false"/>
                <w:bCs w:val="false"/>
                <w:sz w:val="20"/>
                <w:szCs w:val="20"/>
              </w:rPr>
              <w:t xml:space="preserve">per-scene tasking; expensive for a smallholder use case</w:t>
            </w:r>
          </w:p>
        </w:tc>
      </w:tr>
      <w:tr>
        <w:tc>
          <w:tcPr>
            <w:tcW w:type="dxa" w:w="1900"/>
          </w:tcPr>
          <w:p>
            <w:pPr>
              <w:spacing w:after="60"/>
            </w:pPr>
            <w:r>
              <w:rPr>
                <w:b w:val="false"/>
                <w:bCs w:val="false"/>
                <w:sz w:val="20"/>
                <w:szCs w:val="20"/>
              </w:rPr>
              <w:t xml:space="preserve">Pleiades Neo</w:t>
            </w:r>
          </w:p>
        </w:tc>
        <w:tc>
          <w:tcPr>
            <w:tcW w:type="dxa" w:w="1700"/>
          </w:tcPr>
          <w:p>
            <w:pPr>
              <w:spacing w:after="60"/>
            </w:pPr>
            <w:r>
              <w:rPr>
                <w:b w:val="false"/>
                <w:bCs w:val="false"/>
                <w:sz w:val="20"/>
                <w:szCs w:val="20"/>
              </w:rPr>
              <w:t xml:space="preserve">Airbus</w:t>
            </w:r>
          </w:p>
        </w:tc>
        <w:tc>
          <w:tcPr>
            <w:tcW w:type="dxa" w:w="1400"/>
          </w:tcPr>
          <w:p>
            <w:pPr>
              <w:spacing w:after="60"/>
            </w:pPr>
            <w:r>
              <w:rPr>
                <w:b w:val="false"/>
                <w:bCs w:val="false"/>
                <w:sz w:val="20"/>
                <w:szCs w:val="20"/>
              </w:rPr>
              <w:t xml:space="preserve">0.3</w:t>
            </w:r>
          </w:p>
        </w:tc>
        <w:tc>
          <w:tcPr>
            <w:tcW w:type="dxa" w:w="1600"/>
          </w:tcPr>
          <w:p>
            <w:pPr>
              <w:spacing w:after="60"/>
            </w:pPr>
            <w:r>
              <w:rPr>
                <w:b w:val="false"/>
                <w:bCs w:val="false"/>
                <w:sz w:val="20"/>
                <w:szCs w:val="20"/>
              </w:rPr>
              <w:t xml:space="preserve">daily</w:t>
            </w:r>
          </w:p>
        </w:tc>
        <w:tc>
          <w:tcPr>
            <w:tcW w:type="dxa" w:w="2760"/>
          </w:tcPr>
          <w:p>
            <w:pPr>
              <w:spacing w:after="60"/>
            </w:pPr>
            <w:r>
              <w:rPr>
                <w:b w:val="false"/>
                <w:bCs w:val="false"/>
                <w:sz w:val="20"/>
                <w:szCs w:val="20"/>
              </w:rPr>
              <w:t xml:space="preserve">pilot / demo only; not a per-farmer product</w:t>
            </w:r>
          </w:p>
        </w:tc>
      </w:tr>
    </w:tbl>
    <w:p>
      <w:pPr>
        <w:pStyle w:val="Heading2"/>
        <w:spacing w:after="150" w:before="300"/>
      </w:pPr>
      <w:r>
        <w:rPr>
          <w:b/>
          <w:bCs/>
          <w:sz w:val="26"/>
          <w:szCs w:val="26"/>
        </w:rPr>
        <w:t xml:space="preserve">2.5 Access channels — डेटा मिळवण्याचे मार्ग</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DCE6F1" w:color="auto" w:val="clear"/>
          </w:tcPr>
          <w:p>
            <w:pPr>
              <w:spacing w:after="60"/>
            </w:pPr>
            <w:r>
              <w:rPr>
                <w:b/>
                <w:bCs/>
                <w:sz w:val="20"/>
                <w:szCs w:val="20"/>
              </w:rPr>
              <w:t xml:space="preserve">Channel</w:t>
            </w:r>
          </w:p>
        </w:tc>
        <w:tc>
          <w:tcPr>
            <w:tcW w:type="dxa" w:w="2340"/>
            <w:shd w:fill="DCE6F1" w:color="auto" w:val="clear"/>
          </w:tcPr>
          <w:p>
            <w:pPr>
              <w:spacing w:after="60"/>
            </w:pPr>
            <w:r>
              <w:rPr>
                <w:b/>
                <w:bCs/>
                <w:sz w:val="20"/>
                <w:szCs w:val="20"/>
              </w:rPr>
              <w:t xml:space="preserve">Data offered</w:t>
            </w:r>
          </w:p>
        </w:tc>
        <w:tc>
          <w:tcPr>
            <w:tcW w:type="dxa" w:w="2340"/>
            <w:shd w:fill="DCE6F1" w:color="auto" w:val="clear"/>
          </w:tcPr>
          <w:p>
            <w:pPr>
              <w:spacing w:after="60"/>
            </w:pPr>
            <w:r>
              <w:rPr>
                <w:b/>
                <w:bCs/>
                <w:sz w:val="20"/>
                <w:szCs w:val="20"/>
              </w:rPr>
              <w:t xml:space="preserve">Cost model</w:t>
            </w:r>
          </w:p>
        </w:tc>
        <w:tc>
          <w:tcPr>
            <w:tcW w:type="dxa" w:w="2340"/>
            <w:shd w:fill="DCE6F1" w:color="auto" w:val="clear"/>
          </w:tcPr>
          <w:p>
            <w:pPr>
              <w:spacing w:after="60"/>
            </w:pPr>
            <w:r>
              <w:rPr>
                <w:b/>
                <w:bCs/>
                <w:sz w:val="20"/>
                <w:szCs w:val="20"/>
              </w:rPr>
              <w:t xml:space="preserve">Suitability for Agro-Guardian</w:t>
            </w:r>
          </w:p>
        </w:tc>
      </w:tr>
      <w:tr>
        <w:tc>
          <w:tcPr>
            <w:tcW w:type="dxa" w:w="2340"/>
          </w:tcPr>
          <w:p>
            <w:pPr>
              <w:spacing w:after="60"/>
            </w:pPr>
            <w:r>
              <w:rPr>
                <w:b w:val="false"/>
                <w:bCs w:val="false"/>
                <w:sz w:val="20"/>
                <w:szCs w:val="20"/>
              </w:rPr>
              <w:t xml:space="preserve">Copernicus Data Space Ecosystem</w:t>
            </w:r>
          </w:p>
        </w:tc>
        <w:tc>
          <w:tcPr>
            <w:tcW w:type="dxa" w:w="2340"/>
          </w:tcPr>
          <w:p>
            <w:pPr>
              <w:spacing w:after="60"/>
            </w:pPr>
            <w:r>
              <w:rPr>
                <w:b w:val="false"/>
                <w:bCs w:val="false"/>
                <w:sz w:val="20"/>
                <w:szCs w:val="20"/>
              </w:rPr>
              <w:t xml:space="preserve">Sentinel-1/2/3/5P full archive</w:t>
            </w:r>
          </w:p>
        </w:tc>
        <w:tc>
          <w:tcPr>
            <w:tcW w:type="dxa" w:w="2340"/>
          </w:tcPr>
          <w:p>
            <w:pPr>
              <w:spacing w:after="60"/>
            </w:pPr>
            <w:r>
              <w:rPr>
                <w:b w:val="false"/>
                <w:bCs w:val="false"/>
                <w:sz w:val="20"/>
                <w:szCs w:val="20"/>
              </w:rPr>
              <w:t xml:space="preserve">free with fair-use quotas</w:t>
            </w:r>
          </w:p>
        </w:tc>
        <w:tc>
          <w:tcPr>
            <w:tcW w:type="dxa" w:w="2340"/>
          </w:tcPr>
          <w:p>
            <w:pPr>
              <w:spacing w:after="60"/>
            </w:pPr>
            <w:r>
              <w:rPr>
                <w:b w:val="false"/>
                <w:bCs w:val="false"/>
                <w:sz w:val="20"/>
                <w:szCs w:val="20"/>
              </w:rPr>
              <w:t xml:space="preserve">primary channel for Sentinel; production-grade</w:t>
            </w:r>
          </w:p>
        </w:tc>
      </w:tr>
      <w:tr>
        <w:tc>
          <w:tcPr>
            <w:tcW w:type="dxa" w:w="2340"/>
          </w:tcPr>
          <w:p>
            <w:pPr>
              <w:spacing w:after="60"/>
            </w:pPr>
            <w:r>
              <w:rPr>
                <w:b w:val="false"/>
                <w:bCs w:val="false"/>
                <w:sz w:val="20"/>
                <w:szCs w:val="20"/>
              </w:rPr>
              <w:t xml:space="preserve">Sentinel Hub (Sinergise)</w:t>
            </w:r>
          </w:p>
        </w:tc>
        <w:tc>
          <w:tcPr>
            <w:tcW w:type="dxa" w:w="2340"/>
          </w:tcPr>
          <w:p>
            <w:pPr>
              <w:spacing w:after="60"/>
            </w:pPr>
            <w:r>
              <w:rPr>
                <w:b w:val="false"/>
                <w:bCs w:val="false"/>
                <w:sz w:val="20"/>
                <w:szCs w:val="20"/>
              </w:rPr>
              <w:t xml:space="preserve">Sentinel-1/2 + Landsat, on-the-fly indices</w:t>
            </w:r>
          </w:p>
        </w:tc>
        <w:tc>
          <w:tcPr>
            <w:tcW w:type="dxa" w:w="2340"/>
          </w:tcPr>
          <w:p>
            <w:pPr>
              <w:spacing w:after="60"/>
            </w:pPr>
            <w:r>
              <w:rPr>
                <w:b w:val="false"/>
                <w:bCs w:val="false"/>
                <w:sz w:val="20"/>
                <w:szCs w:val="20"/>
              </w:rPr>
              <w:t xml:space="preserve">processing units — pay per rendered km²</w:t>
            </w:r>
          </w:p>
        </w:tc>
        <w:tc>
          <w:tcPr>
            <w:tcW w:type="dxa" w:w="2340"/>
          </w:tcPr>
          <w:p>
            <w:pPr>
              <w:spacing w:after="60"/>
            </w:pPr>
            <w:r>
              <w:rPr>
                <w:b w:val="false"/>
                <w:bCs w:val="false"/>
                <w:sz w:val="20"/>
                <w:szCs w:val="20"/>
              </w:rPr>
              <w:t xml:space="preserve">good for prototyping; cost climbs at scale</w:t>
            </w:r>
          </w:p>
        </w:tc>
      </w:tr>
      <w:tr>
        <w:tc>
          <w:tcPr>
            <w:tcW w:type="dxa" w:w="2340"/>
          </w:tcPr>
          <w:p>
            <w:pPr>
              <w:spacing w:after="60"/>
            </w:pPr>
            <w:r>
              <w:rPr>
                <w:b w:val="false"/>
                <w:bCs w:val="false"/>
                <w:sz w:val="20"/>
                <w:szCs w:val="20"/>
              </w:rPr>
              <w:t xml:space="preserve">Google Earth Engine</w:t>
            </w:r>
          </w:p>
        </w:tc>
        <w:tc>
          <w:tcPr>
            <w:tcW w:type="dxa" w:w="2340"/>
          </w:tcPr>
          <w:p>
            <w:pPr>
              <w:spacing w:after="60"/>
            </w:pPr>
            <w:r>
              <w:rPr>
                <w:b w:val="false"/>
                <w:bCs w:val="false"/>
                <w:sz w:val="20"/>
                <w:szCs w:val="20"/>
              </w:rPr>
              <w:t xml:space="preserve">nearly all public archives, huge compute</w:t>
            </w:r>
          </w:p>
        </w:tc>
        <w:tc>
          <w:tcPr>
            <w:tcW w:type="dxa" w:w="2340"/>
          </w:tcPr>
          <w:p>
            <w:pPr>
              <w:spacing w:after="60"/>
            </w:pPr>
            <w:r>
              <w:rPr>
                <w:b w:val="false"/>
                <w:bCs w:val="false"/>
                <w:sz w:val="20"/>
                <w:szCs w:val="20"/>
              </w:rPr>
              <w:t xml:space="preserve">free non-commercial; paid commercial via GCP</w:t>
            </w:r>
          </w:p>
        </w:tc>
        <w:tc>
          <w:tcPr>
            <w:tcW w:type="dxa" w:w="2340"/>
          </w:tcPr>
          <w:p>
            <w:pPr>
              <w:spacing w:after="60"/>
            </w:pPr>
            <w:r>
              <w:rPr>
                <w:b w:val="false"/>
                <w:bCs w:val="false"/>
                <w:sz w:val="20"/>
                <w:szCs w:val="20"/>
              </w:rPr>
              <w:t xml:space="preserve">excellent for research; commercial deployment needs GCP contract</w:t>
            </w:r>
          </w:p>
        </w:tc>
      </w:tr>
      <w:tr>
        <w:tc>
          <w:tcPr>
            <w:tcW w:type="dxa" w:w="2340"/>
          </w:tcPr>
          <w:p>
            <w:pPr>
              <w:spacing w:after="60"/>
            </w:pPr>
            <w:r>
              <w:rPr>
                <w:b w:val="false"/>
                <w:bCs w:val="false"/>
                <w:sz w:val="20"/>
                <w:szCs w:val="20"/>
              </w:rPr>
              <w:t xml:space="preserve">ISRO Bhuvan</w:t>
            </w:r>
          </w:p>
        </w:tc>
        <w:tc>
          <w:tcPr>
            <w:tcW w:type="dxa" w:w="2340"/>
          </w:tcPr>
          <w:p>
            <w:pPr>
              <w:spacing w:after="60"/>
            </w:pPr>
            <w:r>
              <w:rPr>
                <w:b w:val="false"/>
                <w:bCs w:val="false"/>
                <w:sz w:val="20"/>
                <w:szCs w:val="20"/>
              </w:rPr>
              <w:t xml:space="preserve">Cartosat, Resourcesat, some Sentinel derivatives</w:t>
            </w:r>
          </w:p>
        </w:tc>
        <w:tc>
          <w:tcPr>
            <w:tcW w:type="dxa" w:w="2340"/>
          </w:tcPr>
          <w:p>
            <w:pPr>
              <w:spacing w:after="60"/>
            </w:pPr>
            <w:r>
              <w:rPr>
                <w:b w:val="false"/>
                <w:bCs w:val="false"/>
                <w:sz w:val="20"/>
                <w:szCs w:val="20"/>
              </w:rPr>
              <w:t xml:space="preserve">free for Indian users, some layers login-only</w:t>
            </w:r>
          </w:p>
        </w:tc>
        <w:tc>
          <w:tcPr>
            <w:tcW w:type="dxa" w:w="2340"/>
          </w:tcPr>
          <w:p>
            <w:pPr>
              <w:spacing w:after="60"/>
            </w:pPr>
            <w:r>
              <w:rPr>
                <w:b w:val="false"/>
                <w:bCs w:val="false"/>
                <w:sz w:val="20"/>
                <w:szCs w:val="20"/>
              </w:rPr>
              <w:t xml:space="preserve">must-have for MNCFC/FASAL crop products and Indian archives</w:t>
            </w:r>
          </w:p>
        </w:tc>
      </w:tr>
      <w:tr>
        <w:tc>
          <w:tcPr>
            <w:tcW w:type="dxa" w:w="2340"/>
          </w:tcPr>
          <w:p>
            <w:pPr>
              <w:spacing w:after="60"/>
            </w:pPr>
            <w:r>
              <w:rPr>
                <w:b w:val="false"/>
                <w:bCs w:val="false"/>
                <w:sz w:val="20"/>
                <w:szCs w:val="20"/>
              </w:rPr>
              <w:t xml:space="preserve">MOSDAC</w:t>
            </w:r>
          </w:p>
        </w:tc>
        <w:tc>
          <w:tcPr>
            <w:tcW w:type="dxa" w:w="2340"/>
          </w:tcPr>
          <w:p>
            <w:pPr>
              <w:spacing w:after="60"/>
            </w:pPr>
            <w:r>
              <w:rPr>
                <w:b w:val="false"/>
                <w:bCs w:val="false"/>
                <w:sz w:val="20"/>
                <w:szCs w:val="20"/>
              </w:rPr>
              <w:t xml:space="preserve">INSAT-3D, GPM, MODIS derivatives</w:t>
            </w:r>
          </w:p>
        </w:tc>
        <w:tc>
          <w:tcPr>
            <w:tcW w:type="dxa" w:w="2340"/>
          </w:tcPr>
          <w:p>
            <w:pPr>
              <w:spacing w:after="60"/>
            </w:pPr>
            <w:r>
              <w:rPr>
                <w:b w:val="false"/>
                <w:bCs w:val="false"/>
                <w:sz w:val="20"/>
                <w:szCs w:val="20"/>
              </w:rPr>
              <w:t xml:space="preserve">free</w:t>
            </w:r>
          </w:p>
        </w:tc>
        <w:tc>
          <w:tcPr>
            <w:tcW w:type="dxa" w:w="2340"/>
          </w:tcPr>
          <w:p>
            <w:pPr>
              <w:spacing w:after="60"/>
            </w:pPr>
            <w:r>
              <w:rPr>
                <w:b w:val="false"/>
                <w:bCs w:val="false"/>
                <w:sz w:val="20"/>
                <w:szCs w:val="20"/>
              </w:rPr>
              <w:t xml:space="preserve">weather-adjacent products (soil moisture, rainfall)</w:t>
            </w:r>
          </w:p>
        </w:tc>
      </w:tr>
      <w:tr>
        <w:tc>
          <w:tcPr>
            <w:tcW w:type="dxa" w:w="2340"/>
          </w:tcPr>
          <w:p>
            <w:pPr>
              <w:spacing w:after="60"/>
            </w:pPr>
            <w:r>
              <w:rPr>
                <w:b w:val="false"/>
                <w:bCs w:val="false"/>
                <w:sz w:val="20"/>
                <w:szCs w:val="20"/>
              </w:rPr>
              <w:t xml:space="preserve">NRSC Bhoonidhi</w:t>
            </w:r>
          </w:p>
        </w:tc>
        <w:tc>
          <w:tcPr>
            <w:tcW w:type="dxa" w:w="2340"/>
          </w:tcPr>
          <w:p>
            <w:pPr>
              <w:spacing w:after="60"/>
            </w:pPr>
            <w:r>
              <w:rPr>
                <w:b w:val="false"/>
                <w:bCs w:val="false"/>
                <w:sz w:val="20"/>
                <w:szCs w:val="20"/>
              </w:rPr>
              <w:t xml:space="preserve">ISRO archive downloads</w:t>
            </w:r>
          </w:p>
        </w:tc>
        <w:tc>
          <w:tcPr>
            <w:tcW w:type="dxa" w:w="2340"/>
          </w:tcPr>
          <w:p>
            <w:pPr>
              <w:spacing w:after="60"/>
            </w:pPr>
            <w:r>
              <w:rPr>
                <w:b w:val="false"/>
                <w:bCs w:val="false"/>
                <w:sz w:val="20"/>
                <w:szCs w:val="20"/>
              </w:rPr>
              <w:t xml:space="preserve">free with registration</w:t>
            </w:r>
          </w:p>
        </w:tc>
        <w:tc>
          <w:tcPr>
            <w:tcW w:type="dxa" w:w="2340"/>
          </w:tcPr>
          <w:p>
            <w:pPr>
              <w:spacing w:after="60"/>
            </w:pPr>
            <w:r>
              <w:rPr>
                <w:b w:val="false"/>
                <w:bCs w:val="false"/>
                <w:sz w:val="20"/>
                <w:szCs w:val="20"/>
              </w:rPr>
              <w:t xml:space="preserve">archive access for Indian satellites</w:t>
            </w:r>
          </w:p>
        </w:tc>
      </w:tr>
      <w:tr>
        <w:tc>
          <w:tcPr>
            <w:tcW w:type="dxa" w:w="2340"/>
          </w:tcPr>
          <w:p>
            <w:pPr>
              <w:spacing w:after="60"/>
            </w:pPr>
            <w:r>
              <w:rPr>
                <w:b w:val="false"/>
                <w:bCs w:val="false"/>
                <w:sz w:val="20"/>
                <w:szCs w:val="20"/>
              </w:rPr>
              <w:t xml:space="preserve">USGS EarthExplorer</w:t>
            </w:r>
          </w:p>
        </w:tc>
        <w:tc>
          <w:tcPr>
            <w:tcW w:type="dxa" w:w="2340"/>
          </w:tcPr>
          <w:p>
            <w:pPr>
              <w:spacing w:after="60"/>
            </w:pPr>
            <w:r>
              <w:rPr>
                <w:b w:val="false"/>
                <w:bCs w:val="false"/>
                <w:sz w:val="20"/>
                <w:szCs w:val="20"/>
              </w:rPr>
              <w:t xml:space="preserve">Landsat + MODIS + others</w:t>
            </w:r>
          </w:p>
        </w:tc>
        <w:tc>
          <w:tcPr>
            <w:tcW w:type="dxa" w:w="2340"/>
          </w:tcPr>
          <w:p>
            <w:pPr>
              <w:spacing w:after="60"/>
            </w:pPr>
            <w:r>
              <w:rPr>
                <w:b w:val="false"/>
                <w:bCs w:val="false"/>
                <w:sz w:val="20"/>
                <w:szCs w:val="20"/>
              </w:rPr>
              <w:t xml:space="preserve">free</w:t>
            </w:r>
          </w:p>
        </w:tc>
        <w:tc>
          <w:tcPr>
            <w:tcW w:type="dxa" w:w="2340"/>
          </w:tcPr>
          <w:p>
            <w:pPr>
              <w:spacing w:after="60"/>
            </w:pPr>
            <w:r>
              <w:rPr>
                <w:b w:val="false"/>
                <w:bCs w:val="false"/>
                <w:sz w:val="20"/>
                <w:szCs w:val="20"/>
              </w:rPr>
              <w:t xml:space="preserve">Landsat thermal is not on Copernicus — use this</w:t>
            </w:r>
          </w:p>
        </w:tc>
      </w:tr>
    </w:tbl>
    <w:p>
      <w:pPr>
        <w:pStyle w:val="Heading2"/>
        <w:spacing w:after="150" w:before="300"/>
      </w:pPr>
      <w:r>
        <w:rPr>
          <w:b/>
          <w:bCs/>
          <w:sz w:val="26"/>
          <w:szCs w:val="26"/>
        </w:rPr>
        <w:t xml:space="preserve">2.6 Practical selection for Kannad ginger — व्यवहार्य निवड</w:t>
      </w:r>
    </w:p>
    <w:p>
      <w:pPr>
        <w:spacing w:after="120"/>
      </w:pPr>
      <w:r>
        <w:t xml:space="preserve">Baseline stack, no cost: Sentinel-2 (optical + red-edge), Sentinel-1 (SAR through monsoon), Landsat-8/9 (thermal). Add Bhuvan / MOSDAC for Indian government products that already fuse rainfall and soil moisture. Reserve commercial procurement (PlanetScope) for the specific case where cloud cover has hidden a plot for more than fourteen consecutive days at a decision-critical stage; do not build a subscription-based cost line on it.</w:t>
      </w:r>
    </w:p>
    <w:p>
      <w:pPr>
        <w:spacing w:after="120"/>
      </w:pPr>
      <w:r>
        <w:t xml:space="preserve">Kannad आल्यासाठी व्यवहार्य मूलभूत संच, विनामूल्य: Sentinel-2 (optical + red-edge), Sentinel-1 (SAR, मान्सूनमध्येही), Landsat-8/9 (थर्मल). भारतीय सरकारी उत्पादनांसाठी Bhuvan / MOSDAC. व्यावसायिक (PlanetScope) फक्त निर्णायक अवस्थेत १४ पेक्षा जास्त दिवस ढगांमुळे प्लॉट झाकलेला असल्यास; यावर subscription-आधारित खर्च रचू नये.</w:t>
      </w:r>
    </w:p>
    <w:p>
      <w:pPr>
        <w:spacing w:after="300" w:before="200"/>
      </w:pPr>
      <w:r>
        <w:rPr>
          <w:i/>
          <w:iCs/>
          <w:sz w:val="20"/>
          <w:szCs w:val="20"/>
        </w:rPr>
        <w:t xml:space="preserve">Sources: European Space Agency Copernicus Data Space Ecosystem documentation; USGS Landsat mission handbook; ISRO Bhuvan Geoportal and MOSDAC portal terms; Planet Labs public pricing sheet (2025); Google Earth Engine terms of service.</w:t>
      </w:r>
    </w:p>
    <w:p>
      <w:r>
        <w:br w:type="page"/>
      </w:r>
    </w:p>
    <w:p>
      <w:pPr>
        <w:pStyle w:val="Heading1"/>
        <w:spacing w:after="200" w:before="400"/>
      </w:pPr>
      <w:r>
        <w:rPr>
          <w:b/>
          <w:bCs/>
          <w:sz w:val="32"/>
          <w:szCs w:val="32"/>
        </w:rPr>
        <w:t xml:space="preserve">SECTION 3. Kannad viewing geometry — निरीक्षण भूगोल</w:t>
      </w:r>
    </w:p>
    <w:p>
      <w:pPr>
        <w:pStyle w:val="Heading2"/>
        <w:spacing w:after="150" w:before="300"/>
      </w:pPr>
      <w:r>
        <w:rPr>
          <w:b/>
          <w:bCs/>
          <w:sz w:val="26"/>
          <w:szCs w:val="26"/>
        </w:rPr>
        <w:t xml:space="preserve">3.1 Location and tile — स्थान व टाइल</w:t>
      </w:r>
    </w:p>
    <w:p>
      <w:pPr>
        <w:spacing w:after="120"/>
      </w:pPr>
      <w:r>
        <w:t xml:space="preserve">Kannad taluka centroid: latitude 20.27 N, longitude 75.13 E, elevation 633 m. This falls in Sentinel-2 tile 43QGD (primary) with edge overlap into 43QGC. Landsat WRS-2 Path 147 Row 46. Sentinel-1 relative orbits 92 (ascending) and 165 (descending) — both usable, with slightly different look angles.</w:t>
      </w:r>
    </w:p>
    <w:p>
      <w:pPr>
        <w:pStyle w:val="Heading2"/>
        <w:spacing w:after="150" w:before="300"/>
      </w:pPr>
      <w:r>
        <w:rPr>
          <w:b/>
          <w:bCs/>
          <w:sz w:val="26"/>
          <w:szCs w:val="26"/>
        </w:rPr>
        <w:t xml:space="preserve">3.2 Nominal revisit vs effective revisit — नियोजित पुनरागमन विरुद्ध वापरण्यायोग्य</w:t>
      </w:r>
    </w:p>
    <w:p>
      <w:pPr>
        <w:spacing w:after="120"/>
      </w:pPr>
      <w:r>
        <w:t xml:space="preserve">Nominal revisit is the schedule the spacecraft flies. Effective revisit is what a plot actually receives, after cloud cover, sensor outages and processing latency. For Kannad the difference is severe from June to October.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800"/>
        <w:gridCol w:w="1700"/>
        <w:gridCol w:w="1700"/>
        <w:gridCol w:w="1460"/>
      </w:tblGrid>
      <w:tr>
        <w:trPr>
          <w:tblHeader/>
        </w:trPr>
        <w:tc>
          <w:tcPr>
            <w:tcW w:type="dxa" w:w="1200"/>
            <w:shd w:fill="DCE6F1" w:color="auto" w:val="clear"/>
          </w:tcPr>
          <w:p>
            <w:pPr>
              <w:spacing w:after="60"/>
            </w:pPr>
            <w:r>
              <w:rPr>
                <w:b/>
                <w:bCs/>
                <w:sz w:val="20"/>
                <w:szCs w:val="20"/>
              </w:rPr>
              <w:t xml:space="preserve">Month</w:t>
            </w:r>
          </w:p>
        </w:tc>
        <w:tc>
          <w:tcPr>
            <w:tcW w:type="dxa" w:w="1500"/>
            <w:shd w:fill="DCE6F1" w:color="auto" w:val="clear"/>
          </w:tcPr>
          <w:p>
            <w:pPr>
              <w:spacing w:after="60"/>
            </w:pPr>
            <w:r>
              <w:rPr>
                <w:b/>
                <w:bCs/>
                <w:sz w:val="20"/>
                <w:szCs w:val="20"/>
              </w:rPr>
              <w:t xml:space="preserve">Sentinel-2 nominal</w:t>
            </w:r>
          </w:p>
        </w:tc>
        <w:tc>
          <w:tcPr>
            <w:tcW w:type="dxa" w:w="1800"/>
            <w:shd w:fill="DCE6F1" w:color="auto" w:val="clear"/>
          </w:tcPr>
          <w:p>
            <w:pPr>
              <w:spacing w:after="60"/>
            </w:pPr>
            <w:r>
              <w:rPr>
                <w:b/>
                <w:bCs/>
                <w:sz w:val="20"/>
                <w:szCs w:val="20"/>
              </w:rPr>
              <w:t xml:space="preserve">S-2 cloud-clear (est %)</w:t>
            </w:r>
          </w:p>
        </w:tc>
        <w:tc>
          <w:tcPr>
            <w:tcW w:type="dxa" w:w="1700"/>
            <w:shd w:fill="DCE6F1" w:color="auto" w:val="clear"/>
          </w:tcPr>
          <w:p>
            <w:pPr>
              <w:spacing w:after="60"/>
            </w:pPr>
            <w:r>
              <w:rPr>
                <w:b/>
                <w:bCs/>
                <w:sz w:val="20"/>
                <w:szCs w:val="20"/>
              </w:rPr>
              <w:t xml:space="preserve">S-2 effective revisit</w:t>
            </w:r>
          </w:p>
        </w:tc>
        <w:tc>
          <w:tcPr>
            <w:tcW w:type="dxa" w:w="1700"/>
            <w:shd w:fill="DCE6F1" w:color="auto" w:val="clear"/>
          </w:tcPr>
          <w:p>
            <w:pPr>
              <w:spacing w:after="60"/>
            </w:pPr>
            <w:r>
              <w:rPr>
                <w:b/>
                <w:bCs/>
                <w:sz w:val="20"/>
                <w:szCs w:val="20"/>
              </w:rPr>
              <w:t xml:space="preserve">Sentinel-1 effective</w:t>
            </w:r>
          </w:p>
        </w:tc>
        <w:tc>
          <w:tcPr>
            <w:tcW w:type="dxa" w:w="1460"/>
            <w:shd w:fill="DCE6F1" w:color="auto" w:val="clear"/>
          </w:tcPr>
          <w:p>
            <w:pPr>
              <w:spacing w:after="60"/>
            </w:pPr>
            <w:r>
              <w:rPr>
                <w:b/>
                <w:bCs/>
                <w:sz w:val="20"/>
                <w:szCs w:val="20"/>
              </w:rPr>
              <w:t xml:space="preserve">Note</w:t>
            </w:r>
          </w:p>
        </w:tc>
      </w:tr>
      <w:tr>
        <w:tc>
          <w:tcPr>
            <w:tcW w:type="dxa" w:w="1200"/>
          </w:tcPr>
          <w:p>
            <w:pPr>
              <w:spacing w:after="60"/>
            </w:pPr>
            <w:r>
              <w:rPr>
                <w:b w:val="false"/>
                <w:bCs w:val="false"/>
                <w:sz w:val="20"/>
                <w:szCs w:val="20"/>
              </w:rPr>
              <w:t xml:space="preserve">January</w:t>
            </w:r>
          </w:p>
        </w:tc>
        <w:tc>
          <w:tcPr>
            <w:tcW w:type="dxa" w:w="1500"/>
          </w:tcPr>
          <w:p>
            <w:pPr>
              <w:spacing w:after="60"/>
            </w:pPr>
            <w:r>
              <w:rPr>
                <w:b w:val="false"/>
                <w:bCs w:val="false"/>
                <w:sz w:val="20"/>
                <w:szCs w:val="20"/>
              </w:rPr>
              <w:t xml:space="preserve">5 d</w:t>
            </w:r>
          </w:p>
        </w:tc>
        <w:tc>
          <w:tcPr>
            <w:tcW w:type="dxa" w:w="1800"/>
          </w:tcPr>
          <w:p>
            <w:pPr>
              <w:spacing w:after="60"/>
            </w:pPr>
            <w:r>
              <w:rPr>
                <w:b w:val="false"/>
                <w:bCs w:val="false"/>
                <w:sz w:val="20"/>
                <w:szCs w:val="20"/>
              </w:rPr>
              <w:t xml:space="preserve">~92%</w:t>
            </w:r>
          </w:p>
        </w:tc>
        <w:tc>
          <w:tcPr>
            <w:tcW w:type="dxa" w:w="1700"/>
          </w:tcPr>
          <w:p>
            <w:pPr>
              <w:spacing w:after="60"/>
            </w:pPr>
            <w:r>
              <w:rPr>
                <w:b w:val="false"/>
                <w:bCs w:val="false"/>
                <w:sz w:val="20"/>
                <w:szCs w:val="20"/>
              </w:rPr>
              <w:t xml:space="preserve">5–6 d</w:t>
            </w:r>
          </w:p>
        </w:tc>
        <w:tc>
          <w:tcPr>
            <w:tcW w:type="dxa" w:w="1700"/>
          </w:tcPr>
          <w:p>
            <w:pPr>
              <w:spacing w:after="60"/>
            </w:pPr>
            <w:r>
              <w:rPr>
                <w:b w:val="false"/>
                <w:bCs w:val="false"/>
                <w:sz w:val="20"/>
                <w:szCs w:val="20"/>
              </w:rPr>
              <w:t xml:space="preserve">6–12 d</w:t>
            </w:r>
          </w:p>
        </w:tc>
        <w:tc>
          <w:tcPr>
            <w:tcW w:type="dxa" w:w="1460"/>
          </w:tcPr>
          <w:p>
            <w:pPr>
              <w:spacing w:after="60"/>
            </w:pPr>
            <w:r>
              <w:rPr>
                <w:b w:val="false"/>
                <w:bCs w:val="false"/>
                <w:sz w:val="20"/>
                <w:szCs w:val="20"/>
              </w:rPr>
              <w:t xml:space="preserve">clear winter sky, occasional fog</w:t>
            </w:r>
          </w:p>
        </w:tc>
      </w:tr>
      <w:tr>
        <w:tc>
          <w:tcPr>
            <w:tcW w:type="dxa" w:w="1200"/>
          </w:tcPr>
          <w:p>
            <w:pPr>
              <w:spacing w:after="60"/>
            </w:pPr>
            <w:r>
              <w:rPr>
                <w:b w:val="false"/>
                <w:bCs w:val="false"/>
                <w:sz w:val="20"/>
                <w:szCs w:val="20"/>
              </w:rPr>
              <w:t xml:space="preserve">February</w:t>
            </w:r>
          </w:p>
        </w:tc>
        <w:tc>
          <w:tcPr>
            <w:tcW w:type="dxa" w:w="1500"/>
          </w:tcPr>
          <w:p>
            <w:pPr>
              <w:spacing w:after="60"/>
            </w:pPr>
            <w:r>
              <w:rPr>
                <w:b w:val="false"/>
                <w:bCs w:val="false"/>
                <w:sz w:val="20"/>
                <w:szCs w:val="20"/>
              </w:rPr>
              <w:t xml:space="preserve">5 d</w:t>
            </w:r>
          </w:p>
        </w:tc>
        <w:tc>
          <w:tcPr>
            <w:tcW w:type="dxa" w:w="1800"/>
          </w:tcPr>
          <w:p>
            <w:pPr>
              <w:spacing w:after="60"/>
            </w:pPr>
            <w:r>
              <w:rPr>
                <w:b w:val="false"/>
                <w:bCs w:val="false"/>
                <w:sz w:val="20"/>
                <w:szCs w:val="20"/>
              </w:rPr>
              <w:t xml:space="preserve">~90%</w:t>
            </w:r>
          </w:p>
        </w:tc>
        <w:tc>
          <w:tcPr>
            <w:tcW w:type="dxa" w:w="1700"/>
          </w:tcPr>
          <w:p>
            <w:pPr>
              <w:spacing w:after="60"/>
            </w:pPr>
            <w:r>
              <w:rPr>
                <w:b w:val="false"/>
                <w:bCs w:val="false"/>
                <w:sz w:val="20"/>
                <w:szCs w:val="20"/>
              </w:rPr>
              <w:t xml:space="preserve">5–6 d</w:t>
            </w:r>
          </w:p>
        </w:tc>
        <w:tc>
          <w:tcPr>
            <w:tcW w:type="dxa" w:w="1700"/>
          </w:tcPr>
          <w:p>
            <w:pPr>
              <w:spacing w:after="60"/>
            </w:pPr>
            <w:r>
              <w:rPr>
                <w:b w:val="false"/>
                <w:bCs w:val="false"/>
                <w:sz w:val="20"/>
                <w:szCs w:val="20"/>
              </w:rPr>
              <w:t xml:space="preserve">6–12 d</w:t>
            </w:r>
          </w:p>
        </w:tc>
        <w:tc>
          <w:tcPr>
            <w:tcW w:type="dxa" w:w="1460"/>
          </w:tcPr>
          <w:p>
            <w:pPr>
              <w:spacing w:after="60"/>
            </w:pPr>
            <w:r>
              <w:rPr>
                <w:b w:val="false"/>
                <w:bCs w:val="false"/>
                <w:sz w:val="20"/>
                <w:szCs w:val="20"/>
              </w:rPr>
              <w:t xml:space="preserve">clear</w:t>
            </w:r>
          </w:p>
        </w:tc>
      </w:tr>
      <w:tr>
        <w:tc>
          <w:tcPr>
            <w:tcW w:type="dxa" w:w="1200"/>
          </w:tcPr>
          <w:p>
            <w:pPr>
              <w:spacing w:after="60"/>
            </w:pPr>
            <w:r>
              <w:rPr>
                <w:b w:val="false"/>
                <w:bCs w:val="false"/>
                <w:sz w:val="20"/>
                <w:szCs w:val="20"/>
              </w:rPr>
              <w:t xml:space="preserve">March</w:t>
            </w:r>
          </w:p>
        </w:tc>
        <w:tc>
          <w:tcPr>
            <w:tcW w:type="dxa" w:w="1500"/>
          </w:tcPr>
          <w:p>
            <w:pPr>
              <w:spacing w:after="60"/>
            </w:pPr>
            <w:r>
              <w:rPr>
                <w:b w:val="false"/>
                <w:bCs w:val="false"/>
                <w:sz w:val="20"/>
                <w:szCs w:val="20"/>
              </w:rPr>
              <w:t xml:space="preserve">5 d</w:t>
            </w:r>
          </w:p>
        </w:tc>
        <w:tc>
          <w:tcPr>
            <w:tcW w:type="dxa" w:w="1800"/>
          </w:tcPr>
          <w:p>
            <w:pPr>
              <w:spacing w:after="60"/>
            </w:pPr>
            <w:r>
              <w:rPr>
                <w:b w:val="false"/>
                <w:bCs w:val="false"/>
                <w:sz w:val="20"/>
                <w:szCs w:val="20"/>
              </w:rPr>
              <w:t xml:space="preserve">~90%</w:t>
            </w:r>
          </w:p>
        </w:tc>
        <w:tc>
          <w:tcPr>
            <w:tcW w:type="dxa" w:w="1700"/>
          </w:tcPr>
          <w:p>
            <w:pPr>
              <w:spacing w:after="60"/>
            </w:pPr>
            <w:r>
              <w:rPr>
                <w:b w:val="false"/>
                <w:bCs w:val="false"/>
                <w:sz w:val="20"/>
                <w:szCs w:val="20"/>
              </w:rPr>
              <w:t xml:space="preserve">5–6 d</w:t>
            </w:r>
          </w:p>
        </w:tc>
        <w:tc>
          <w:tcPr>
            <w:tcW w:type="dxa" w:w="1700"/>
          </w:tcPr>
          <w:p>
            <w:pPr>
              <w:spacing w:after="60"/>
            </w:pPr>
            <w:r>
              <w:rPr>
                <w:b w:val="false"/>
                <w:bCs w:val="false"/>
                <w:sz w:val="20"/>
                <w:szCs w:val="20"/>
              </w:rPr>
              <w:t xml:space="preserve">6–12 d</w:t>
            </w:r>
          </w:p>
        </w:tc>
        <w:tc>
          <w:tcPr>
            <w:tcW w:type="dxa" w:w="1460"/>
          </w:tcPr>
          <w:p>
            <w:pPr>
              <w:spacing w:after="60"/>
            </w:pPr>
            <w:r>
              <w:rPr>
                <w:b w:val="false"/>
                <w:bCs w:val="false"/>
                <w:sz w:val="20"/>
                <w:szCs w:val="20"/>
              </w:rPr>
              <w:t xml:space="preserve">pre-summer clear</w:t>
            </w:r>
          </w:p>
        </w:tc>
      </w:tr>
      <w:tr>
        <w:tc>
          <w:tcPr>
            <w:tcW w:type="dxa" w:w="1200"/>
          </w:tcPr>
          <w:p>
            <w:pPr>
              <w:spacing w:after="60"/>
            </w:pPr>
            <w:r>
              <w:rPr>
                <w:b w:val="false"/>
                <w:bCs w:val="false"/>
                <w:sz w:val="20"/>
                <w:szCs w:val="20"/>
              </w:rPr>
              <w:t xml:space="preserve">April</w:t>
            </w:r>
          </w:p>
        </w:tc>
        <w:tc>
          <w:tcPr>
            <w:tcW w:type="dxa" w:w="1500"/>
          </w:tcPr>
          <w:p>
            <w:pPr>
              <w:spacing w:after="60"/>
            </w:pPr>
            <w:r>
              <w:rPr>
                <w:b w:val="false"/>
                <w:bCs w:val="false"/>
                <w:sz w:val="20"/>
                <w:szCs w:val="20"/>
              </w:rPr>
              <w:t xml:space="preserve">5 d</w:t>
            </w:r>
          </w:p>
        </w:tc>
        <w:tc>
          <w:tcPr>
            <w:tcW w:type="dxa" w:w="1800"/>
          </w:tcPr>
          <w:p>
            <w:pPr>
              <w:spacing w:after="60"/>
            </w:pPr>
            <w:r>
              <w:rPr>
                <w:b w:val="false"/>
                <w:bCs w:val="false"/>
                <w:sz w:val="20"/>
                <w:szCs w:val="20"/>
              </w:rPr>
              <w:t xml:space="preserve">~85%</w:t>
            </w:r>
          </w:p>
        </w:tc>
        <w:tc>
          <w:tcPr>
            <w:tcW w:type="dxa" w:w="1700"/>
          </w:tcPr>
          <w:p>
            <w:pPr>
              <w:spacing w:after="60"/>
            </w:pPr>
            <w:r>
              <w:rPr>
                <w:b w:val="false"/>
                <w:bCs w:val="false"/>
                <w:sz w:val="20"/>
                <w:szCs w:val="20"/>
              </w:rPr>
              <w:t xml:space="preserve">6–7 d</w:t>
            </w:r>
          </w:p>
        </w:tc>
        <w:tc>
          <w:tcPr>
            <w:tcW w:type="dxa" w:w="1700"/>
          </w:tcPr>
          <w:p>
            <w:pPr>
              <w:spacing w:after="60"/>
            </w:pPr>
            <w:r>
              <w:rPr>
                <w:b w:val="false"/>
                <w:bCs w:val="false"/>
                <w:sz w:val="20"/>
                <w:szCs w:val="20"/>
              </w:rPr>
              <w:t xml:space="preserve">6–12 d</w:t>
            </w:r>
          </w:p>
        </w:tc>
        <w:tc>
          <w:tcPr>
            <w:tcW w:type="dxa" w:w="1460"/>
          </w:tcPr>
          <w:p>
            <w:pPr>
              <w:spacing w:after="60"/>
            </w:pPr>
            <w:r>
              <w:rPr>
                <w:b w:val="false"/>
                <w:bCs w:val="false"/>
                <w:sz w:val="20"/>
                <w:szCs w:val="20"/>
              </w:rPr>
              <w:t xml:space="preserve">occasional dust haze</w:t>
            </w:r>
          </w:p>
        </w:tc>
      </w:tr>
      <w:tr>
        <w:tc>
          <w:tcPr>
            <w:tcW w:type="dxa" w:w="1200"/>
          </w:tcPr>
          <w:p>
            <w:pPr>
              <w:spacing w:after="60"/>
            </w:pPr>
            <w:r>
              <w:rPr>
                <w:b w:val="false"/>
                <w:bCs w:val="false"/>
                <w:sz w:val="20"/>
                <w:szCs w:val="20"/>
              </w:rPr>
              <w:t xml:space="preserve">May</w:t>
            </w:r>
          </w:p>
        </w:tc>
        <w:tc>
          <w:tcPr>
            <w:tcW w:type="dxa" w:w="1500"/>
          </w:tcPr>
          <w:p>
            <w:pPr>
              <w:spacing w:after="60"/>
            </w:pPr>
            <w:r>
              <w:rPr>
                <w:b w:val="false"/>
                <w:bCs w:val="false"/>
                <w:sz w:val="20"/>
                <w:szCs w:val="20"/>
              </w:rPr>
              <w:t xml:space="preserve">5 d</w:t>
            </w:r>
          </w:p>
        </w:tc>
        <w:tc>
          <w:tcPr>
            <w:tcW w:type="dxa" w:w="1800"/>
          </w:tcPr>
          <w:p>
            <w:pPr>
              <w:spacing w:after="60"/>
            </w:pPr>
            <w:r>
              <w:rPr>
                <w:b w:val="false"/>
                <w:bCs w:val="false"/>
                <w:sz w:val="20"/>
                <w:szCs w:val="20"/>
              </w:rPr>
              <w:t xml:space="preserve">~75%</w:t>
            </w:r>
          </w:p>
        </w:tc>
        <w:tc>
          <w:tcPr>
            <w:tcW w:type="dxa" w:w="1700"/>
          </w:tcPr>
          <w:p>
            <w:pPr>
              <w:spacing w:after="60"/>
            </w:pPr>
            <w:r>
              <w:rPr>
                <w:b w:val="false"/>
                <w:bCs w:val="false"/>
                <w:sz w:val="20"/>
                <w:szCs w:val="20"/>
              </w:rPr>
              <w:t xml:space="preserve">7–9 d</w:t>
            </w:r>
          </w:p>
        </w:tc>
        <w:tc>
          <w:tcPr>
            <w:tcW w:type="dxa" w:w="1700"/>
          </w:tcPr>
          <w:p>
            <w:pPr>
              <w:spacing w:after="60"/>
            </w:pPr>
            <w:r>
              <w:rPr>
                <w:b w:val="false"/>
                <w:bCs w:val="false"/>
                <w:sz w:val="20"/>
                <w:szCs w:val="20"/>
              </w:rPr>
              <w:t xml:space="preserve">6–12 d</w:t>
            </w:r>
          </w:p>
        </w:tc>
        <w:tc>
          <w:tcPr>
            <w:tcW w:type="dxa" w:w="1460"/>
          </w:tcPr>
          <w:p>
            <w:pPr>
              <w:spacing w:after="60"/>
            </w:pPr>
            <w:r>
              <w:rPr>
                <w:b w:val="false"/>
                <w:bCs w:val="false"/>
                <w:sz w:val="20"/>
                <w:szCs w:val="20"/>
              </w:rPr>
              <w:t xml:space="preserve">pre-monsoon convective clouds; also the planting month</w:t>
            </w:r>
          </w:p>
        </w:tc>
      </w:tr>
      <w:tr>
        <w:tc>
          <w:tcPr>
            <w:tcW w:type="dxa" w:w="1200"/>
          </w:tcPr>
          <w:p>
            <w:pPr>
              <w:spacing w:after="60"/>
            </w:pPr>
            <w:r>
              <w:rPr>
                <w:b w:val="false"/>
                <w:bCs w:val="false"/>
                <w:sz w:val="20"/>
                <w:szCs w:val="20"/>
              </w:rPr>
              <w:t xml:space="preserve">June</w:t>
            </w:r>
          </w:p>
        </w:tc>
        <w:tc>
          <w:tcPr>
            <w:tcW w:type="dxa" w:w="1500"/>
          </w:tcPr>
          <w:p>
            <w:pPr>
              <w:spacing w:after="60"/>
            </w:pPr>
            <w:r>
              <w:rPr>
                <w:b w:val="false"/>
                <w:bCs w:val="false"/>
                <w:sz w:val="20"/>
                <w:szCs w:val="20"/>
              </w:rPr>
              <w:t xml:space="preserve">5 d</w:t>
            </w:r>
          </w:p>
        </w:tc>
        <w:tc>
          <w:tcPr>
            <w:tcW w:type="dxa" w:w="1800"/>
          </w:tcPr>
          <w:p>
            <w:pPr>
              <w:spacing w:after="60"/>
            </w:pPr>
            <w:r>
              <w:rPr>
                <w:b w:val="false"/>
                <w:bCs w:val="false"/>
                <w:sz w:val="20"/>
                <w:szCs w:val="20"/>
              </w:rPr>
              <w:t xml:space="preserve">~45%</w:t>
            </w:r>
          </w:p>
        </w:tc>
        <w:tc>
          <w:tcPr>
            <w:tcW w:type="dxa" w:w="1700"/>
          </w:tcPr>
          <w:p>
            <w:pPr>
              <w:spacing w:after="60"/>
            </w:pPr>
            <w:r>
              <w:rPr>
                <w:b w:val="false"/>
                <w:bCs w:val="false"/>
                <w:sz w:val="20"/>
                <w:szCs w:val="20"/>
              </w:rPr>
              <w:t xml:space="preserve">11–14 d</w:t>
            </w:r>
          </w:p>
        </w:tc>
        <w:tc>
          <w:tcPr>
            <w:tcW w:type="dxa" w:w="1700"/>
          </w:tcPr>
          <w:p>
            <w:pPr>
              <w:spacing w:after="60"/>
            </w:pPr>
            <w:r>
              <w:rPr>
                <w:b w:val="false"/>
                <w:bCs w:val="false"/>
                <w:sz w:val="20"/>
                <w:szCs w:val="20"/>
              </w:rPr>
              <w:t xml:space="preserve">6–12 d</w:t>
            </w:r>
          </w:p>
        </w:tc>
        <w:tc>
          <w:tcPr>
            <w:tcW w:type="dxa" w:w="1460"/>
          </w:tcPr>
          <w:p>
            <w:pPr>
              <w:spacing w:after="60"/>
            </w:pPr>
            <w:r>
              <w:rPr>
                <w:b w:val="false"/>
                <w:bCs w:val="false"/>
                <w:sz w:val="20"/>
                <w:szCs w:val="20"/>
              </w:rPr>
              <w:t xml:space="preserve">monsoon onset; SAR becomes primary</w:t>
            </w:r>
          </w:p>
        </w:tc>
      </w:tr>
      <w:tr>
        <w:tc>
          <w:tcPr>
            <w:tcW w:type="dxa" w:w="1200"/>
          </w:tcPr>
          <w:p>
            <w:pPr>
              <w:spacing w:after="60"/>
            </w:pPr>
            <w:r>
              <w:rPr>
                <w:b w:val="false"/>
                <w:bCs w:val="false"/>
                <w:sz w:val="20"/>
                <w:szCs w:val="20"/>
              </w:rPr>
              <w:t xml:space="preserve">July</w:t>
            </w:r>
          </w:p>
        </w:tc>
        <w:tc>
          <w:tcPr>
            <w:tcW w:type="dxa" w:w="1500"/>
          </w:tcPr>
          <w:p>
            <w:pPr>
              <w:spacing w:after="60"/>
            </w:pPr>
            <w:r>
              <w:rPr>
                <w:b w:val="false"/>
                <w:bCs w:val="false"/>
                <w:sz w:val="20"/>
                <w:szCs w:val="20"/>
              </w:rPr>
              <w:t xml:space="preserve">5 d</w:t>
            </w:r>
          </w:p>
        </w:tc>
        <w:tc>
          <w:tcPr>
            <w:tcW w:type="dxa" w:w="1800"/>
          </w:tcPr>
          <w:p>
            <w:pPr>
              <w:spacing w:after="60"/>
            </w:pPr>
            <w:r>
              <w:rPr>
                <w:b w:val="false"/>
                <w:bCs w:val="false"/>
                <w:sz w:val="20"/>
                <w:szCs w:val="20"/>
              </w:rPr>
              <w:t xml:space="preserve">~25%</w:t>
            </w:r>
          </w:p>
        </w:tc>
        <w:tc>
          <w:tcPr>
            <w:tcW w:type="dxa" w:w="1700"/>
          </w:tcPr>
          <w:p>
            <w:pPr>
              <w:spacing w:after="60"/>
            </w:pPr>
            <w:r>
              <w:rPr>
                <w:b w:val="false"/>
                <w:bCs w:val="false"/>
                <w:sz w:val="20"/>
                <w:szCs w:val="20"/>
              </w:rPr>
              <w:t xml:space="preserve">15–20 d</w:t>
            </w:r>
          </w:p>
        </w:tc>
        <w:tc>
          <w:tcPr>
            <w:tcW w:type="dxa" w:w="1700"/>
          </w:tcPr>
          <w:p>
            <w:pPr>
              <w:spacing w:after="60"/>
            </w:pPr>
            <w:r>
              <w:rPr>
                <w:b w:val="false"/>
                <w:bCs w:val="false"/>
                <w:sz w:val="20"/>
                <w:szCs w:val="20"/>
              </w:rPr>
              <w:t xml:space="preserve">6–12 d</w:t>
            </w:r>
          </w:p>
        </w:tc>
        <w:tc>
          <w:tcPr>
            <w:tcW w:type="dxa" w:w="1460"/>
          </w:tcPr>
          <w:p>
            <w:pPr>
              <w:spacing w:after="60"/>
            </w:pPr>
            <w:r>
              <w:rPr>
                <w:b w:val="false"/>
                <w:bCs w:val="false"/>
                <w:sz w:val="20"/>
                <w:szCs w:val="20"/>
              </w:rPr>
              <w:t xml:space="preserve">peak cloud; use Sentinel-1 for anything time-critical</w:t>
            </w:r>
          </w:p>
        </w:tc>
      </w:tr>
      <w:tr>
        <w:tc>
          <w:tcPr>
            <w:tcW w:type="dxa" w:w="1200"/>
          </w:tcPr>
          <w:p>
            <w:pPr>
              <w:spacing w:after="60"/>
            </w:pPr>
            <w:r>
              <w:rPr>
                <w:b w:val="false"/>
                <w:bCs w:val="false"/>
                <w:sz w:val="20"/>
                <w:szCs w:val="20"/>
              </w:rPr>
              <w:t xml:space="preserve">August</w:t>
            </w:r>
          </w:p>
        </w:tc>
        <w:tc>
          <w:tcPr>
            <w:tcW w:type="dxa" w:w="1500"/>
          </w:tcPr>
          <w:p>
            <w:pPr>
              <w:spacing w:after="60"/>
            </w:pPr>
            <w:r>
              <w:rPr>
                <w:b w:val="false"/>
                <w:bCs w:val="false"/>
                <w:sz w:val="20"/>
                <w:szCs w:val="20"/>
              </w:rPr>
              <w:t xml:space="preserve">5 d</w:t>
            </w:r>
          </w:p>
        </w:tc>
        <w:tc>
          <w:tcPr>
            <w:tcW w:type="dxa" w:w="1800"/>
          </w:tcPr>
          <w:p>
            <w:pPr>
              <w:spacing w:after="60"/>
            </w:pPr>
            <w:r>
              <w:rPr>
                <w:b w:val="false"/>
                <w:bCs w:val="false"/>
                <w:sz w:val="20"/>
                <w:szCs w:val="20"/>
              </w:rPr>
              <w:t xml:space="preserve">~25%</w:t>
            </w:r>
          </w:p>
        </w:tc>
        <w:tc>
          <w:tcPr>
            <w:tcW w:type="dxa" w:w="1700"/>
          </w:tcPr>
          <w:p>
            <w:pPr>
              <w:spacing w:after="60"/>
            </w:pPr>
            <w:r>
              <w:rPr>
                <w:b w:val="false"/>
                <w:bCs w:val="false"/>
                <w:sz w:val="20"/>
                <w:szCs w:val="20"/>
              </w:rPr>
              <w:t xml:space="preserve">15–20 d</w:t>
            </w:r>
          </w:p>
        </w:tc>
        <w:tc>
          <w:tcPr>
            <w:tcW w:type="dxa" w:w="1700"/>
          </w:tcPr>
          <w:p>
            <w:pPr>
              <w:spacing w:after="60"/>
            </w:pPr>
            <w:r>
              <w:rPr>
                <w:b w:val="false"/>
                <w:bCs w:val="false"/>
                <w:sz w:val="20"/>
                <w:szCs w:val="20"/>
              </w:rPr>
              <w:t xml:space="preserve">6–12 d</w:t>
            </w:r>
          </w:p>
        </w:tc>
        <w:tc>
          <w:tcPr>
            <w:tcW w:type="dxa" w:w="1460"/>
          </w:tcPr>
          <w:p>
            <w:pPr>
              <w:spacing w:after="60"/>
            </w:pPr>
            <w:r>
              <w:rPr>
                <w:b w:val="false"/>
                <w:bCs w:val="false"/>
                <w:sz w:val="20"/>
                <w:szCs w:val="20"/>
              </w:rPr>
              <w:t xml:space="preserve">peak cloud</w:t>
            </w:r>
          </w:p>
        </w:tc>
      </w:tr>
      <w:tr>
        <w:tc>
          <w:tcPr>
            <w:tcW w:type="dxa" w:w="1200"/>
          </w:tcPr>
          <w:p>
            <w:pPr>
              <w:spacing w:after="60"/>
            </w:pPr>
            <w:r>
              <w:rPr>
                <w:b w:val="false"/>
                <w:bCs w:val="false"/>
                <w:sz w:val="20"/>
                <w:szCs w:val="20"/>
              </w:rPr>
              <w:t xml:space="preserve">September</w:t>
            </w:r>
          </w:p>
        </w:tc>
        <w:tc>
          <w:tcPr>
            <w:tcW w:type="dxa" w:w="1500"/>
          </w:tcPr>
          <w:p>
            <w:pPr>
              <w:spacing w:after="60"/>
            </w:pPr>
            <w:r>
              <w:rPr>
                <w:b w:val="false"/>
                <w:bCs w:val="false"/>
                <w:sz w:val="20"/>
                <w:szCs w:val="20"/>
              </w:rPr>
              <w:t xml:space="preserve">5 d</w:t>
            </w:r>
          </w:p>
        </w:tc>
        <w:tc>
          <w:tcPr>
            <w:tcW w:type="dxa" w:w="1800"/>
          </w:tcPr>
          <w:p>
            <w:pPr>
              <w:spacing w:after="60"/>
            </w:pPr>
            <w:r>
              <w:rPr>
                <w:b w:val="false"/>
                <w:bCs w:val="false"/>
                <w:sz w:val="20"/>
                <w:szCs w:val="20"/>
              </w:rPr>
              <w:t xml:space="preserve">~35%</w:t>
            </w:r>
          </w:p>
        </w:tc>
        <w:tc>
          <w:tcPr>
            <w:tcW w:type="dxa" w:w="1700"/>
          </w:tcPr>
          <w:p>
            <w:pPr>
              <w:spacing w:after="60"/>
            </w:pPr>
            <w:r>
              <w:rPr>
                <w:b w:val="false"/>
                <w:bCs w:val="false"/>
                <w:sz w:val="20"/>
                <w:szCs w:val="20"/>
              </w:rPr>
              <w:t xml:space="preserve">12–16 d</w:t>
            </w:r>
          </w:p>
        </w:tc>
        <w:tc>
          <w:tcPr>
            <w:tcW w:type="dxa" w:w="1700"/>
          </w:tcPr>
          <w:p>
            <w:pPr>
              <w:spacing w:after="60"/>
            </w:pPr>
            <w:r>
              <w:rPr>
                <w:b w:val="false"/>
                <w:bCs w:val="false"/>
                <w:sz w:val="20"/>
                <w:szCs w:val="20"/>
              </w:rPr>
              <w:t xml:space="preserve">6–12 d</w:t>
            </w:r>
          </w:p>
        </w:tc>
        <w:tc>
          <w:tcPr>
            <w:tcW w:type="dxa" w:w="1460"/>
          </w:tcPr>
          <w:p>
            <w:pPr>
              <w:spacing w:after="60"/>
            </w:pPr>
            <w:r>
              <w:rPr>
                <w:b w:val="false"/>
                <w:bCs w:val="false"/>
                <w:sz w:val="20"/>
                <w:szCs w:val="20"/>
              </w:rPr>
              <w:t xml:space="preserve">monsoon retreat begins</w:t>
            </w:r>
          </w:p>
        </w:tc>
      </w:tr>
      <w:tr>
        <w:tc>
          <w:tcPr>
            <w:tcW w:type="dxa" w:w="1200"/>
          </w:tcPr>
          <w:p>
            <w:pPr>
              <w:spacing w:after="60"/>
            </w:pPr>
            <w:r>
              <w:rPr>
                <w:b w:val="false"/>
                <w:bCs w:val="false"/>
                <w:sz w:val="20"/>
                <w:szCs w:val="20"/>
              </w:rPr>
              <w:t xml:space="preserve">October</w:t>
            </w:r>
          </w:p>
        </w:tc>
        <w:tc>
          <w:tcPr>
            <w:tcW w:type="dxa" w:w="1500"/>
          </w:tcPr>
          <w:p>
            <w:pPr>
              <w:spacing w:after="60"/>
            </w:pPr>
            <w:r>
              <w:rPr>
                <w:b w:val="false"/>
                <w:bCs w:val="false"/>
                <w:sz w:val="20"/>
                <w:szCs w:val="20"/>
              </w:rPr>
              <w:t xml:space="preserve">5 d</w:t>
            </w:r>
          </w:p>
        </w:tc>
        <w:tc>
          <w:tcPr>
            <w:tcW w:type="dxa" w:w="1800"/>
          </w:tcPr>
          <w:p>
            <w:pPr>
              <w:spacing w:after="60"/>
            </w:pPr>
            <w:r>
              <w:rPr>
                <w:b w:val="false"/>
                <w:bCs w:val="false"/>
                <w:sz w:val="20"/>
                <w:szCs w:val="20"/>
              </w:rPr>
              <w:t xml:space="preserve">~55%</w:t>
            </w:r>
          </w:p>
        </w:tc>
        <w:tc>
          <w:tcPr>
            <w:tcW w:type="dxa" w:w="1700"/>
          </w:tcPr>
          <w:p>
            <w:pPr>
              <w:spacing w:after="60"/>
            </w:pPr>
            <w:r>
              <w:rPr>
                <w:b w:val="false"/>
                <w:bCs w:val="false"/>
                <w:sz w:val="20"/>
                <w:szCs w:val="20"/>
              </w:rPr>
              <w:t xml:space="preserve">9–11 d</w:t>
            </w:r>
          </w:p>
        </w:tc>
        <w:tc>
          <w:tcPr>
            <w:tcW w:type="dxa" w:w="1700"/>
          </w:tcPr>
          <w:p>
            <w:pPr>
              <w:spacing w:after="60"/>
            </w:pPr>
            <w:r>
              <w:rPr>
                <w:b w:val="false"/>
                <w:bCs w:val="false"/>
                <w:sz w:val="20"/>
                <w:szCs w:val="20"/>
              </w:rPr>
              <w:t xml:space="preserve">6–12 d</w:t>
            </w:r>
          </w:p>
        </w:tc>
        <w:tc>
          <w:tcPr>
            <w:tcW w:type="dxa" w:w="1460"/>
          </w:tcPr>
          <w:p>
            <w:pPr>
              <w:spacing w:after="60"/>
            </w:pPr>
            <w:r>
              <w:rPr>
                <w:b w:val="false"/>
                <w:bCs w:val="false"/>
                <w:sz w:val="20"/>
                <w:szCs w:val="20"/>
              </w:rPr>
              <w:t xml:space="preserve">post-monsoon cyclone risk; SAR still primary</w:t>
            </w:r>
          </w:p>
        </w:tc>
      </w:tr>
      <w:tr>
        <w:tc>
          <w:tcPr>
            <w:tcW w:type="dxa" w:w="1200"/>
          </w:tcPr>
          <w:p>
            <w:pPr>
              <w:spacing w:after="60"/>
            </w:pPr>
            <w:r>
              <w:rPr>
                <w:b w:val="false"/>
                <w:bCs w:val="false"/>
                <w:sz w:val="20"/>
                <w:szCs w:val="20"/>
              </w:rPr>
              <w:t xml:space="preserve">November</w:t>
            </w:r>
          </w:p>
        </w:tc>
        <w:tc>
          <w:tcPr>
            <w:tcW w:type="dxa" w:w="1500"/>
          </w:tcPr>
          <w:p>
            <w:pPr>
              <w:spacing w:after="60"/>
            </w:pPr>
            <w:r>
              <w:rPr>
                <w:b w:val="false"/>
                <w:bCs w:val="false"/>
                <w:sz w:val="20"/>
                <w:szCs w:val="20"/>
              </w:rPr>
              <w:t xml:space="preserve">5 d</w:t>
            </w:r>
          </w:p>
        </w:tc>
        <w:tc>
          <w:tcPr>
            <w:tcW w:type="dxa" w:w="1800"/>
          </w:tcPr>
          <w:p>
            <w:pPr>
              <w:spacing w:after="60"/>
            </w:pPr>
            <w:r>
              <w:rPr>
                <w:b w:val="false"/>
                <w:bCs w:val="false"/>
                <w:sz w:val="20"/>
                <w:szCs w:val="20"/>
              </w:rPr>
              <w:t xml:space="preserve">~85%</w:t>
            </w:r>
          </w:p>
        </w:tc>
        <w:tc>
          <w:tcPr>
            <w:tcW w:type="dxa" w:w="1700"/>
          </w:tcPr>
          <w:p>
            <w:pPr>
              <w:spacing w:after="60"/>
            </w:pPr>
            <w:r>
              <w:rPr>
                <w:b w:val="false"/>
                <w:bCs w:val="false"/>
                <w:sz w:val="20"/>
                <w:szCs w:val="20"/>
              </w:rPr>
              <w:t xml:space="preserve">6–7 d</w:t>
            </w:r>
          </w:p>
        </w:tc>
        <w:tc>
          <w:tcPr>
            <w:tcW w:type="dxa" w:w="1700"/>
          </w:tcPr>
          <w:p>
            <w:pPr>
              <w:spacing w:after="60"/>
            </w:pPr>
            <w:r>
              <w:rPr>
                <w:b w:val="false"/>
                <w:bCs w:val="false"/>
                <w:sz w:val="20"/>
                <w:szCs w:val="20"/>
              </w:rPr>
              <w:t xml:space="preserve">6–12 d</w:t>
            </w:r>
          </w:p>
        </w:tc>
        <w:tc>
          <w:tcPr>
            <w:tcW w:type="dxa" w:w="1460"/>
          </w:tcPr>
          <w:p>
            <w:pPr>
              <w:spacing w:after="60"/>
            </w:pPr>
            <w:r>
              <w:rPr>
                <w:b w:val="false"/>
                <w:bCs w:val="false"/>
                <w:sz w:val="20"/>
                <w:szCs w:val="20"/>
              </w:rPr>
              <w:t xml:space="preserve">clear again</w:t>
            </w:r>
          </w:p>
        </w:tc>
      </w:tr>
      <w:tr>
        <w:tc>
          <w:tcPr>
            <w:tcW w:type="dxa" w:w="1200"/>
          </w:tcPr>
          <w:p>
            <w:pPr>
              <w:spacing w:after="60"/>
            </w:pPr>
            <w:r>
              <w:rPr>
                <w:b w:val="false"/>
                <w:bCs w:val="false"/>
                <w:sz w:val="20"/>
                <w:szCs w:val="20"/>
              </w:rPr>
              <w:t xml:space="preserve">December</w:t>
            </w:r>
          </w:p>
        </w:tc>
        <w:tc>
          <w:tcPr>
            <w:tcW w:type="dxa" w:w="1500"/>
          </w:tcPr>
          <w:p>
            <w:pPr>
              <w:spacing w:after="60"/>
            </w:pPr>
            <w:r>
              <w:rPr>
                <w:b w:val="false"/>
                <w:bCs w:val="false"/>
                <w:sz w:val="20"/>
                <w:szCs w:val="20"/>
              </w:rPr>
              <w:t xml:space="preserve">5 d</w:t>
            </w:r>
          </w:p>
        </w:tc>
        <w:tc>
          <w:tcPr>
            <w:tcW w:type="dxa" w:w="1800"/>
          </w:tcPr>
          <w:p>
            <w:pPr>
              <w:spacing w:after="60"/>
            </w:pPr>
            <w:r>
              <w:rPr>
                <w:b w:val="false"/>
                <w:bCs w:val="false"/>
                <w:sz w:val="20"/>
                <w:szCs w:val="20"/>
              </w:rPr>
              <w:t xml:space="preserve">~90%</w:t>
            </w:r>
          </w:p>
        </w:tc>
        <w:tc>
          <w:tcPr>
            <w:tcW w:type="dxa" w:w="1700"/>
          </w:tcPr>
          <w:p>
            <w:pPr>
              <w:spacing w:after="60"/>
            </w:pPr>
            <w:r>
              <w:rPr>
                <w:b w:val="false"/>
                <w:bCs w:val="false"/>
                <w:sz w:val="20"/>
                <w:szCs w:val="20"/>
              </w:rPr>
              <w:t xml:space="preserve">5–6 d</w:t>
            </w:r>
          </w:p>
        </w:tc>
        <w:tc>
          <w:tcPr>
            <w:tcW w:type="dxa" w:w="1700"/>
          </w:tcPr>
          <w:p>
            <w:pPr>
              <w:spacing w:after="60"/>
            </w:pPr>
            <w:r>
              <w:rPr>
                <w:b w:val="false"/>
                <w:bCs w:val="false"/>
                <w:sz w:val="20"/>
                <w:szCs w:val="20"/>
              </w:rPr>
              <w:t xml:space="preserve">6–12 d</w:t>
            </w:r>
          </w:p>
        </w:tc>
        <w:tc>
          <w:tcPr>
            <w:tcW w:type="dxa" w:w="1460"/>
          </w:tcPr>
          <w:p>
            <w:pPr>
              <w:spacing w:after="60"/>
            </w:pPr>
            <w:r>
              <w:rPr>
                <w:b w:val="false"/>
                <w:bCs w:val="false"/>
                <w:sz w:val="20"/>
                <w:szCs w:val="20"/>
              </w:rPr>
              <w:t xml:space="preserve">winter fog on some mornings</w:t>
            </w:r>
          </w:p>
        </w:tc>
      </w:tr>
    </w:tbl>
    <w:p>
      <w:pPr>
        <w:spacing w:after="200" w:before="100"/>
      </w:pPr>
      <w:r>
        <w:rPr>
          <w:i/>
          <w:iCs/>
          <w:color w:val="444444"/>
        </w:rPr>
        <w:t xml:space="preserve">Cloud-clear percentages are estimates derived from published Sentinel-2 tile statistics for tile 43QGD; a season-1 log should replace them with measured values.</w:t>
      </w:r>
    </w:p>
    <w:p>
      <w:pPr>
        <w:pStyle w:val="Heading2"/>
        <w:spacing w:after="150" w:before="300"/>
      </w:pPr>
      <w:r>
        <w:rPr>
          <w:b/>
          <w:bCs/>
          <w:sz w:val="26"/>
          <w:szCs w:val="26"/>
        </w:rPr>
        <w:t xml:space="preserve">3.3 Consequence for rule design — नियम रचनेवर परिणाम</w:t>
      </w:r>
    </w:p>
    <w:p>
      <w:pPr>
        <w:pStyle w:val="ListParagraph"/>
        <w:numPr>
          <w:ilvl w:val="0"/>
          <w:numId w:val="1"/>
        </w:numPr>
        <w:spacing w:after="80"/>
      </w:pPr>
      <w:r>
        <w:t xml:space="preserve">Any advisory rule that depends on optical satellite input in July–September must be designed to accept a gap of up to 20 days without failing.</w:t>
      </w:r>
    </w:p>
    <w:p>
      <w:pPr>
        <w:pStyle w:val="ListParagraph"/>
        <w:numPr>
          <w:ilvl w:val="0"/>
          <w:numId w:val="1"/>
        </w:numPr>
        <w:spacing w:after="80"/>
      </w:pPr>
      <w:r>
        <w:t xml:space="preserve">Any advisory rule that must fire during the monsoon must be built on Sentinel-1 SAR, not on Sentinel-2.</w:t>
      </w:r>
    </w:p>
    <w:p>
      <w:pPr>
        <w:pStyle w:val="ListParagraph"/>
        <w:numPr>
          <w:ilvl w:val="0"/>
          <w:numId w:val="1"/>
        </w:numPr>
        <w:spacing w:after="80"/>
      </w:pPr>
      <w:r>
        <w:t xml:space="preserve">Any freshness threshold on optical products should be month-conditional, not a fixed number of days.</w:t>
      </w:r>
    </w:p>
    <w:p>
      <w:pPr>
        <w:pStyle w:val="ListParagraph"/>
        <w:numPr>
          <w:ilvl w:val="0"/>
          <w:numId w:val="1"/>
        </w:numPr>
        <w:spacing w:after="80"/>
      </w:pPr>
      <w:r>
        <w:t xml:space="preserve">For the Kannad planting window (roughly 15 May to 15 June) the last cloud-clear Sentinel-2 scene before planting is very likely to be at least ten days old; the pre-plant NDVI baseline should be built from that scene, not from an assumed same-week acquisition.</w:t>
      </w:r>
    </w:p>
    <w:p>
      <w:pPr>
        <w:pStyle w:val="Heading2"/>
        <w:spacing w:after="150" w:before="300"/>
      </w:pPr>
      <w:r>
        <w:rPr>
          <w:b/>
          <w:bCs/>
          <w:sz w:val="26"/>
          <w:szCs w:val="26"/>
        </w:rPr>
        <w:t xml:space="preserve">3.4 Working definitions used in later sections — पुढील विभागांत वापरलेल्या व्याख्या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shd w:fill="DCE6F1" w:color="auto" w:val="clear"/>
          </w:tcPr>
          <w:p>
            <w:pPr>
              <w:spacing w:after="60"/>
            </w:pPr>
            <w:r>
              <w:rPr>
                <w:b/>
                <w:bCs/>
                <w:sz w:val="20"/>
                <w:szCs w:val="20"/>
              </w:rPr>
              <w:t xml:space="preserve">Term</w:t>
            </w:r>
          </w:p>
        </w:tc>
        <w:tc>
          <w:tcPr>
            <w:tcW w:type="dxa" w:w="6240"/>
            <w:shd w:fill="DCE6F1" w:color="auto" w:val="clear"/>
          </w:tcPr>
          <w:p>
            <w:pPr>
              <w:spacing w:after="60"/>
            </w:pPr>
            <w:r>
              <w:rPr>
                <w:b/>
                <w:bCs/>
                <w:sz w:val="20"/>
                <w:szCs w:val="20"/>
              </w:rPr>
              <w:t xml:space="preserve">Definition</w:t>
            </w:r>
          </w:p>
        </w:tc>
      </w:tr>
      <w:tr>
        <w:tc>
          <w:tcPr>
            <w:tcW w:type="dxa" w:w="3120"/>
          </w:tcPr>
          <w:p>
            <w:pPr>
              <w:spacing w:after="60"/>
            </w:pPr>
            <w:r>
              <w:rPr>
                <w:b w:val="false"/>
                <w:bCs w:val="false"/>
                <w:sz w:val="20"/>
                <w:szCs w:val="20"/>
              </w:rPr>
              <w:t xml:space="preserve">optical_gap_days</w:t>
            </w:r>
          </w:p>
        </w:tc>
        <w:tc>
          <w:tcPr>
            <w:tcW w:type="dxa" w:w="6240"/>
          </w:tcPr>
          <w:p>
            <w:pPr>
              <w:spacing w:after="60"/>
            </w:pPr>
            <w:r>
              <w:rPr>
                <w:b w:val="false"/>
                <w:bCs w:val="false"/>
                <w:sz w:val="20"/>
                <w:szCs w:val="20"/>
              </w:rPr>
              <w:t xml:space="preserve">days since the last cloud-clear Sentinel-2 scene at the plot</w:t>
            </w:r>
          </w:p>
        </w:tc>
      </w:tr>
      <w:tr>
        <w:tc>
          <w:tcPr>
            <w:tcW w:type="dxa" w:w="3120"/>
          </w:tcPr>
          <w:p>
            <w:pPr>
              <w:spacing w:after="60"/>
            </w:pPr>
            <w:r>
              <w:rPr>
                <w:b w:val="false"/>
                <w:bCs w:val="false"/>
                <w:sz w:val="20"/>
                <w:szCs w:val="20"/>
              </w:rPr>
              <w:t xml:space="preserve">sar_gap_days</w:t>
            </w:r>
          </w:p>
        </w:tc>
        <w:tc>
          <w:tcPr>
            <w:tcW w:type="dxa" w:w="6240"/>
          </w:tcPr>
          <w:p>
            <w:pPr>
              <w:spacing w:after="60"/>
            </w:pPr>
            <w:r>
              <w:rPr>
                <w:b w:val="false"/>
                <w:bCs w:val="false"/>
                <w:sz w:val="20"/>
                <w:szCs w:val="20"/>
              </w:rPr>
              <w:t xml:space="preserve">days since the last Sentinel-1 acquisition at the plot (cloud-independent)</w:t>
            </w:r>
          </w:p>
        </w:tc>
      </w:tr>
      <w:tr>
        <w:tc>
          <w:tcPr>
            <w:tcW w:type="dxa" w:w="3120"/>
          </w:tcPr>
          <w:p>
            <w:pPr>
              <w:spacing w:after="60"/>
            </w:pPr>
            <w:r>
              <w:rPr>
                <w:b w:val="false"/>
                <w:bCs w:val="false"/>
                <w:sz w:val="20"/>
                <w:szCs w:val="20"/>
              </w:rPr>
              <w:t xml:space="preserve">plot_cloud_pct</w:t>
            </w:r>
          </w:p>
        </w:tc>
        <w:tc>
          <w:tcPr>
            <w:tcW w:type="dxa" w:w="6240"/>
          </w:tcPr>
          <w:p>
            <w:pPr>
              <w:spacing w:after="60"/>
            </w:pPr>
            <w:r>
              <w:rPr>
                <w:b w:val="false"/>
                <w:bCs w:val="false"/>
                <w:sz w:val="20"/>
                <w:szCs w:val="20"/>
              </w:rPr>
              <w:t xml:space="preserve">cloud percentage of the plot polygon in the most recent Sentinel-2 scene, computed from the SCL layer</w:t>
            </w:r>
          </w:p>
        </w:tc>
      </w:tr>
      <w:tr>
        <w:tc>
          <w:tcPr>
            <w:tcW w:type="dxa" w:w="3120"/>
          </w:tcPr>
          <w:p>
            <w:pPr>
              <w:spacing w:after="60"/>
            </w:pPr>
            <w:r>
              <w:rPr>
                <w:b w:val="false"/>
                <w:bCs w:val="false"/>
                <w:sz w:val="20"/>
                <w:szCs w:val="20"/>
              </w:rPr>
              <w:t xml:space="preserve">scene_valid_pixel_pct</w:t>
            </w:r>
          </w:p>
        </w:tc>
        <w:tc>
          <w:tcPr>
            <w:tcW w:type="dxa" w:w="6240"/>
          </w:tcPr>
          <w:p>
            <w:pPr>
              <w:spacing w:after="60"/>
            </w:pPr>
            <w:r>
              <w:rPr>
                <w:b w:val="false"/>
                <w:bCs w:val="false"/>
                <w:sz w:val="20"/>
                <w:szCs w:val="20"/>
              </w:rPr>
              <w:t xml:space="preserve">percentage of the plot polygon whose pixels are neither cloud, shadow, water, snow, nor saturated</w:t>
            </w:r>
          </w:p>
        </w:tc>
      </w:tr>
      <w:tr>
        <w:tc>
          <w:tcPr>
            <w:tcW w:type="dxa" w:w="3120"/>
          </w:tcPr>
          <w:p>
            <w:pPr>
              <w:spacing w:after="60"/>
            </w:pPr>
            <w:r>
              <w:rPr>
                <w:b w:val="false"/>
                <w:bCs w:val="false"/>
                <w:sz w:val="20"/>
                <w:szCs w:val="20"/>
              </w:rPr>
              <w:t xml:space="preserve">ndvi_freshness_days</w:t>
            </w:r>
          </w:p>
        </w:tc>
        <w:tc>
          <w:tcPr>
            <w:tcW w:type="dxa" w:w="6240"/>
          </w:tcPr>
          <w:p>
            <w:pPr>
              <w:spacing w:after="60"/>
            </w:pPr>
            <w:r>
              <w:rPr>
                <w:b w:val="false"/>
                <w:bCs w:val="false"/>
                <w:sz w:val="20"/>
                <w:szCs w:val="20"/>
              </w:rPr>
              <w:t xml:space="preserve">age of the most recent valid NDVI value at the plot; rule confidence degrades linearly with this</w:t>
            </w:r>
          </w:p>
        </w:tc>
      </w:tr>
    </w:tbl>
    <w:p>
      <w:pPr>
        <w:spacing w:after="300" w:before="200"/>
      </w:pPr>
      <w:r>
        <w:rPr>
          <w:i/>
          <w:iCs/>
          <w:sz w:val="20"/>
          <w:szCs w:val="20"/>
        </w:rPr>
        <w:t xml:space="preserve">Sources: ESA Sentinel-2 mission handbook; USGS Landsat WRS-2 reference; ESA Sentinel-1 orbital configuration document; Copernicus Sentinel-2 tile 43QGD long-term cloud statistics; IMD Marathwada climatology.</w:t>
      </w:r>
    </w:p>
    <w:p>
      <w:r>
        <w:br w:type="page"/>
      </w:r>
    </w:p>
    <w:p>
      <w:pPr>
        <w:pStyle w:val="Heading1"/>
        <w:spacing w:after="200" w:before="400"/>
      </w:pPr>
      <w:r>
        <w:rPr>
          <w:b/>
          <w:bCs/>
          <w:sz w:val="32"/>
          <w:szCs w:val="32"/>
        </w:rPr>
        <w:t xml:space="preserve">SECTION 4. Vegetation indices — वनस्पती निर्देशांक</w:t>
      </w:r>
    </w:p>
    <w:p>
      <w:pPr>
        <w:pStyle w:val="Heading2"/>
        <w:spacing w:after="150" w:before="300"/>
      </w:pPr>
      <w:r>
        <w:rPr>
          <w:b/>
          <w:bCs/>
          <w:sz w:val="26"/>
          <w:szCs w:val="26"/>
        </w:rPr>
        <w:t xml:space="preserve">4.1 Index catalogue — निर्देशांक सूची</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500"/>
        <w:gridCol w:w="3760"/>
      </w:tblGrid>
      <w:tr>
        <w:trPr>
          <w:tblHeader/>
        </w:trPr>
        <w:tc>
          <w:tcPr>
            <w:tcW w:type="dxa" w:w="900"/>
            <w:shd w:fill="DCE6F1" w:color="auto" w:val="clear"/>
          </w:tcPr>
          <w:p>
            <w:pPr>
              <w:spacing w:after="60"/>
            </w:pPr>
            <w:r>
              <w:rPr>
                <w:b/>
                <w:bCs/>
                <w:sz w:val="20"/>
                <w:szCs w:val="20"/>
              </w:rPr>
              <w:t xml:space="preserve">Index</w:t>
            </w:r>
          </w:p>
        </w:tc>
        <w:tc>
          <w:tcPr>
            <w:tcW w:type="dxa" w:w="2200"/>
            <w:shd w:fill="DCE6F1" w:color="auto" w:val="clear"/>
          </w:tcPr>
          <w:p>
            <w:pPr>
              <w:spacing w:after="60"/>
            </w:pPr>
            <w:r>
              <w:rPr>
                <w:b/>
                <w:bCs/>
                <w:sz w:val="20"/>
                <w:szCs w:val="20"/>
              </w:rPr>
              <w:t xml:space="preserve">Formula (Sentinel-2 bands)</w:t>
            </w:r>
          </w:p>
        </w:tc>
        <w:tc>
          <w:tcPr>
            <w:tcW w:type="dxa" w:w="2500"/>
            <w:shd w:fill="DCE6F1" w:color="auto" w:val="clear"/>
          </w:tcPr>
          <w:p>
            <w:pPr>
              <w:spacing w:after="60"/>
            </w:pPr>
            <w:r>
              <w:rPr>
                <w:b/>
                <w:bCs/>
                <w:sz w:val="20"/>
                <w:szCs w:val="20"/>
              </w:rPr>
              <w:t xml:space="preserve">What it measures</w:t>
            </w:r>
          </w:p>
        </w:tc>
        <w:tc>
          <w:tcPr>
            <w:tcW w:type="dxa" w:w="3760"/>
            <w:shd w:fill="DCE6F1" w:color="auto" w:val="clear"/>
          </w:tcPr>
          <w:p>
            <w:pPr>
              <w:spacing w:after="60"/>
            </w:pPr>
            <w:r>
              <w:rPr>
                <w:b/>
                <w:bCs/>
                <w:sz w:val="20"/>
                <w:szCs w:val="20"/>
              </w:rPr>
              <w:t xml:space="preserve">Ginger-specific relevance</w:t>
            </w:r>
          </w:p>
        </w:tc>
      </w:tr>
      <w:tr>
        <w:tc>
          <w:tcPr>
            <w:tcW w:type="dxa" w:w="900"/>
          </w:tcPr>
          <w:p>
            <w:pPr>
              <w:spacing w:after="60"/>
            </w:pPr>
            <w:r>
              <w:rPr>
                <w:b w:val="false"/>
                <w:bCs w:val="false"/>
                <w:sz w:val="20"/>
                <w:szCs w:val="20"/>
              </w:rPr>
              <w:t xml:space="preserve">NDVI</w:t>
            </w:r>
          </w:p>
        </w:tc>
        <w:tc>
          <w:tcPr>
            <w:tcW w:type="dxa" w:w="2200"/>
          </w:tcPr>
          <w:p>
            <w:pPr>
              <w:spacing w:after="60"/>
            </w:pPr>
            <w:r>
              <w:rPr>
                <w:b w:val="false"/>
                <w:bCs w:val="false"/>
                <w:sz w:val="20"/>
                <w:szCs w:val="20"/>
              </w:rPr>
              <w:t xml:space="preserve">(B8 − B4) / (B8 + B4)</w:t>
            </w:r>
          </w:p>
        </w:tc>
        <w:tc>
          <w:tcPr>
            <w:tcW w:type="dxa" w:w="2500"/>
          </w:tcPr>
          <w:p>
            <w:pPr>
              <w:spacing w:after="60"/>
            </w:pPr>
            <w:r>
              <w:rPr>
                <w:b w:val="false"/>
                <w:bCs w:val="false"/>
                <w:sz w:val="20"/>
                <w:szCs w:val="20"/>
              </w:rPr>
              <w:t xml:space="preserve">canopy vigour and biomass — saturates in dense canopy</w:t>
            </w:r>
          </w:p>
        </w:tc>
        <w:tc>
          <w:tcPr>
            <w:tcW w:type="dxa" w:w="3760"/>
          </w:tcPr>
          <w:p>
            <w:pPr>
              <w:spacing w:after="60"/>
            </w:pPr>
            <w:r>
              <w:rPr>
                <w:b w:val="false"/>
                <w:bCs w:val="false"/>
                <w:sz w:val="20"/>
                <w:szCs w:val="20"/>
              </w:rPr>
              <w:t xml:space="preserve">primary curve for stage tracking G2–G4; saturates during peak canopy in G3</w:t>
            </w:r>
          </w:p>
        </w:tc>
      </w:tr>
      <w:tr>
        <w:tc>
          <w:tcPr>
            <w:tcW w:type="dxa" w:w="900"/>
          </w:tcPr>
          <w:p>
            <w:pPr>
              <w:spacing w:after="60"/>
            </w:pPr>
            <w:r>
              <w:rPr>
                <w:b w:val="false"/>
                <w:bCs w:val="false"/>
                <w:sz w:val="20"/>
                <w:szCs w:val="20"/>
              </w:rPr>
              <w:t xml:space="preserve">NDRE</w:t>
            </w:r>
          </w:p>
        </w:tc>
        <w:tc>
          <w:tcPr>
            <w:tcW w:type="dxa" w:w="2200"/>
          </w:tcPr>
          <w:p>
            <w:pPr>
              <w:spacing w:after="60"/>
            </w:pPr>
            <w:r>
              <w:rPr>
                <w:b w:val="false"/>
                <w:bCs w:val="false"/>
                <w:sz w:val="20"/>
                <w:szCs w:val="20"/>
              </w:rPr>
              <w:t xml:space="preserve">(B8 − B5) / (B8 + B5)</w:t>
            </w:r>
          </w:p>
        </w:tc>
        <w:tc>
          <w:tcPr>
            <w:tcW w:type="dxa" w:w="2500"/>
          </w:tcPr>
          <w:p>
            <w:pPr>
              <w:spacing w:after="60"/>
            </w:pPr>
            <w:r>
              <w:rPr>
                <w:b w:val="false"/>
                <w:bCs w:val="false"/>
                <w:sz w:val="20"/>
                <w:szCs w:val="20"/>
              </w:rPr>
              <w:t xml:space="preserve">chlorophyll content of upper canopy; less saturating than NDVI</w:t>
            </w:r>
          </w:p>
        </w:tc>
        <w:tc>
          <w:tcPr>
            <w:tcW w:type="dxa" w:w="3760"/>
          </w:tcPr>
          <w:p>
            <w:pPr>
              <w:spacing w:after="60"/>
            </w:pPr>
            <w:r>
              <w:rPr>
                <w:b w:val="false"/>
                <w:bCs w:val="false"/>
                <w:sz w:val="20"/>
                <w:szCs w:val="20"/>
              </w:rPr>
              <w:t xml:space="preserve">better than NDVI for detecting nitrogen stress once canopy has closed</w:t>
            </w:r>
          </w:p>
        </w:tc>
      </w:tr>
      <w:tr>
        <w:tc>
          <w:tcPr>
            <w:tcW w:type="dxa" w:w="900"/>
          </w:tcPr>
          <w:p>
            <w:pPr>
              <w:spacing w:after="60"/>
            </w:pPr>
            <w:r>
              <w:rPr>
                <w:b w:val="false"/>
                <w:bCs w:val="false"/>
                <w:sz w:val="20"/>
                <w:szCs w:val="20"/>
              </w:rPr>
              <w:t xml:space="preserve">GNDVI</w:t>
            </w:r>
          </w:p>
        </w:tc>
        <w:tc>
          <w:tcPr>
            <w:tcW w:type="dxa" w:w="2200"/>
          </w:tcPr>
          <w:p>
            <w:pPr>
              <w:spacing w:after="60"/>
            </w:pPr>
            <w:r>
              <w:rPr>
                <w:b w:val="false"/>
                <w:bCs w:val="false"/>
                <w:sz w:val="20"/>
                <w:szCs w:val="20"/>
              </w:rPr>
              <w:t xml:space="preserve">(B8 − B3) / (B8 + B3)</w:t>
            </w:r>
          </w:p>
        </w:tc>
        <w:tc>
          <w:tcPr>
            <w:tcW w:type="dxa" w:w="2500"/>
          </w:tcPr>
          <w:p>
            <w:pPr>
              <w:spacing w:after="60"/>
            </w:pPr>
            <w:r>
              <w:rPr>
                <w:b w:val="false"/>
                <w:bCs w:val="false"/>
                <w:sz w:val="20"/>
                <w:szCs w:val="20"/>
              </w:rPr>
              <w:t xml:space="preserve">green-band variant of NDVI</w:t>
            </w:r>
          </w:p>
        </w:tc>
        <w:tc>
          <w:tcPr>
            <w:tcW w:type="dxa" w:w="3760"/>
          </w:tcPr>
          <w:p>
            <w:pPr>
              <w:spacing w:after="60"/>
            </w:pPr>
            <w:r>
              <w:rPr>
                <w:b w:val="false"/>
                <w:bCs w:val="false"/>
                <w:sz w:val="20"/>
                <w:szCs w:val="20"/>
              </w:rPr>
              <w:t xml:space="preserve">sensitive to nitrogen status; useful cross-check on NDRE</w:t>
            </w:r>
          </w:p>
        </w:tc>
      </w:tr>
      <w:tr>
        <w:tc>
          <w:tcPr>
            <w:tcW w:type="dxa" w:w="900"/>
          </w:tcPr>
          <w:p>
            <w:pPr>
              <w:spacing w:after="60"/>
            </w:pPr>
            <w:r>
              <w:rPr>
                <w:b w:val="false"/>
                <w:bCs w:val="false"/>
                <w:sz w:val="20"/>
                <w:szCs w:val="20"/>
              </w:rPr>
              <w:t xml:space="preserve">NDWI (McFeeters)</w:t>
            </w:r>
          </w:p>
        </w:tc>
        <w:tc>
          <w:tcPr>
            <w:tcW w:type="dxa" w:w="2200"/>
          </w:tcPr>
          <w:p>
            <w:pPr>
              <w:spacing w:after="60"/>
            </w:pPr>
            <w:r>
              <w:rPr>
                <w:b w:val="false"/>
                <w:bCs w:val="false"/>
                <w:sz w:val="20"/>
                <w:szCs w:val="20"/>
              </w:rPr>
              <w:t xml:space="preserve">(B3 − B8) / (B3 + B8)</w:t>
            </w:r>
          </w:p>
        </w:tc>
        <w:tc>
          <w:tcPr>
            <w:tcW w:type="dxa" w:w="2500"/>
          </w:tcPr>
          <w:p>
            <w:pPr>
              <w:spacing w:after="60"/>
            </w:pPr>
            <w:r>
              <w:rPr>
                <w:b w:val="false"/>
                <w:bCs w:val="false"/>
                <w:sz w:val="20"/>
                <w:szCs w:val="20"/>
              </w:rPr>
              <w:t xml:space="preserve">open water; not plant water</w:t>
            </w:r>
          </w:p>
        </w:tc>
        <w:tc>
          <w:tcPr>
            <w:tcW w:type="dxa" w:w="3760"/>
          </w:tcPr>
          <w:p>
            <w:pPr>
              <w:spacing w:after="60"/>
            </w:pPr>
            <w:r>
              <w:rPr>
                <w:b w:val="false"/>
                <w:bCs w:val="false"/>
                <w:sz w:val="20"/>
                <w:szCs w:val="20"/>
              </w:rPr>
              <w:t xml:space="preserve">used only for detecting standing water in the field — a monsoon drainage check</w:t>
            </w:r>
          </w:p>
        </w:tc>
      </w:tr>
      <w:tr>
        <w:tc>
          <w:tcPr>
            <w:tcW w:type="dxa" w:w="900"/>
          </w:tcPr>
          <w:p>
            <w:pPr>
              <w:spacing w:after="60"/>
            </w:pPr>
            <w:r>
              <w:rPr>
                <w:b w:val="false"/>
                <w:bCs w:val="false"/>
                <w:sz w:val="20"/>
                <w:szCs w:val="20"/>
              </w:rPr>
              <w:t xml:space="preserve">NDMI</w:t>
            </w:r>
          </w:p>
        </w:tc>
        <w:tc>
          <w:tcPr>
            <w:tcW w:type="dxa" w:w="2200"/>
          </w:tcPr>
          <w:p>
            <w:pPr>
              <w:spacing w:after="60"/>
            </w:pPr>
            <w:r>
              <w:rPr>
                <w:b w:val="false"/>
                <w:bCs w:val="false"/>
                <w:sz w:val="20"/>
                <w:szCs w:val="20"/>
              </w:rPr>
              <w:t xml:space="preserve">(B8 − B11) / (B8 + B11)</w:t>
            </w:r>
          </w:p>
        </w:tc>
        <w:tc>
          <w:tcPr>
            <w:tcW w:type="dxa" w:w="2500"/>
          </w:tcPr>
          <w:p>
            <w:pPr>
              <w:spacing w:after="60"/>
            </w:pPr>
            <w:r>
              <w:rPr>
                <w:b w:val="false"/>
                <w:bCs w:val="false"/>
                <w:sz w:val="20"/>
                <w:szCs w:val="20"/>
              </w:rPr>
              <w:t xml:space="preserve">canopy moisture content</w:t>
            </w:r>
          </w:p>
        </w:tc>
        <w:tc>
          <w:tcPr>
            <w:tcW w:type="dxa" w:w="3760"/>
          </w:tcPr>
          <w:p>
            <w:pPr>
              <w:spacing w:after="60"/>
            </w:pPr>
            <w:r>
              <w:rPr>
                <w:b w:val="false"/>
                <w:bCs w:val="false"/>
                <w:sz w:val="20"/>
                <w:szCs w:val="20"/>
              </w:rPr>
              <w:t xml:space="preserve">canopy water stress; complements CWSI (Section 7)</w:t>
            </w:r>
          </w:p>
        </w:tc>
      </w:tr>
      <w:tr>
        <w:tc>
          <w:tcPr>
            <w:tcW w:type="dxa" w:w="900"/>
          </w:tcPr>
          <w:p>
            <w:pPr>
              <w:spacing w:after="60"/>
            </w:pPr>
            <w:r>
              <w:rPr>
                <w:b w:val="false"/>
                <w:bCs w:val="false"/>
                <w:sz w:val="20"/>
                <w:szCs w:val="20"/>
              </w:rPr>
              <w:t xml:space="preserve">EVI</w:t>
            </w:r>
          </w:p>
        </w:tc>
        <w:tc>
          <w:tcPr>
            <w:tcW w:type="dxa" w:w="2200"/>
          </w:tcPr>
          <w:p>
            <w:pPr>
              <w:spacing w:after="60"/>
            </w:pPr>
            <w:r>
              <w:rPr>
                <w:b w:val="false"/>
                <w:bCs w:val="false"/>
                <w:sz w:val="20"/>
                <w:szCs w:val="20"/>
              </w:rPr>
              <w:t xml:space="preserve">2.5 × (B8 − B4) / (B8 + 6·B4 − 7.5·B2 + 1)</w:t>
            </w:r>
          </w:p>
        </w:tc>
        <w:tc>
          <w:tcPr>
            <w:tcW w:type="dxa" w:w="2500"/>
          </w:tcPr>
          <w:p>
            <w:pPr>
              <w:spacing w:after="60"/>
            </w:pPr>
            <w:r>
              <w:rPr>
                <w:b w:val="false"/>
                <w:bCs w:val="false"/>
                <w:sz w:val="20"/>
                <w:szCs w:val="20"/>
              </w:rPr>
              <w:t xml:space="preserve">NDVI with atmospheric and soil correction</w:t>
            </w:r>
          </w:p>
        </w:tc>
        <w:tc>
          <w:tcPr>
            <w:tcW w:type="dxa" w:w="3760"/>
          </w:tcPr>
          <w:p>
            <w:pPr>
              <w:spacing w:after="60"/>
            </w:pPr>
            <w:r>
              <w:rPr>
                <w:b w:val="false"/>
                <w:bCs w:val="false"/>
                <w:sz w:val="20"/>
                <w:szCs w:val="20"/>
              </w:rPr>
              <w:t xml:space="preserve">preferred over NDVI when soil is exposed (early G1) or atmosphere is hazy</w:t>
            </w:r>
          </w:p>
        </w:tc>
      </w:tr>
      <w:tr>
        <w:tc>
          <w:tcPr>
            <w:tcW w:type="dxa" w:w="900"/>
          </w:tcPr>
          <w:p>
            <w:pPr>
              <w:spacing w:after="60"/>
            </w:pPr>
            <w:r>
              <w:rPr>
                <w:b w:val="false"/>
                <w:bCs w:val="false"/>
                <w:sz w:val="20"/>
                <w:szCs w:val="20"/>
              </w:rPr>
              <w:t xml:space="preserve">SAVI</w:t>
            </w:r>
          </w:p>
        </w:tc>
        <w:tc>
          <w:tcPr>
            <w:tcW w:type="dxa" w:w="2200"/>
          </w:tcPr>
          <w:p>
            <w:pPr>
              <w:spacing w:after="60"/>
            </w:pPr>
            <w:r>
              <w:rPr>
                <w:b w:val="false"/>
                <w:bCs w:val="false"/>
                <w:sz w:val="20"/>
                <w:szCs w:val="20"/>
              </w:rPr>
              <w:t xml:space="preserve">((B8 − B4) / (B8 + B4 + L)) × (1 + L), L = 0.5</w:t>
            </w:r>
          </w:p>
        </w:tc>
        <w:tc>
          <w:tcPr>
            <w:tcW w:type="dxa" w:w="2500"/>
          </w:tcPr>
          <w:p>
            <w:pPr>
              <w:spacing w:after="60"/>
            </w:pPr>
            <w:r>
              <w:rPr>
                <w:b w:val="false"/>
                <w:bCs w:val="false"/>
                <w:sz w:val="20"/>
                <w:szCs w:val="20"/>
              </w:rPr>
              <w:t xml:space="preserve">NDVI corrected for soil background</w:t>
            </w:r>
          </w:p>
        </w:tc>
        <w:tc>
          <w:tcPr>
            <w:tcW w:type="dxa" w:w="3760"/>
          </w:tcPr>
          <w:p>
            <w:pPr>
              <w:spacing w:after="60"/>
            </w:pPr>
            <w:r>
              <w:rPr>
                <w:b w:val="false"/>
                <w:bCs w:val="false"/>
                <w:sz w:val="20"/>
                <w:szCs w:val="20"/>
              </w:rPr>
              <w:t xml:space="preserve">preferred in G0 and early G1 when soil dominates the pixel</w:t>
            </w:r>
          </w:p>
        </w:tc>
      </w:tr>
      <w:tr>
        <w:tc>
          <w:tcPr>
            <w:tcW w:type="dxa" w:w="900"/>
          </w:tcPr>
          <w:p>
            <w:pPr>
              <w:spacing w:after="60"/>
            </w:pPr>
            <w:r>
              <w:rPr>
                <w:b w:val="false"/>
                <w:bCs w:val="false"/>
                <w:sz w:val="20"/>
                <w:szCs w:val="20"/>
              </w:rPr>
              <w:t xml:space="preserve">MSAVI</w:t>
            </w:r>
          </w:p>
        </w:tc>
        <w:tc>
          <w:tcPr>
            <w:tcW w:type="dxa" w:w="2200"/>
          </w:tcPr>
          <w:p>
            <w:pPr>
              <w:spacing w:after="60"/>
            </w:pPr>
            <w:r>
              <w:rPr>
                <w:b w:val="false"/>
                <w:bCs w:val="false"/>
                <w:sz w:val="20"/>
                <w:szCs w:val="20"/>
              </w:rPr>
              <w:t xml:space="preserve">B8 + 0.5 − sqrt((2·B8 + 1)² − 8·(B8 − B4)) / 2</w:t>
            </w:r>
          </w:p>
        </w:tc>
        <w:tc>
          <w:tcPr>
            <w:tcW w:type="dxa" w:w="2500"/>
          </w:tcPr>
          <w:p>
            <w:pPr>
              <w:spacing w:after="60"/>
            </w:pPr>
            <w:r>
              <w:rPr>
                <w:b w:val="false"/>
                <w:bCs w:val="false"/>
                <w:sz w:val="20"/>
                <w:szCs w:val="20"/>
              </w:rPr>
              <w:t xml:space="preserve">self-adjusting SAVI</w:t>
            </w:r>
          </w:p>
        </w:tc>
        <w:tc>
          <w:tcPr>
            <w:tcW w:type="dxa" w:w="3760"/>
          </w:tcPr>
          <w:p>
            <w:pPr>
              <w:spacing w:after="60"/>
            </w:pPr>
            <w:r>
              <w:rPr>
                <w:b w:val="false"/>
                <w:bCs w:val="false"/>
                <w:sz w:val="20"/>
                <w:szCs w:val="20"/>
              </w:rPr>
              <w:t xml:space="preserve">similar to SAVI without requiring the L parameter</w:t>
            </w:r>
          </w:p>
        </w:tc>
      </w:tr>
      <w:tr>
        <w:tc>
          <w:tcPr>
            <w:tcW w:type="dxa" w:w="900"/>
          </w:tcPr>
          <w:p>
            <w:pPr>
              <w:spacing w:after="60"/>
            </w:pPr>
            <w:r>
              <w:rPr>
                <w:b w:val="false"/>
                <w:bCs w:val="false"/>
                <w:sz w:val="20"/>
                <w:szCs w:val="20"/>
              </w:rPr>
              <w:t xml:space="preserve">NBR</w:t>
            </w:r>
          </w:p>
        </w:tc>
        <w:tc>
          <w:tcPr>
            <w:tcW w:type="dxa" w:w="2200"/>
          </w:tcPr>
          <w:p>
            <w:pPr>
              <w:spacing w:after="60"/>
            </w:pPr>
            <w:r>
              <w:rPr>
                <w:b w:val="false"/>
                <w:bCs w:val="false"/>
                <w:sz w:val="20"/>
                <w:szCs w:val="20"/>
              </w:rPr>
              <w:t xml:space="preserve">(B8 − B12) / (B8 + B12)</w:t>
            </w:r>
          </w:p>
        </w:tc>
        <w:tc>
          <w:tcPr>
            <w:tcW w:type="dxa" w:w="2500"/>
          </w:tcPr>
          <w:p>
            <w:pPr>
              <w:spacing w:after="60"/>
            </w:pPr>
            <w:r>
              <w:rPr>
                <w:b w:val="false"/>
                <w:bCs w:val="false"/>
                <w:sz w:val="20"/>
                <w:szCs w:val="20"/>
              </w:rPr>
              <w:t xml:space="preserve">burn scar detection</w:t>
            </w:r>
          </w:p>
        </w:tc>
        <w:tc>
          <w:tcPr>
            <w:tcW w:type="dxa" w:w="3760"/>
          </w:tcPr>
          <w:p>
            <w:pPr>
              <w:spacing w:after="60"/>
            </w:pPr>
            <w:r>
              <w:rPr>
                <w:b w:val="false"/>
                <w:bCs w:val="false"/>
                <w:sz w:val="20"/>
                <w:szCs w:val="20"/>
              </w:rPr>
              <w:t xml:space="preserve">checks that residue burning has not happened on the plot</w:t>
            </w:r>
          </w:p>
        </w:tc>
      </w:tr>
    </w:tbl>
    <w:p>
      <w:pPr>
        <w:spacing w:after="120"/>
      </w:pPr>
      <w:r>
        <w:t xml:space="preserve">All formulas above are reflectance-space, using Sentinel-2 Level-2A surface reflectance products. Level-1C (top-of-atmosphere) is acceptable only as a fallback and must be flagged in the record.</w:t>
      </w:r>
    </w:p>
    <w:p>
      <w:pPr>
        <w:pStyle w:val="Heading2"/>
        <w:spacing w:after="150" w:before="300"/>
      </w:pPr>
      <w:r>
        <w:rPr>
          <w:b/>
          <w:bCs/>
          <w:sz w:val="26"/>
          <w:szCs w:val="26"/>
        </w:rPr>
        <w:t xml:space="preserve">4.2 Value ranges expected for healthy ginger — निरोगी आल्यासाठी अपेक्षित पल्ला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740"/>
        <w:gridCol w:w="1700"/>
        <w:gridCol w:w="1700"/>
        <w:gridCol w:w="1820"/>
      </w:tblGrid>
      <w:tr>
        <w:trPr>
          <w:tblHeader/>
        </w:trPr>
        <w:tc>
          <w:tcPr>
            <w:tcW w:type="dxa" w:w="1400"/>
            <w:shd w:fill="DCE6F1" w:color="auto" w:val="clear"/>
          </w:tcPr>
          <w:p>
            <w:pPr>
              <w:spacing w:after="60"/>
            </w:pPr>
            <w:r>
              <w:rPr>
                <w:b/>
                <w:bCs/>
                <w:sz w:val="20"/>
                <w:szCs w:val="20"/>
              </w:rPr>
              <w:t xml:space="preserve">Stage</w:t>
            </w:r>
          </w:p>
        </w:tc>
        <w:tc>
          <w:tcPr>
            <w:tcW w:type="dxa" w:w="1000"/>
            <w:shd w:fill="DCE6F1" w:color="auto" w:val="clear"/>
          </w:tcPr>
          <w:p>
            <w:pPr>
              <w:spacing w:after="60"/>
            </w:pPr>
            <w:r>
              <w:rPr>
                <w:b/>
                <w:bCs/>
                <w:sz w:val="20"/>
                <w:szCs w:val="20"/>
              </w:rPr>
              <w:t xml:space="preserve">DAP</w:t>
            </w:r>
          </w:p>
        </w:tc>
        <w:tc>
          <w:tcPr>
            <w:tcW w:type="dxa" w:w="1740"/>
            <w:shd w:fill="DCE6F1" w:color="auto" w:val="clear"/>
          </w:tcPr>
          <w:p>
            <w:pPr>
              <w:spacing w:after="60"/>
            </w:pPr>
            <w:r>
              <w:rPr>
                <w:b/>
                <w:bCs/>
                <w:sz w:val="20"/>
                <w:szCs w:val="20"/>
              </w:rPr>
              <w:t xml:space="preserve">NDVI typical</w:t>
            </w:r>
          </w:p>
        </w:tc>
        <w:tc>
          <w:tcPr>
            <w:tcW w:type="dxa" w:w="1700"/>
            <w:shd w:fill="DCE6F1" w:color="auto" w:val="clear"/>
          </w:tcPr>
          <w:p>
            <w:pPr>
              <w:spacing w:after="60"/>
            </w:pPr>
            <w:r>
              <w:rPr>
                <w:b/>
                <w:bCs/>
                <w:sz w:val="20"/>
                <w:szCs w:val="20"/>
              </w:rPr>
              <w:t xml:space="preserve">NDRE typical</w:t>
            </w:r>
          </w:p>
        </w:tc>
        <w:tc>
          <w:tcPr>
            <w:tcW w:type="dxa" w:w="1700"/>
            <w:shd w:fill="DCE6F1" w:color="auto" w:val="clear"/>
          </w:tcPr>
          <w:p>
            <w:pPr>
              <w:spacing w:after="60"/>
            </w:pPr>
            <w:r>
              <w:rPr>
                <w:b/>
                <w:bCs/>
                <w:sz w:val="20"/>
                <w:szCs w:val="20"/>
              </w:rPr>
              <w:t xml:space="preserve">NDMI typical</w:t>
            </w:r>
          </w:p>
        </w:tc>
        <w:tc>
          <w:tcPr>
            <w:tcW w:type="dxa" w:w="1820"/>
            <w:shd w:fill="DCE6F1" w:color="auto" w:val="clear"/>
          </w:tcPr>
          <w:p>
            <w:pPr>
              <w:spacing w:after="60"/>
            </w:pPr>
            <w:r>
              <w:rPr>
                <w:b/>
                <w:bCs/>
                <w:sz w:val="20"/>
                <w:szCs w:val="20"/>
              </w:rPr>
              <w:t xml:space="preserve">Diagnostic if outside</w:t>
            </w:r>
          </w:p>
        </w:tc>
      </w:tr>
      <w:tr>
        <w:tc>
          <w:tcPr>
            <w:tcW w:type="dxa" w:w="1400"/>
          </w:tcPr>
          <w:p>
            <w:pPr>
              <w:spacing w:after="60"/>
            </w:pPr>
            <w:r>
              <w:rPr>
                <w:b w:val="false"/>
                <w:bCs w:val="false"/>
                <w:sz w:val="20"/>
                <w:szCs w:val="20"/>
              </w:rPr>
              <w:t xml:space="preserve">G0 pre-plant</w:t>
            </w:r>
          </w:p>
        </w:tc>
        <w:tc>
          <w:tcPr>
            <w:tcW w:type="dxa" w:w="1000"/>
          </w:tcPr>
          <w:p>
            <w:pPr>
              <w:spacing w:after="60"/>
            </w:pPr>
            <w:r>
              <w:rPr>
                <w:b w:val="false"/>
                <w:bCs w:val="false"/>
                <w:sz w:val="20"/>
                <w:szCs w:val="20"/>
              </w:rPr>
              <w:t xml:space="preserve">−</w:t>
            </w:r>
          </w:p>
        </w:tc>
        <w:tc>
          <w:tcPr>
            <w:tcW w:type="dxa" w:w="1740"/>
          </w:tcPr>
          <w:p>
            <w:pPr>
              <w:spacing w:after="60"/>
            </w:pPr>
            <w:r>
              <w:rPr>
                <w:b w:val="false"/>
                <w:bCs w:val="false"/>
                <w:sz w:val="20"/>
                <w:szCs w:val="20"/>
              </w:rPr>
              <w:t xml:space="preserve">0.15 – 0.25 (bare soil)</w:t>
            </w:r>
          </w:p>
        </w:tc>
        <w:tc>
          <w:tcPr>
            <w:tcW w:type="dxa" w:w="1700"/>
          </w:tcPr>
          <w:p>
            <w:pPr>
              <w:spacing w:after="60"/>
            </w:pPr>
            <w:r>
              <w:rPr>
                <w:b w:val="false"/>
                <w:bCs w:val="false"/>
                <w:sz w:val="20"/>
                <w:szCs w:val="20"/>
              </w:rPr>
              <w:t xml:space="preserve">0.05 – 0.10</w:t>
            </w:r>
          </w:p>
        </w:tc>
        <w:tc>
          <w:tcPr>
            <w:tcW w:type="dxa" w:w="1700"/>
          </w:tcPr>
          <w:p>
            <w:pPr>
              <w:spacing w:after="60"/>
            </w:pPr>
            <w:r>
              <w:rPr>
                <w:b w:val="false"/>
                <w:bCs w:val="false"/>
                <w:sz w:val="20"/>
                <w:szCs w:val="20"/>
              </w:rPr>
              <w:t xml:space="preserve">−0.05 – 0.10</w:t>
            </w:r>
          </w:p>
        </w:tc>
        <w:tc>
          <w:tcPr>
            <w:tcW w:type="dxa" w:w="1820"/>
          </w:tcPr>
          <w:p>
            <w:pPr>
              <w:spacing w:after="60"/>
            </w:pPr>
            <w:r>
              <w:rPr>
                <w:b w:val="false"/>
                <w:bCs w:val="false"/>
                <w:sz w:val="20"/>
                <w:szCs w:val="20"/>
              </w:rPr>
              <w:t xml:space="preserve">higher NDVI means weeds or previous residue not cleared</w:t>
            </w:r>
          </w:p>
        </w:tc>
      </w:tr>
      <w:tr>
        <w:tc>
          <w:tcPr>
            <w:tcW w:type="dxa" w:w="1400"/>
          </w:tcPr>
          <w:p>
            <w:pPr>
              <w:spacing w:after="60"/>
            </w:pPr>
            <w:r>
              <w:rPr>
                <w:b w:val="false"/>
                <w:bCs w:val="false"/>
                <w:sz w:val="20"/>
                <w:szCs w:val="20"/>
              </w:rPr>
              <w:t xml:space="preserve">G1 emergence</w:t>
            </w:r>
          </w:p>
        </w:tc>
        <w:tc>
          <w:tcPr>
            <w:tcW w:type="dxa" w:w="1000"/>
          </w:tcPr>
          <w:p>
            <w:pPr>
              <w:spacing w:after="60"/>
            </w:pPr>
            <w:r>
              <w:rPr>
                <w:b w:val="false"/>
                <w:bCs w:val="false"/>
                <w:sz w:val="20"/>
                <w:szCs w:val="20"/>
              </w:rPr>
              <w:t xml:space="preserve">0–35</w:t>
            </w:r>
          </w:p>
        </w:tc>
        <w:tc>
          <w:tcPr>
            <w:tcW w:type="dxa" w:w="1740"/>
          </w:tcPr>
          <w:p>
            <w:pPr>
              <w:spacing w:after="60"/>
            </w:pPr>
            <w:r>
              <w:rPr>
                <w:b w:val="false"/>
                <w:bCs w:val="false"/>
                <w:sz w:val="20"/>
                <w:szCs w:val="20"/>
              </w:rPr>
              <w:t xml:space="preserve">0.20 – 0.35</w:t>
            </w:r>
          </w:p>
        </w:tc>
        <w:tc>
          <w:tcPr>
            <w:tcW w:type="dxa" w:w="1700"/>
          </w:tcPr>
          <w:p>
            <w:pPr>
              <w:spacing w:after="60"/>
            </w:pPr>
            <w:r>
              <w:rPr>
                <w:b w:val="false"/>
                <w:bCs w:val="false"/>
                <w:sz w:val="20"/>
                <w:szCs w:val="20"/>
              </w:rPr>
              <w:t xml:space="preserve">0.08 – 0.15</w:t>
            </w:r>
          </w:p>
        </w:tc>
        <w:tc>
          <w:tcPr>
            <w:tcW w:type="dxa" w:w="1700"/>
          </w:tcPr>
          <w:p>
            <w:pPr>
              <w:spacing w:after="60"/>
            </w:pPr>
            <w:r>
              <w:rPr>
                <w:b w:val="false"/>
                <w:bCs w:val="false"/>
                <w:sz w:val="20"/>
                <w:szCs w:val="20"/>
              </w:rPr>
              <w:t xml:space="preserve">0.00 – 0.20</w:t>
            </w:r>
          </w:p>
        </w:tc>
        <w:tc>
          <w:tcPr>
            <w:tcW w:type="dxa" w:w="1820"/>
          </w:tcPr>
          <w:p>
            <w:pPr>
              <w:spacing w:after="60"/>
            </w:pPr>
            <w:r>
              <w:rPr>
                <w:b w:val="false"/>
                <w:bCs w:val="false"/>
                <w:sz w:val="20"/>
                <w:szCs w:val="20"/>
              </w:rPr>
              <w:t xml:space="preserve">low NDVI means poor emergence; high NDVI means weed flush</w:t>
            </w:r>
          </w:p>
        </w:tc>
      </w:tr>
      <w:tr>
        <w:tc>
          <w:tcPr>
            <w:tcW w:type="dxa" w:w="1400"/>
          </w:tcPr>
          <w:p>
            <w:pPr>
              <w:spacing w:after="60"/>
            </w:pPr>
            <w:r>
              <w:rPr>
                <w:b w:val="false"/>
                <w:bCs w:val="false"/>
                <w:sz w:val="20"/>
                <w:szCs w:val="20"/>
              </w:rPr>
              <w:t xml:space="preserve">G2 tillering</w:t>
            </w:r>
          </w:p>
        </w:tc>
        <w:tc>
          <w:tcPr>
            <w:tcW w:type="dxa" w:w="1000"/>
          </w:tcPr>
          <w:p>
            <w:pPr>
              <w:spacing w:after="60"/>
            </w:pPr>
            <w:r>
              <w:rPr>
                <w:b w:val="false"/>
                <w:bCs w:val="false"/>
                <w:sz w:val="20"/>
                <w:szCs w:val="20"/>
              </w:rPr>
              <w:t xml:space="preserve">35–90</w:t>
            </w:r>
          </w:p>
        </w:tc>
        <w:tc>
          <w:tcPr>
            <w:tcW w:type="dxa" w:w="1740"/>
          </w:tcPr>
          <w:p>
            <w:pPr>
              <w:spacing w:after="60"/>
            </w:pPr>
            <w:r>
              <w:rPr>
                <w:b w:val="false"/>
                <w:bCs w:val="false"/>
                <w:sz w:val="20"/>
                <w:szCs w:val="20"/>
              </w:rPr>
              <w:t xml:space="preserve">0.35 – 0.60</w:t>
            </w:r>
          </w:p>
        </w:tc>
        <w:tc>
          <w:tcPr>
            <w:tcW w:type="dxa" w:w="1700"/>
          </w:tcPr>
          <w:p>
            <w:pPr>
              <w:spacing w:after="60"/>
            </w:pPr>
            <w:r>
              <w:rPr>
                <w:b w:val="false"/>
                <w:bCs w:val="false"/>
                <w:sz w:val="20"/>
                <w:szCs w:val="20"/>
              </w:rPr>
              <w:t xml:space="preserve">0.15 – 0.30</w:t>
            </w:r>
          </w:p>
        </w:tc>
        <w:tc>
          <w:tcPr>
            <w:tcW w:type="dxa" w:w="1700"/>
          </w:tcPr>
          <w:p>
            <w:pPr>
              <w:spacing w:after="60"/>
            </w:pPr>
            <w:r>
              <w:rPr>
                <w:b w:val="false"/>
                <w:bCs w:val="false"/>
                <w:sz w:val="20"/>
                <w:szCs w:val="20"/>
              </w:rPr>
              <w:t xml:space="preserve">0.20 – 0.40</w:t>
            </w:r>
          </w:p>
        </w:tc>
        <w:tc>
          <w:tcPr>
            <w:tcW w:type="dxa" w:w="1820"/>
          </w:tcPr>
          <w:p>
            <w:pPr>
              <w:spacing w:after="60"/>
            </w:pPr>
            <w:r>
              <w:rPr>
                <w:b w:val="false"/>
                <w:bCs w:val="false"/>
                <w:sz w:val="20"/>
                <w:szCs w:val="20"/>
              </w:rPr>
              <w:t xml:space="preserve">flat curve means nitrogen stress; also possible rot suppressing tillering</w:t>
            </w:r>
          </w:p>
        </w:tc>
      </w:tr>
      <w:tr>
        <w:tc>
          <w:tcPr>
            <w:tcW w:type="dxa" w:w="1400"/>
          </w:tcPr>
          <w:p>
            <w:pPr>
              <w:spacing w:after="60"/>
            </w:pPr>
            <w:r>
              <w:rPr>
                <w:b w:val="false"/>
                <w:bCs w:val="false"/>
                <w:sz w:val="20"/>
                <w:szCs w:val="20"/>
              </w:rPr>
              <w:t xml:space="preserve">G3 rhizome fill</w:t>
            </w:r>
          </w:p>
        </w:tc>
        <w:tc>
          <w:tcPr>
            <w:tcW w:type="dxa" w:w="1000"/>
          </w:tcPr>
          <w:p>
            <w:pPr>
              <w:spacing w:after="60"/>
            </w:pPr>
            <w:r>
              <w:rPr>
                <w:b w:val="false"/>
                <w:bCs w:val="false"/>
                <w:sz w:val="20"/>
                <w:szCs w:val="20"/>
              </w:rPr>
              <w:t xml:space="preserve">90–150</w:t>
            </w:r>
          </w:p>
        </w:tc>
        <w:tc>
          <w:tcPr>
            <w:tcW w:type="dxa" w:w="1740"/>
          </w:tcPr>
          <w:p>
            <w:pPr>
              <w:spacing w:after="60"/>
            </w:pPr>
            <w:r>
              <w:rPr>
                <w:b w:val="false"/>
                <w:bCs w:val="false"/>
                <w:sz w:val="20"/>
                <w:szCs w:val="20"/>
              </w:rPr>
              <w:t xml:space="preserve">0.60 – 0.80</w:t>
            </w:r>
          </w:p>
        </w:tc>
        <w:tc>
          <w:tcPr>
            <w:tcW w:type="dxa" w:w="1700"/>
          </w:tcPr>
          <w:p>
            <w:pPr>
              <w:spacing w:after="60"/>
            </w:pPr>
            <w:r>
              <w:rPr>
                <w:b w:val="false"/>
                <w:bCs w:val="false"/>
                <w:sz w:val="20"/>
                <w:szCs w:val="20"/>
              </w:rPr>
              <w:t xml:space="preserve">0.30 – 0.45</w:t>
            </w:r>
          </w:p>
        </w:tc>
        <w:tc>
          <w:tcPr>
            <w:tcW w:type="dxa" w:w="1700"/>
          </w:tcPr>
          <w:p>
            <w:pPr>
              <w:spacing w:after="60"/>
            </w:pPr>
            <w:r>
              <w:rPr>
                <w:b w:val="false"/>
                <w:bCs w:val="false"/>
                <w:sz w:val="20"/>
                <w:szCs w:val="20"/>
              </w:rPr>
              <w:t xml:space="preserve">0.30 – 0.50</w:t>
            </w:r>
          </w:p>
        </w:tc>
        <w:tc>
          <w:tcPr>
            <w:tcW w:type="dxa" w:w="1820"/>
          </w:tcPr>
          <w:p>
            <w:pPr>
              <w:spacing w:after="60"/>
            </w:pPr>
            <w:r>
              <w:rPr>
                <w:b w:val="false"/>
                <w:bCs w:val="false"/>
                <w:sz w:val="20"/>
                <w:szCs w:val="20"/>
              </w:rPr>
              <w:t xml:space="preserve">drop of &gt;0.15 in 10 days needs urgent field check</w:t>
            </w:r>
          </w:p>
        </w:tc>
      </w:tr>
      <w:tr>
        <w:tc>
          <w:tcPr>
            <w:tcW w:type="dxa" w:w="1400"/>
          </w:tcPr>
          <w:p>
            <w:pPr>
              <w:spacing w:after="60"/>
            </w:pPr>
            <w:r>
              <w:rPr>
                <w:b w:val="false"/>
                <w:bCs w:val="false"/>
                <w:sz w:val="20"/>
                <w:szCs w:val="20"/>
              </w:rPr>
              <w:t xml:space="preserve">G4 bulking</w:t>
            </w:r>
          </w:p>
        </w:tc>
        <w:tc>
          <w:tcPr>
            <w:tcW w:type="dxa" w:w="1000"/>
          </w:tcPr>
          <w:p>
            <w:pPr>
              <w:spacing w:after="60"/>
            </w:pPr>
            <w:r>
              <w:rPr>
                <w:b w:val="false"/>
                <w:bCs w:val="false"/>
                <w:sz w:val="20"/>
                <w:szCs w:val="20"/>
              </w:rPr>
              <w:t xml:space="preserve">150–200</w:t>
            </w:r>
          </w:p>
        </w:tc>
        <w:tc>
          <w:tcPr>
            <w:tcW w:type="dxa" w:w="1740"/>
          </w:tcPr>
          <w:p>
            <w:pPr>
              <w:spacing w:after="60"/>
            </w:pPr>
            <w:r>
              <w:rPr>
                <w:b w:val="false"/>
                <w:bCs w:val="false"/>
                <w:sz w:val="20"/>
                <w:szCs w:val="20"/>
              </w:rPr>
              <w:t xml:space="preserve">0.55 – 0.75</w:t>
            </w:r>
          </w:p>
        </w:tc>
        <w:tc>
          <w:tcPr>
            <w:tcW w:type="dxa" w:w="1700"/>
          </w:tcPr>
          <w:p>
            <w:pPr>
              <w:spacing w:after="60"/>
            </w:pPr>
            <w:r>
              <w:rPr>
                <w:b w:val="false"/>
                <w:bCs w:val="false"/>
                <w:sz w:val="20"/>
                <w:szCs w:val="20"/>
              </w:rPr>
              <w:t xml:space="preserve">0.28 – 0.42</w:t>
            </w:r>
          </w:p>
        </w:tc>
        <w:tc>
          <w:tcPr>
            <w:tcW w:type="dxa" w:w="1700"/>
          </w:tcPr>
          <w:p>
            <w:pPr>
              <w:spacing w:after="60"/>
            </w:pPr>
            <w:r>
              <w:rPr>
                <w:b w:val="false"/>
                <w:bCs w:val="false"/>
                <w:sz w:val="20"/>
                <w:szCs w:val="20"/>
              </w:rPr>
              <w:t xml:space="preserve">0.25 – 0.45</w:t>
            </w:r>
          </w:p>
        </w:tc>
        <w:tc>
          <w:tcPr>
            <w:tcW w:type="dxa" w:w="1820"/>
          </w:tcPr>
          <w:p>
            <w:pPr>
              <w:spacing w:after="60"/>
            </w:pPr>
            <w:r>
              <w:rPr>
                <w:b w:val="false"/>
                <w:bCs w:val="false"/>
                <w:sz w:val="20"/>
                <w:szCs w:val="20"/>
              </w:rPr>
              <w:t xml:space="preserve">canopy senescence begins naturally; sudden drop is different from gradual</w:t>
            </w:r>
          </w:p>
        </w:tc>
      </w:tr>
      <w:tr>
        <w:tc>
          <w:tcPr>
            <w:tcW w:type="dxa" w:w="1400"/>
          </w:tcPr>
          <w:p>
            <w:pPr>
              <w:spacing w:after="60"/>
            </w:pPr>
            <w:r>
              <w:rPr>
                <w:b w:val="false"/>
                <w:bCs w:val="false"/>
                <w:sz w:val="20"/>
                <w:szCs w:val="20"/>
              </w:rPr>
              <w:t xml:space="preserve">G5 pre-harvest</w:t>
            </w:r>
          </w:p>
        </w:tc>
        <w:tc>
          <w:tcPr>
            <w:tcW w:type="dxa" w:w="1000"/>
          </w:tcPr>
          <w:p>
            <w:pPr>
              <w:spacing w:after="60"/>
            </w:pPr>
            <w:r>
              <w:rPr>
                <w:b w:val="false"/>
                <w:bCs w:val="false"/>
                <w:sz w:val="20"/>
                <w:szCs w:val="20"/>
              </w:rPr>
              <w:t xml:space="preserve">200–240</w:t>
            </w:r>
          </w:p>
        </w:tc>
        <w:tc>
          <w:tcPr>
            <w:tcW w:type="dxa" w:w="1740"/>
          </w:tcPr>
          <w:p>
            <w:pPr>
              <w:spacing w:after="60"/>
            </w:pPr>
            <w:r>
              <w:rPr>
                <w:b w:val="false"/>
                <w:bCs w:val="false"/>
                <w:sz w:val="20"/>
                <w:szCs w:val="20"/>
              </w:rPr>
              <w:t xml:space="preserve">0.35 – 0.55</w:t>
            </w:r>
          </w:p>
        </w:tc>
        <w:tc>
          <w:tcPr>
            <w:tcW w:type="dxa" w:w="1700"/>
          </w:tcPr>
          <w:p>
            <w:pPr>
              <w:spacing w:after="60"/>
            </w:pPr>
            <w:r>
              <w:rPr>
                <w:b w:val="false"/>
                <w:bCs w:val="false"/>
                <w:sz w:val="20"/>
                <w:szCs w:val="20"/>
              </w:rPr>
              <w:t xml:space="preserve">0.18 – 0.30</w:t>
            </w:r>
          </w:p>
        </w:tc>
        <w:tc>
          <w:tcPr>
            <w:tcW w:type="dxa" w:w="1700"/>
          </w:tcPr>
          <w:p>
            <w:pPr>
              <w:spacing w:after="60"/>
            </w:pPr>
            <w:r>
              <w:rPr>
                <w:b w:val="false"/>
                <w:bCs w:val="false"/>
                <w:sz w:val="20"/>
                <w:szCs w:val="20"/>
              </w:rPr>
              <w:t xml:space="preserve">0.15 – 0.30</w:t>
            </w:r>
          </w:p>
        </w:tc>
        <w:tc>
          <w:tcPr>
            <w:tcW w:type="dxa" w:w="1820"/>
          </w:tcPr>
          <w:p>
            <w:pPr>
              <w:spacing w:after="60"/>
            </w:pPr>
            <w:r>
              <w:rPr>
                <w:b w:val="false"/>
                <w:bCs w:val="false"/>
                <w:sz w:val="20"/>
                <w:szCs w:val="20"/>
              </w:rPr>
              <w:t xml:space="preserve">senescence complete when NDVI &lt; 0.35</w:t>
            </w:r>
          </w:p>
        </w:tc>
      </w:tr>
    </w:tbl>
    <w:p>
      <w:pPr>
        <w:spacing w:after="200" w:before="100"/>
      </w:pPr>
      <w:r>
        <w:rPr>
          <w:i/>
          <w:iCs/>
          <w:color w:val="444444"/>
        </w:rPr>
        <w:t xml:space="preserve">Numbers above are Phase-1 author estimates synthesized from ginger and turmeric phenology literature and general Zingiberaceae studies. Local calibration against the Kannad plot is a Phase-2 requirement.</w:t>
      </w:r>
    </w:p>
    <w:p>
      <w:pPr>
        <w:pStyle w:val="Heading2"/>
        <w:spacing w:after="150" w:before="300"/>
      </w:pPr>
      <w:r>
        <w:rPr>
          <w:b/>
          <w:bCs/>
          <w:sz w:val="26"/>
          <w:szCs w:val="26"/>
        </w:rPr>
        <w:t xml:space="preserve">4.3 Sensitivity and saturation — संवेदनशीलता व संपृक्तता</w:t>
      </w:r>
    </w:p>
    <w:p>
      <w:pPr>
        <w:spacing w:after="120"/>
      </w:pPr>
      <w:r>
        <w:t xml:space="preserve">NDVI saturates above roughly 0.75 — beyond that, canopy differences no longer register. Ginger reaches this in G3 in a healthy crop. This is a stated reason to prefer NDRE and NDMI in the middle and late stages: NDRE stays sensitive up to LAI 6–7, whereas NDVI plateaus around LAI 3–4.</w:t>
      </w:r>
    </w:p>
    <w:p>
      <w:pPr>
        <w:spacing w:after="120"/>
      </w:pPr>
      <w:r>
        <w:t xml:space="preserve">NDVI ०.७५ पेक्षा वर संपृक्त होते — त्यानंतर पर्णसमूहातील फरक निर्देशांकात दिसत नाही. निरोगी आले G3 अवस्थेत हा स्तर गाठते. यामुळे मध्य व शेवटच्या अवस्थांत NDRE व NDMI यांना प्राधान्य द्यावे: NDRE LAI ६–७ पर्यंत संवेदनशील राहते, NDVI LAI ३–४ आसपास सपाट होते.</w:t>
      </w:r>
    </w:p>
    <w:p>
      <w:pPr>
        <w:pStyle w:val="Heading2"/>
        <w:spacing w:after="150" w:before="300"/>
      </w:pPr>
      <w:r>
        <w:rPr>
          <w:b/>
          <w:bCs/>
          <w:sz w:val="26"/>
          <w:szCs w:val="26"/>
        </w:rPr>
        <w:t xml:space="preserve">4.4 Which index for which decision — कोणत्या निर्णयासाठी कोणता निर्देशांक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3160"/>
      </w:tblGrid>
      <w:tr>
        <w:trPr>
          <w:tblHeader/>
        </w:trPr>
        <w:tc>
          <w:tcPr>
            <w:tcW w:type="dxa" w:w="2600"/>
            <w:shd w:fill="DCE6F1" w:color="auto" w:val="clear"/>
          </w:tcPr>
          <w:p>
            <w:pPr>
              <w:spacing w:after="60"/>
            </w:pPr>
            <w:r>
              <w:rPr>
                <w:b/>
                <w:bCs/>
                <w:sz w:val="20"/>
                <w:szCs w:val="20"/>
              </w:rPr>
              <w:t xml:space="preserve">Decision area</w:t>
            </w:r>
          </w:p>
        </w:tc>
        <w:tc>
          <w:tcPr>
            <w:tcW w:type="dxa" w:w="1800"/>
            <w:shd w:fill="DCE6F1" w:color="auto" w:val="clear"/>
          </w:tcPr>
          <w:p>
            <w:pPr>
              <w:spacing w:after="60"/>
            </w:pPr>
            <w:r>
              <w:rPr>
                <w:b/>
                <w:bCs/>
                <w:sz w:val="20"/>
                <w:szCs w:val="20"/>
              </w:rPr>
              <w:t xml:space="preserve">Primary index</w:t>
            </w:r>
          </w:p>
        </w:tc>
        <w:tc>
          <w:tcPr>
            <w:tcW w:type="dxa" w:w="1800"/>
            <w:shd w:fill="DCE6F1" w:color="auto" w:val="clear"/>
          </w:tcPr>
          <w:p>
            <w:pPr>
              <w:spacing w:after="60"/>
            </w:pPr>
            <w:r>
              <w:rPr>
                <w:b/>
                <w:bCs/>
                <w:sz w:val="20"/>
                <w:szCs w:val="20"/>
              </w:rPr>
              <w:t xml:space="preserve">Secondary index</w:t>
            </w:r>
          </w:p>
        </w:tc>
        <w:tc>
          <w:tcPr>
            <w:tcW w:type="dxa" w:w="3160"/>
            <w:shd w:fill="DCE6F1" w:color="auto" w:val="clear"/>
          </w:tcPr>
          <w:p>
            <w:pPr>
              <w:spacing w:after="60"/>
            </w:pPr>
            <w:r>
              <w:rPr>
                <w:b/>
                <w:bCs/>
                <w:sz w:val="20"/>
                <w:szCs w:val="20"/>
              </w:rPr>
              <w:t xml:space="preserve">Reason</w:t>
            </w:r>
          </w:p>
        </w:tc>
      </w:tr>
      <w:tr>
        <w:tc>
          <w:tcPr>
            <w:tcW w:type="dxa" w:w="2600"/>
          </w:tcPr>
          <w:p>
            <w:pPr>
              <w:spacing w:after="60"/>
            </w:pPr>
            <w:r>
              <w:rPr>
                <w:b w:val="false"/>
                <w:bCs w:val="false"/>
                <w:sz w:val="20"/>
                <w:szCs w:val="20"/>
              </w:rPr>
              <w:t xml:space="preserve">stage transition detection</w:t>
            </w:r>
          </w:p>
        </w:tc>
        <w:tc>
          <w:tcPr>
            <w:tcW w:type="dxa" w:w="1800"/>
          </w:tcPr>
          <w:p>
            <w:pPr>
              <w:spacing w:after="60"/>
            </w:pPr>
            <w:r>
              <w:rPr>
                <w:b w:val="false"/>
                <w:bCs w:val="false"/>
                <w:sz w:val="20"/>
                <w:szCs w:val="20"/>
              </w:rPr>
              <w:t xml:space="preserve">NDVI</w:t>
            </w:r>
          </w:p>
        </w:tc>
        <w:tc>
          <w:tcPr>
            <w:tcW w:type="dxa" w:w="1800"/>
          </w:tcPr>
          <w:p>
            <w:pPr>
              <w:spacing w:after="60"/>
            </w:pPr>
            <w:r>
              <w:rPr>
                <w:b w:val="false"/>
                <w:bCs w:val="false"/>
                <w:sz w:val="20"/>
                <w:szCs w:val="20"/>
              </w:rPr>
              <w:t xml:space="preserve">SAVI (early)</w:t>
            </w:r>
          </w:p>
        </w:tc>
        <w:tc>
          <w:tcPr>
            <w:tcW w:type="dxa" w:w="3160"/>
          </w:tcPr>
          <w:p>
            <w:pPr>
              <w:spacing w:after="60"/>
            </w:pPr>
            <w:r>
              <w:rPr>
                <w:b w:val="false"/>
                <w:bCs w:val="false"/>
                <w:sz w:val="20"/>
                <w:szCs w:val="20"/>
              </w:rPr>
              <w:t xml:space="preserve">shape of NDVI curve carries the phenology signal even where absolute values are noisy</w:t>
            </w:r>
          </w:p>
        </w:tc>
      </w:tr>
      <w:tr>
        <w:tc>
          <w:tcPr>
            <w:tcW w:type="dxa" w:w="2600"/>
          </w:tcPr>
          <w:p>
            <w:pPr>
              <w:spacing w:after="60"/>
            </w:pPr>
            <w:r>
              <w:rPr>
                <w:b w:val="false"/>
                <w:bCs w:val="false"/>
                <w:sz w:val="20"/>
                <w:szCs w:val="20"/>
              </w:rPr>
              <w:t xml:space="preserve">nitrogen stress</w:t>
            </w:r>
          </w:p>
        </w:tc>
        <w:tc>
          <w:tcPr>
            <w:tcW w:type="dxa" w:w="1800"/>
          </w:tcPr>
          <w:p>
            <w:pPr>
              <w:spacing w:after="60"/>
            </w:pPr>
            <w:r>
              <w:rPr>
                <w:b w:val="false"/>
                <w:bCs w:val="false"/>
                <w:sz w:val="20"/>
                <w:szCs w:val="20"/>
              </w:rPr>
              <w:t xml:space="preserve">NDRE</w:t>
            </w:r>
          </w:p>
        </w:tc>
        <w:tc>
          <w:tcPr>
            <w:tcW w:type="dxa" w:w="1800"/>
          </w:tcPr>
          <w:p>
            <w:pPr>
              <w:spacing w:after="60"/>
            </w:pPr>
            <w:r>
              <w:rPr>
                <w:b w:val="false"/>
                <w:bCs w:val="false"/>
                <w:sz w:val="20"/>
                <w:szCs w:val="20"/>
              </w:rPr>
              <w:t xml:space="preserve">GNDVI</w:t>
            </w:r>
          </w:p>
        </w:tc>
        <w:tc>
          <w:tcPr>
            <w:tcW w:type="dxa" w:w="3160"/>
          </w:tcPr>
          <w:p>
            <w:pPr>
              <w:spacing w:after="60"/>
            </w:pPr>
            <w:r>
              <w:rPr>
                <w:b w:val="false"/>
                <w:bCs w:val="false"/>
                <w:sz w:val="20"/>
                <w:szCs w:val="20"/>
              </w:rPr>
              <w:t xml:space="preserve">NDRE picks up chlorophyll change earlier than NDVI, especially in a closed canopy</w:t>
            </w:r>
          </w:p>
        </w:tc>
      </w:tr>
      <w:tr>
        <w:tc>
          <w:tcPr>
            <w:tcW w:type="dxa" w:w="2600"/>
          </w:tcPr>
          <w:p>
            <w:pPr>
              <w:spacing w:after="60"/>
            </w:pPr>
            <w:r>
              <w:rPr>
                <w:b w:val="false"/>
                <w:bCs w:val="false"/>
                <w:sz w:val="20"/>
                <w:szCs w:val="20"/>
              </w:rPr>
              <w:t xml:space="preserve">water stress</w:t>
            </w:r>
          </w:p>
        </w:tc>
        <w:tc>
          <w:tcPr>
            <w:tcW w:type="dxa" w:w="1800"/>
          </w:tcPr>
          <w:p>
            <w:pPr>
              <w:spacing w:after="60"/>
            </w:pPr>
            <w:r>
              <w:rPr>
                <w:b w:val="false"/>
                <w:bCs w:val="false"/>
                <w:sz w:val="20"/>
                <w:szCs w:val="20"/>
              </w:rPr>
              <w:t xml:space="preserve">NDMI</w:t>
            </w:r>
          </w:p>
        </w:tc>
        <w:tc>
          <w:tcPr>
            <w:tcW w:type="dxa" w:w="1800"/>
          </w:tcPr>
          <w:p>
            <w:pPr>
              <w:spacing w:after="60"/>
            </w:pPr>
            <w:r>
              <w:rPr>
                <w:b w:val="false"/>
                <w:bCs w:val="false"/>
                <w:sz w:val="20"/>
                <w:szCs w:val="20"/>
              </w:rPr>
              <w:t xml:space="preserve">LST-derived CWSI</w:t>
            </w:r>
          </w:p>
        </w:tc>
        <w:tc>
          <w:tcPr>
            <w:tcW w:type="dxa" w:w="3160"/>
          </w:tcPr>
          <w:p>
            <w:pPr>
              <w:spacing w:after="60"/>
            </w:pPr>
            <w:r>
              <w:rPr>
                <w:b w:val="false"/>
                <w:bCs w:val="false"/>
                <w:sz w:val="20"/>
                <w:szCs w:val="20"/>
              </w:rPr>
              <w:t xml:space="preserve">canopy moisture is the shorter latency signal; CWSI needs Landsat thermal timing</w:t>
            </w:r>
          </w:p>
        </w:tc>
      </w:tr>
      <w:tr>
        <w:tc>
          <w:tcPr>
            <w:tcW w:type="dxa" w:w="2600"/>
          </w:tcPr>
          <w:p>
            <w:pPr>
              <w:spacing w:after="60"/>
            </w:pPr>
            <w:r>
              <w:rPr>
                <w:b w:val="false"/>
                <w:bCs w:val="false"/>
                <w:sz w:val="20"/>
                <w:szCs w:val="20"/>
              </w:rPr>
              <w:t xml:space="preserve">weed flush pre-plant</w:t>
            </w:r>
          </w:p>
        </w:tc>
        <w:tc>
          <w:tcPr>
            <w:tcW w:type="dxa" w:w="1800"/>
          </w:tcPr>
          <w:p>
            <w:pPr>
              <w:spacing w:after="60"/>
            </w:pPr>
            <w:r>
              <w:rPr>
                <w:b w:val="false"/>
                <w:bCs w:val="false"/>
                <w:sz w:val="20"/>
                <w:szCs w:val="20"/>
              </w:rPr>
              <w:t xml:space="preserve">NDVI</w:t>
            </w:r>
          </w:p>
        </w:tc>
        <w:tc>
          <w:tcPr>
            <w:tcW w:type="dxa" w:w="1800"/>
          </w:tcPr>
          <w:p>
            <w:pPr>
              <w:spacing w:after="60"/>
            </w:pPr>
            <w:r>
              <w:rPr>
                <w:b w:val="false"/>
                <w:bCs w:val="false"/>
                <w:sz w:val="20"/>
                <w:szCs w:val="20"/>
              </w:rPr>
              <w:t xml:space="preserve">SAVI</w:t>
            </w:r>
          </w:p>
        </w:tc>
        <w:tc>
          <w:tcPr>
            <w:tcW w:type="dxa" w:w="3160"/>
          </w:tcPr>
          <w:p>
            <w:pPr>
              <w:spacing w:after="60"/>
            </w:pPr>
            <w:r>
              <w:rPr>
                <w:b w:val="false"/>
                <w:bCs w:val="false"/>
                <w:sz w:val="20"/>
                <w:szCs w:val="20"/>
              </w:rPr>
              <w:t xml:space="preserve">bare soil is the reference; anything green above 0.25 pre-plant is not the crop</w:t>
            </w:r>
          </w:p>
        </w:tc>
      </w:tr>
      <w:tr>
        <w:tc>
          <w:tcPr>
            <w:tcW w:type="dxa" w:w="2600"/>
          </w:tcPr>
          <w:p>
            <w:pPr>
              <w:spacing w:after="60"/>
            </w:pPr>
            <w:r>
              <w:rPr>
                <w:b w:val="false"/>
                <w:bCs w:val="false"/>
                <w:sz w:val="20"/>
                <w:szCs w:val="20"/>
              </w:rPr>
              <w:t xml:space="preserve">residue burning</w:t>
            </w:r>
          </w:p>
        </w:tc>
        <w:tc>
          <w:tcPr>
            <w:tcW w:type="dxa" w:w="1800"/>
          </w:tcPr>
          <w:p>
            <w:pPr>
              <w:spacing w:after="60"/>
            </w:pPr>
            <w:r>
              <w:rPr>
                <w:b w:val="false"/>
                <w:bCs w:val="false"/>
                <w:sz w:val="20"/>
                <w:szCs w:val="20"/>
              </w:rPr>
              <w:t xml:space="preserve">NBR</w:t>
            </w:r>
          </w:p>
        </w:tc>
        <w:tc>
          <w:tcPr>
            <w:tcW w:type="dxa" w:w="1800"/>
          </w:tcPr>
          <w:p>
            <w:pPr>
              <w:spacing w:after="60"/>
            </w:pPr>
            <w:r>
              <w:rPr>
                <w:b w:val="false"/>
                <w:bCs w:val="false"/>
                <w:sz w:val="20"/>
                <w:szCs w:val="20"/>
              </w:rPr>
              <w:t xml:space="preserve">−</w:t>
            </w:r>
          </w:p>
        </w:tc>
        <w:tc>
          <w:tcPr>
            <w:tcW w:type="dxa" w:w="3160"/>
          </w:tcPr>
          <w:p>
            <w:pPr>
              <w:spacing w:after="60"/>
            </w:pPr>
            <w:r>
              <w:rPr>
                <w:b w:val="false"/>
                <w:bCs w:val="false"/>
                <w:sz w:val="20"/>
                <w:szCs w:val="20"/>
              </w:rPr>
              <w:t xml:space="preserve">strong SWIR drop is the marker</w:t>
            </w:r>
          </w:p>
        </w:tc>
      </w:tr>
      <w:tr>
        <w:tc>
          <w:tcPr>
            <w:tcW w:type="dxa" w:w="2600"/>
          </w:tcPr>
          <w:p>
            <w:pPr>
              <w:spacing w:after="60"/>
            </w:pPr>
            <w:r>
              <w:rPr>
                <w:b w:val="false"/>
                <w:bCs w:val="false"/>
                <w:sz w:val="20"/>
                <w:szCs w:val="20"/>
              </w:rPr>
              <w:t xml:space="preserve">standing water after rain</w:t>
            </w:r>
          </w:p>
        </w:tc>
        <w:tc>
          <w:tcPr>
            <w:tcW w:type="dxa" w:w="1800"/>
          </w:tcPr>
          <w:p>
            <w:pPr>
              <w:spacing w:after="60"/>
            </w:pPr>
            <w:r>
              <w:rPr>
                <w:b w:val="false"/>
                <w:bCs w:val="false"/>
                <w:sz w:val="20"/>
                <w:szCs w:val="20"/>
              </w:rPr>
              <w:t xml:space="preserve">NDWI</w:t>
            </w:r>
          </w:p>
        </w:tc>
        <w:tc>
          <w:tcPr>
            <w:tcW w:type="dxa" w:w="1800"/>
          </w:tcPr>
          <w:p>
            <w:pPr>
              <w:spacing w:after="60"/>
            </w:pPr>
            <w:r>
              <w:rPr>
                <w:b w:val="false"/>
                <w:bCs w:val="false"/>
                <w:sz w:val="20"/>
                <w:szCs w:val="20"/>
              </w:rPr>
              <w:t xml:space="preserve">−</w:t>
            </w:r>
          </w:p>
        </w:tc>
        <w:tc>
          <w:tcPr>
            <w:tcW w:type="dxa" w:w="3160"/>
          </w:tcPr>
          <w:p>
            <w:pPr>
              <w:spacing w:after="60"/>
            </w:pPr>
            <w:r>
              <w:rPr>
                <w:b w:val="false"/>
                <w:bCs w:val="false"/>
                <w:sz w:val="20"/>
                <w:szCs w:val="20"/>
              </w:rPr>
              <w:t xml:space="preserve">open-water index; not the plant-water index despite the name</w:t>
            </w:r>
          </w:p>
        </w:tc>
      </w:tr>
    </w:tbl>
    <w:p>
      <w:pPr>
        <w:pStyle w:val="Heading2"/>
        <w:spacing w:after="150" w:before="300"/>
      </w:pPr>
      <w:r>
        <w:rPr>
          <w:b/>
          <w:bCs/>
          <w:sz w:val="26"/>
          <w:szCs w:val="26"/>
        </w:rPr>
        <w:t xml:space="preserve">4.5 Non-crop confounders — पिकाबाहेरचे कारण</w:t>
      </w:r>
    </w:p>
    <w:p>
      <w:pPr>
        <w:spacing w:after="120"/>
      </w:pPr>
      <w:r>
        <w:t xml:space="preserve">The index at a pixel over a ginger plot is not only ginger. Confounders documented in the literature and observed in Marathwada:</w:t>
      </w:r>
    </w:p>
    <w:p>
      <w:pPr>
        <w:pStyle w:val="ListParagraph"/>
        <w:numPr>
          <w:ilvl w:val="0"/>
          <w:numId w:val="1"/>
        </w:numPr>
        <w:spacing w:after="80"/>
      </w:pPr>
      <w:r>
        <w:t xml:space="preserve">Adjacent tall crops (sugarcane, sorghum) contaminate edge pixels when the plot is small</w:t>
      </w:r>
    </w:p>
    <w:p>
      <w:pPr>
        <w:pStyle w:val="ListParagraph"/>
        <w:numPr>
          <w:ilvl w:val="0"/>
          <w:numId w:val="1"/>
        </w:numPr>
        <w:spacing w:after="80"/>
      </w:pPr>
      <w:r>
        <w:t xml:space="preserve">Border trees (mango, teak) shade one edge and inflate NDVI there</w:t>
      </w:r>
    </w:p>
    <w:p>
      <w:pPr>
        <w:pStyle w:val="ListParagraph"/>
        <w:numPr>
          <w:ilvl w:val="0"/>
          <w:numId w:val="1"/>
        </w:numPr>
        <w:spacing w:after="80"/>
      </w:pPr>
      <w:r>
        <w:t xml:space="preserve">Weed flush in the second week after monsoon rain briefly raises NDVI without any crop change</w:t>
      </w:r>
    </w:p>
    <w:p>
      <w:pPr>
        <w:pStyle w:val="ListParagraph"/>
        <w:numPr>
          <w:ilvl w:val="0"/>
          <w:numId w:val="1"/>
        </w:numPr>
        <w:spacing w:after="80"/>
      </w:pPr>
      <w:r>
        <w:t xml:space="preserve">Intercropped legumes raise NDRE without raising NDVI — a benign anomaly, must not be flagged as fertiliser overuse</w:t>
      </w:r>
    </w:p>
    <w:p>
      <w:pPr>
        <w:pStyle w:val="ListParagraph"/>
        <w:numPr>
          <w:ilvl w:val="0"/>
          <w:numId w:val="1"/>
        </w:numPr>
        <w:spacing w:after="80"/>
      </w:pPr>
      <w:r>
        <w:t xml:space="preserve">Mulch (paddy straw, sugarcane trash) reflects strongly in SWIR — briefly biases NDMI</w:t>
      </w:r>
    </w:p>
    <w:p>
      <w:pPr>
        <w:pStyle w:val="ListParagraph"/>
        <w:numPr>
          <w:ilvl w:val="0"/>
          <w:numId w:val="1"/>
        </w:numPr>
        <w:spacing w:after="80"/>
      </w:pPr>
      <w:r>
        <w:t xml:space="preserve">Standing water inverts the sign of NDWI vs plant-water indices — must be treated separately</w:t>
      </w:r>
    </w:p>
    <w:p>
      <w:pPr>
        <w:spacing w:after="300" w:before="200"/>
      </w:pPr>
      <w:r>
        <w:rPr>
          <w:i/>
          <w:iCs/>
          <w:sz w:val="20"/>
          <w:szCs w:val="20"/>
        </w:rPr>
        <w:t xml:space="preserve">Sources: Rouse et al. 1974 (NDVI original); Gitelson &amp; Merzlyak 1996 (red-edge chlorophyll); Huete 1988 (SAVI); Qi et al. 1994 (MSAVI); Gao 1996 (NDWI); Xu 2006 (MNDWI); Justice et al. 1998 (MODIS product suite); ICAR-IISS Bhopal red-edge for nitrogen studies; ISRO NRSC crop-phenology handbook.</w:t>
      </w:r>
    </w:p>
    <w:p>
      <w:r>
        <w:br w:type="page"/>
      </w:r>
    </w:p>
    <w:p>
      <w:pPr>
        <w:pStyle w:val="Heading1"/>
        <w:spacing w:after="200" w:before="400"/>
      </w:pPr>
      <w:r>
        <w:rPr>
          <w:b/>
          <w:bCs/>
          <w:sz w:val="32"/>
          <w:szCs w:val="32"/>
        </w:rPr>
        <w:t xml:space="preserve">SECTION 5. The underground-rhizome blind spot — जमिनीखालील गड्ड्याची अंधःक्षेत्र मर्यादा</w:t>
      </w:r>
    </w:p>
    <w:p>
      <w:pPr>
        <w:pStyle w:val="Heading2"/>
        <w:spacing w:after="150" w:before="300"/>
      </w:pPr>
      <w:r>
        <w:rPr>
          <w:b/>
          <w:bCs/>
          <w:sz w:val="26"/>
          <w:szCs w:val="26"/>
        </w:rPr>
        <w:t xml:space="preserve">5.1 The problem stated once — समस्येचे स्पष्ट विवेचन</w:t>
      </w:r>
    </w:p>
    <w:p>
      <w:pPr>
        <w:spacing w:after="120"/>
      </w:pPr>
      <w:r>
        <w:t xml:space="preserve">The Ginger KB architecture document, in its section on known gaps, states plainly: "Satellite/NDVI is absent from the knowledge base. The schema has the table; no rule uses it. Note that Domain 6 warns a partially infected crop stays green above ground while the rhizome is compromised — so whether NDVI detects rot earlier or later than the sensors must be tested, not assumed." This entire domain is built on that sentence.</w:t>
      </w:r>
    </w:p>
    <w:p>
      <w:pPr>
        <w:spacing w:after="120"/>
      </w:pPr>
      <w:r>
        <w:t xml:space="preserve">Ginger KB architecture दस्तऐवजाच्या known-gaps विभागात स्पष्ट लिहिले आहे: "Satellite/NDVI KB मध्ये नाही. schema मध्ये table आहे पण कुठलाही नियम त्याचा वापर करत नाही. Domain 6 च्या नोंदीप्रमाणे — अंशतः संक्रमित पीक वरून हिरवेगार दिसते तर गड्डा आतून बिघडलेला असतो. NDVI कूज लवकर पकडते की उशिरा — हे गृहीत नाही, चाचणीत ठरवायचे आहे." हा संपूर्ण डोमेन याच वाक्यावर उभा आहे.</w:t>
      </w:r>
    </w:p>
    <w:p>
      <w:pPr>
        <w:pStyle w:val="Heading2"/>
        <w:spacing w:after="150" w:before="300"/>
      </w:pPr>
      <w:r>
        <w:rPr>
          <w:b/>
          <w:bCs/>
          <w:sz w:val="26"/>
          <w:szCs w:val="26"/>
        </w:rPr>
        <w:t xml:space="preserve">5.2 What satellite CAN see for ginger — उपग्रह काय दाखवतो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shd w:fill="DCE6F1" w:color="auto" w:val="clear"/>
          </w:tcPr>
          <w:p>
            <w:pPr>
              <w:spacing w:after="60"/>
            </w:pPr>
            <w:r>
              <w:rPr>
                <w:b/>
                <w:bCs/>
                <w:sz w:val="20"/>
                <w:szCs w:val="20"/>
              </w:rPr>
              <w:t xml:space="preserve">Observable</w:t>
            </w:r>
          </w:p>
        </w:tc>
        <w:tc>
          <w:tcPr>
            <w:tcW w:type="dxa" w:w="2340"/>
            <w:shd w:fill="DCE6F1" w:color="auto" w:val="clear"/>
          </w:tcPr>
          <w:p>
            <w:pPr>
              <w:spacing w:after="60"/>
            </w:pPr>
            <w:r>
              <w:rPr>
                <w:b/>
                <w:bCs/>
                <w:sz w:val="20"/>
                <w:szCs w:val="20"/>
              </w:rPr>
              <w:t xml:space="preserve">How</w:t>
            </w:r>
          </w:p>
        </w:tc>
        <w:tc>
          <w:tcPr>
            <w:tcW w:type="dxa" w:w="4680"/>
            <w:shd w:fill="DCE6F1" w:color="auto" w:val="clear"/>
          </w:tcPr>
          <w:p>
            <w:pPr>
              <w:spacing w:after="60"/>
            </w:pPr>
            <w:r>
              <w:rPr>
                <w:b/>
                <w:bCs/>
                <w:sz w:val="20"/>
                <w:szCs w:val="20"/>
              </w:rPr>
              <w:t xml:space="preserve">Ginger relevance</w:t>
            </w:r>
          </w:p>
        </w:tc>
      </w:tr>
      <w:tr>
        <w:tc>
          <w:tcPr>
            <w:tcW w:type="dxa" w:w="2340"/>
          </w:tcPr>
          <w:p>
            <w:pPr>
              <w:spacing w:after="60"/>
            </w:pPr>
            <w:r>
              <w:rPr>
                <w:b w:val="false"/>
                <w:bCs w:val="false"/>
                <w:sz w:val="20"/>
                <w:szCs w:val="20"/>
              </w:rPr>
              <w:t xml:space="preserve">Canopy vigour and biomass</w:t>
            </w:r>
          </w:p>
        </w:tc>
        <w:tc>
          <w:tcPr>
            <w:tcW w:type="dxa" w:w="2340"/>
          </w:tcPr>
          <w:p>
            <w:pPr>
              <w:spacing w:after="60"/>
            </w:pPr>
            <w:r>
              <w:rPr>
                <w:b w:val="false"/>
                <w:bCs w:val="false"/>
                <w:sz w:val="20"/>
                <w:szCs w:val="20"/>
              </w:rPr>
              <w:t xml:space="preserve">NDVI, EVI, SAVI</w:t>
            </w:r>
          </w:p>
        </w:tc>
        <w:tc>
          <w:tcPr>
            <w:tcW w:type="dxa" w:w="4680"/>
          </w:tcPr>
          <w:p>
            <w:pPr>
              <w:spacing w:after="60"/>
            </w:pPr>
            <w:r>
              <w:rPr>
                <w:b w:val="false"/>
                <w:bCs w:val="false"/>
                <w:sz w:val="20"/>
                <w:szCs w:val="20"/>
              </w:rPr>
              <w:t xml:space="preserve">growth pace, stage timing, aggregate stress</w:t>
            </w:r>
          </w:p>
        </w:tc>
      </w:tr>
      <w:tr>
        <w:tc>
          <w:tcPr>
            <w:tcW w:type="dxa" w:w="2340"/>
          </w:tcPr>
          <w:p>
            <w:pPr>
              <w:spacing w:after="60"/>
            </w:pPr>
            <w:r>
              <w:rPr>
                <w:b w:val="false"/>
                <w:bCs w:val="false"/>
                <w:sz w:val="20"/>
                <w:szCs w:val="20"/>
              </w:rPr>
              <w:t xml:space="preserve">Chlorophyll content</w:t>
            </w:r>
          </w:p>
        </w:tc>
        <w:tc>
          <w:tcPr>
            <w:tcW w:type="dxa" w:w="2340"/>
          </w:tcPr>
          <w:p>
            <w:pPr>
              <w:spacing w:after="60"/>
            </w:pPr>
            <w:r>
              <w:rPr>
                <w:b w:val="false"/>
                <w:bCs w:val="false"/>
                <w:sz w:val="20"/>
                <w:szCs w:val="20"/>
              </w:rPr>
              <w:t xml:space="preserve">NDRE, GNDVI</w:t>
            </w:r>
          </w:p>
        </w:tc>
        <w:tc>
          <w:tcPr>
            <w:tcW w:type="dxa" w:w="4680"/>
          </w:tcPr>
          <w:p>
            <w:pPr>
              <w:spacing w:after="60"/>
            </w:pPr>
            <w:r>
              <w:rPr>
                <w:b w:val="false"/>
                <w:bCs w:val="false"/>
                <w:sz w:val="20"/>
                <w:szCs w:val="20"/>
              </w:rPr>
              <w:t xml:space="preserve">nitrogen deficiency of the standing canopy</w:t>
            </w:r>
          </w:p>
        </w:tc>
      </w:tr>
      <w:tr>
        <w:tc>
          <w:tcPr>
            <w:tcW w:type="dxa" w:w="2340"/>
          </w:tcPr>
          <w:p>
            <w:pPr>
              <w:spacing w:after="60"/>
            </w:pPr>
            <w:r>
              <w:rPr>
                <w:b w:val="false"/>
                <w:bCs w:val="false"/>
                <w:sz w:val="20"/>
                <w:szCs w:val="20"/>
              </w:rPr>
              <w:t xml:space="preserve">Canopy water content</w:t>
            </w:r>
          </w:p>
        </w:tc>
        <w:tc>
          <w:tcPr>
            <w:tcW w:type="dxa" w:w="2340"/>
          </w:tcPr>
          <w:p>
            <w:pPr>
              <w:spacing w:after="60"/>
            </w:pPr>
            <w:r>
              <w:rPr>
                <w:b w:val="false"/>
                <w:bCs w:val="false"/>
                <w:sz w:val="20"/>
                <w:szCs w:val="20"/>
              </w:rPr>
              <w:t xml:space="preserve">NDMI, canopy temperature (LST−air)</w:t>
            </w:r>
          </w:p>
        </w:tc>
        <w:tc>
          <w:tcPr>
            <w:tcW w:type="dxa" w:w="4680"/>
          </w:tcPr>
          <w:p>
            <w:pPr>
              <w:spacing w:after="60"/>
            </w:pPr>
            <w:r>
              <w:rPr>
                <w:b w:val="false"/>
                <w:bCs w:val="false"/>
                <w:sz w:val="20"/>
                <w:szCs w:val="20"/>
              </w:rPr>
              <w:t xml:space="preserve">water stress in the leaves, delayed from root stress</w:t>
            </w:r>
          </w:p>
        </w:tc>
      </w:tr>
      <w:tr>
        <w:tc>
          <w:tcPr>
            <w:tcW w:type="dxa" w:w="2340"/>
          </w:tcPr>
          <w:p>
            <w:pPr>
              <w:spacing w:after="60"/>
            </w:pPr>
            <w:r>
              <w:rPr>
                <w:b w:val="false"/>
                <w:bCs w:val="false"/>
                <w:sz w:val="20"/>
                <w:szCs w:val="20"/>
              </w:rPr>
              <w:t xml:space="preserve">Soil moisture (top layer)</w:t>
            </w:r>
          </w:p>
        </w:tc>
        <w:tc>
          <w:tcPr>
            <w:tcW w:type="dxa" w:w="2340"/>
          </w:tcPr>
          <w:p>
            <w:pPr>
              <w:spacing w:after="60"/>
            </w:pPr>
            <w:r>
              <w:rPr>
                <w:b w:val="false"/>
                <w:bCs w:val="false"/>
                <w:sz w:val="20"/>
                <w:szCs w:val="20"/>
              </w:rPr>
              <w:t xml:space="preserve">Sentinel-1 SAR backscatter</w:t>
            </w:r>
          </w:p>
        </w:tc>
        <w:tc>
          <w:tcPr>
            <w:tcW w:type="dxa" w:w="4680"/>
          </w:tcPr>
          <w:p>
            <w:pPr>
              <w:spacing w:after="60"/>
            </w:pPr>
            <w:r>
              <w:rPr>
                <w:b w:val="false"/>
                <w:bCs w:val="false"/>
                <w:sz w:val="20"/>
                <w:szCs w:val="20"/>
              </w:rPr>
              <w:t xml:space="preserve">field-scale moisture, cloud-independent</w:t>
            </w:r>
          </w:p>
        </w:tc>
      </w:tr>
      <w:tr>
        <w:tc>
          <w:tcPr>
            <w:tcW w:type="dxa" w:w="2340"/>
          </w:tcPr>
          <w:p>
            <w:pPr>
              <w:spacing w:after="60"/>
            </w:pPr>
            <w:r>
              <w:rPr>
                <w:b w:val="false"/>
                <w:bCs w:val="false"/>
                <w:sz w:val="20"/>
                <w:szCs w:val="20"/>
              </w:rPr>
              <w:t xml:space="preserve">Standing water</w:t>
            </w:r>
          </w:p>
        </w:tc>
        <w:tc>
          <w:tcPr>
            <w:tcW w:type="dxa" w:w="2340"/>
          </w:tcPr>
          <w:p>
            <w:pPr>
              <w:spacing w:after="60"/>
            </w:pPr>
            <w:r>
              <w:rPr>
                <w:b w:val="false"/>
                <w:bCs w:val="false"/>
                <w:sz w:val="20"/>
                <w:szCs w:val="20"/>
              </w:rPr>
              <w:t xml:space="preserve">NDWI, SAR backscatter drop</w:t>
            </w:r>
          </w:p>
        </w:tc>
        <w:tc>
          <w:tcPr>
            <w:tcW w:type="dxa" w:w="4680"/>
          </w:tcPr>
          <w:p>
            <w:pPr>
              <w:spacing w:after="60"/>
            </w:pPr>
            <w:r>
              <w:rPr>
                <w:b w:val="false"/>
                <w:bCs w:val="false"/>
                <w:sz w:val="20"/>
                <w:szCs w:val="20"/>
              </w:rPr>
              <w:t xml:space="preserve">drainage failure after heavy rain</w:t>
            </w:r>
          </w:p>
        </w:tc>
      </w:tr>
      <w:tr>
        <w:tc>
          <w:tcPr>
            <w:tcW w:type="dxa" w:w="2340"/>
          </w:tcPr>
          <w:p>
            <w:pPr>
              <w:spacing w:after="60"/>
            </w:pPr>
            <w:r>
              <w:rPr>
                <w:b w:val="false"/>
                <w:bCs w:val="false"/>
                <w:sz w:val="20"/>
                <w:szCs w:val="20"/>
              </w:rPr>
              <w:t xml:space="preserve">Field boundary / plot delineation</w:t>
            </w:r>
          </w:p>
        </w:tc>
        <w:tc>
          <w:tcPr>
            <w:tcW w:type="dxa" w:w="2340"/>
          </w:tcPr>
          <w:p>
            <w:pPr>
              <w:spacing w:after="60"/>
            </w:pPr>
            <w:r>
              <w:rPr>
                <w:b w:val="false"/>
                <w:bCs w:val="false"/>
                <w:sz w:val="20"/>
                <w:szCs w:val="20"/>
              </w:rPr>
              <w:t xml:space="preserve">sub-metre optical or edge algorithms</w:t>
            </w:r>
          </w:p>
        </w:tc>
        <w:tc>
          <w:tcPr>
            <w:tcW w:type="dxa" w:w="4680"/>
          </w:tcPr>
          <w:p>
            <w:pPr>
              <w:spacing w:after="60"/>
            </w:pPr>
            <w:r>
              <w:rPr>
                <w:b w:val="false"/>
                <w:bCs w:val="false"/>
                <w:sz w:val="20"/>
                <w:szCs w:val="20"/>
              </w:rPr>
              <w:t xml:space="preserve">plot geometry, not always needed if farmer has drawn it</w:t>
            </w:r>
          </w:p>
        </w:tc>
      </w:tr>
      <w:tr>
        <w:tc>
          <w:tcPr>
            <w:tcW w:type="dxa" w:w="2340"/>
          </w:tcPr>
          <w:p>
            <w:pPr>
              <w:spacing w:after="60"/>
            </w:pPr>
            <w:r>
              <w:rPr>
                <w:b w:val="false"/>
                <w:bCs w:val="false"/>
                <w:sz w:val="20"/>
                <w:szCs w:val="20"/>
              </w:rPr>
              <w:t xml:space="preserve">Land preparation timing</w:t>
            </w:r>
          </w:p>
        </w:tc>
        <w:tc>
          <w:tcPr>
            <w:tcW w:type="dxa" w:w="2340"/>
          </w:tcPr>
          <w:p>
            <w:pPr>
              <w:spacing w:after="60"/>
            </w:pPr>
            <w:r>
              <w:rPr>
                <w:b w:val="false"/>
                <w:bCs w:val="false"/>
                <w:sz w:val="20"/>
                <w:szCs w:val="20"/>
              </w:rPr>
              <w:t xml:space="preserve">SAR temporal decorrelation, NDVI drop-to-bare-soil</w:t>
            </w:r>
          </w:p>
        </w:tc>
        <w:tc>
          <w:tcPr>
            <w:tcW w:type="dxa" w:w="4680"/>
          </w:tcPr>
          <w:p>
            <w:pPr>
              <w:spacing w:after="60"/>
            </w:pPr>
            <w:r>
              <w:rPr>
                <w:b w:val="false"/>
                <w:bCs w:val="false"/>
                <w:sz w:val="20"/>
                <w:szCs w:val="20"/>
              </w:rPr>
              <w:t xml:space="preserve">tillage event detection</w:t>
            </w:r>
          </w:p>
        </w:tc>
      </w:tr>
      <w:tr>
        <w:tc>
          <w:tcPr>
            <w:tcW w:type="dxa" w:w="2340"/>
          </w:tcPr>
          <w:p>
            <w:pPr>
              <w:spacing w:after="60"/>
            </w:pPr>
            <w:r>
              <w:rPr>
                <w:b w:val="false"/>
                <w:bCs w:val="false"/>
                <w:sz w:val="20"/>
                <w:szCs w:val="20"/>
              </w:rPr>
              <w:t xml:space="preserve">Residue burning</w:t>
            </w:r>
          </w:p>
        </w:tc>
        <w:tc>
          <w:tcPr>
            <w:tcW w:type="dxa" w:w="2340"/>
          </w:tcPr>
          <w:p>
            <w:pPr>
              <w:spacing w:after="60"/>
            </w:pPr>
            <w:r>
              <w:rPr>
                <w:b w:val="false"/>
                <w:bCs w:val="false"/>
                <w:sz w:val="20"/>
                <w:szCs w:val="20"/>
              </w:rPr>
              <w:t xml:space="preserve">NBR drop, thermal anomaly</w:t>
            </w:r>
          </w:p>
        </w:tc>
        <w:tc>
          <w:tcPr>
            <w:tcW w:type="dxa" w:w="4680"/>
          </w:tcPr>
          <w:p>
            <w:pPr>
              <w:spacing w:after="60"/>
            </w:pPr>
            <w:r>
              <w:rPr>
                <w:b w:val="false"/>
                <w:bCs w:val="false"/>
                <w:sz w:val="20"/>
                <w:szCs w:val="20"/>
              </w:rPr>
              <w:t xml:space="preserve">compliance check</w:t>
            </w:r>
          </w:p>
        </w:tc>
      </w:tr>
    </w:tbl>
    <w:p>
      <w:pPr>
        <w:pStyle w:val="Heading2"/>
        <w:spacing w:after="150" w:before="300"/>
      </w:pPr>
      <w:r>
        <w:rPr>
          <w:b/>
          <w:bCs/>
          <w:sz w:val="26"/>
          <w:szCs w:val="26"/>
        </w:rPr>
        <w:t xml:space="preserve">5.3 What satellite CANNOT see for ginger — उपग्रह काय दाखवत नाही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shd w:fill="DCE6F1" w:color="auto" w:val="clear"/>
          </w:tcPr>
          <w:p>
            <w:pPr>
              <w:spacing w:after="60"/>
            </w:pPr>
            <w:r>
              <w:rPr>
                <w:b/>
                <w:bCs/>
                <w:sz w:val="20"/>
                <w:szCs w:val="20"/>
              </w:rPr>
              <w:t xml:space="preserve">Non-observable</w:t>
            </w:r>
          </w:p>
        </w:tc>
        <w:tc>
          <w:tcPr>
            <w:tcW w:type="dxa" w:w="3510"/>
            <w:shd w:fill="DCE6F1" w:color="auto" w:val="clear"/>
          </w:tcPr>
          <w:p>
            <w:pPr>
              <w:spacing w:after="60"/>
            </w:pPr>
            <w:r>
              <w:rPr>
                <w:b/>
                <w:bCs/>
                <w:sz w:val="20"/>
                <w:szCs w:val="20"/>
              </w:rPr>
              <w:t xml:space="preserve">Why</w:t>
            </w:r>
          </w:p>
        </w:tc>
        <w:tc>
          <w:tcPr>
            <w:tcW w:type="dxa" w:w="3510"/>
            <w:shd w:fill="DCE6F1" w:color="auto" w:val="clear"/>
          </w:tcPr>
          <w:p>
            <w:pPr>
              <w:spacing w:after="60"/>
            </w:pPr>
            <w:r>
              <w:rPr>
                <w:b/>
                <w:bCs/>
                <w:sz w:val="20"/>
                <w:szCs w:val="20"/>
              </w:rPr>
              <w:t xml:space="preserve">What replaces it</w:t>
            </w:r>
          </w:p>
        </w:tc>
      </w:tr>
      <w:tr>
        <w:tc>
          <w:tcPr>
            <w:tcW w:type="dxa" w:w="2340"/>
          </w:tcPr>
          <w:p>
            <w:pPr>
              <w:spacing w:after="60"/>
            </w:pPr>
            <w:r>
              <w:rPr>
                <w:b w:val="false"/>
                <w:bCs w:val="false"/>
                <w:sz w:val="20"/>
                <w:szCs w:val="20"/>
              </w:rPr>
              <w:t xml:space="preserve">Rhizome development</w:t>
            </w:r>
          </w:p>
        </w:tc>
        <w:tc>
          <w:tcPr>
            <w:tcW w:type="dxa" w:w="3510"/>
          </w:tcPr>
          <w:p>
            <w:pPr>
              <w:spacing w:after="60"/>
            </w:pPr>
            <w:r>
              <w:rPr>
                <w:b w:val="false"/>
                <w:bCs w:val="false"/>
                <w:sz w:val="20"/>
                <w:szCs w:val="20"/>
              </w:rPr>
              <w:t xml:space="preserve">buried under 15–25 cm of soil and mulch</w:t>
            </w:r>
          </w:p>
        </w:tc>
        <w:tc>
          <w:tcPr>
            <w:tcW w:type="dxa" w:w="3510"/>
          </w:tcPr>
          <w:p>
            <w:pPr>
              <w:spacing w:after="60"/>
            </w:pPr>
            <w:r>
              <w:rPr>
                <w:b w:val="false"/>
                <w:bCs w:val="false"/>
                <w:sz w:val="20"/>
                <w:szCs w:val="20"/>
              </w:rPr>
              <w:t xml:space="preserve">DAP + stage rules from D01; expert diagnostic branch</w:t>
            </w:r>
          </w:p>
        </w:tc>
      </w:tr>
      <w:tr>
        <w:tc>
          <w:tcPr>
            <w:tcW w:type="dxa" w:w="2340"/>
          </w:tcPr>
          <w:p>
            <w:pPr>
              <w:spacing w:after="60"/>
            </w:pPr>
            <w:r>
              <w:rPr>
                <w:b w:val="false"/>
                <w:bCs w:val="false"/>
                <w:sz w:val="20"/>
                <w:szCs w:val="20"/>
              </w:rPr>
              <w:t xml:space="preserve">Rhizome rot in a canopy that still looks healthy</w:t>
            </w:r>
          </w:p>
        </w:tc>
        <w:tc>
          <w:tcPr>
            <w:tcW w:type="dxa" w:w="3510"/>
          </w:tcPr>
          <w:p>
            <w:pPr>
              <w:spacing w:after="60"/>
            </w:pPr>
            <w:r>
              <w:rPr>
                <w:b w:val="false"/>
                <w:bCs w:val="false"/>
                <w:sz w:val="20"/>
                <w:szCs w:val="20"/>
              </w:rPr>
              <w:t xml:space="preserve">the canopy signal is decoupled from below-ground pathology for weeks</w:t>
            </w:r>
          </w:p>
        </w:tc>
        <w:tc>
          <w:tcPr>
            <w:tcW w:type="dxa" w:w="3510"/>
          </w:tcPr>
          <w:p>
            <w:pPr>
              <w:spacing w:after="60"/>
            </w:pPr>
            <w:r>
              <w:rPr>
                <w:b w:val="false"/>
                <w:bCs w:val="false"/>
                <w:sz w:val="20"/>
                <w:szCs w:val="20"/>
              </w:rPr>
              <w:t xml:space="preserve">soil-moisture and EC anomaly from the sub-node; farmer scouting; D06 differential</w:t>
            </w:r>
          </w:p>
        </w:tc>
      </w:tr>
      <w:tr>
        <w:tc>
          <w:tcPr>
            <w:tcW w:type="dxa" w:w="2340"/>
          </w:tcPr>
          <w:p>
            <w:pPr>
              <w:spacing w:after="60"/>
            </w:pPr>
            <w:r>
              <w:rPr>
                <w:b w:val="false"/>
                <w:bCs w:val="false"/>
                <w:sz w:val="20"/>
                <w:szCs w:val="20"/>
              </w:rPr>
              <w:t xml:space="preserve">Bacterial wilt early stage</w:t>
            </w:r>
          </w:p>
        </w:tc>
        <w:tc>
          <w:tcPr>
            <w:tcW w:type="dxa" w:w="3510"/>
          </w:tcPr>
          <w:p>
            <w:pPr>
              <w:spacing w:after="60"/>
            </w:pPr>
            <w:r>
              <w:rPr>
                <w:b w:val="false"/>
                <w:bCs w:val="false"/>
                <w:sz w:val="20"/>
                <w:szCs w:val="20"/>
              </w:rPr>
              <w:t xml:space="preserve">internal vascular disease with no early canopy signature</w:t>
            </w:r>
          </w:p>
        </w:tc>
        <w:tc>
          <w:tcPr>
            <w:tcW w:type="dxa" w:w="3510"/>
          </w:tcPr>
          <w:p>
            <w:pPr>
              <w:spacing w:after="60"/>
            </w:pPr>
            <w:r>
              <w:rPr>
                <w:b w:val="false"/>
                <w:bCs w:val="false"/>
                <w:sz w:val="20"/>
                <w:szCs w:val="20"/>
              </w:rPr>
              <w:t xml:space="preserve">symptomatic diagnostic from D06; no fungicide response (immutable D06-CH-001)</w:t>
            </w:r>
          </w:p>
        </w:tc>
      </w:tr>
      <w:tr>
        <w:tc>
          <w:tcPr>
            <w:tcW w:type="dxa" w:w="2340"/>
          </w:tcPr>
          <w:p>
            <w:pPr>
              <w:spacing w:after="60"/>
            </w:pPr>
            <w:r>
              <w:rPr>
                <w:b w:val="false"/>
                <w:bCs w:val="false"/>
                <w:sz w:val="20"/>
                <w:szCs w:val="20"/>
              </w:rPr>
              <w:t xml:space="preserve">Rhizome fly damage</w:t>
            </w:r>
          </w:p>
        </w:tc>
        <w:tc>
          <w:tcPr>
            <w:tcW w:type="dxa" w:w="3510"/>
          </w:tcPr>
          <w:p>
            <w:pPr>
              <w:spacing w:after="60"/>
            </w:pPr>
            <w:r>
              <w:rPr>
                <w:b w:val="false"/>
                <w:bCs w:val="false"/>
                <w:sz w:val="20"/>
                <w:szCs w:val="20"/>
              </w:rPr>
              <w:t xml:space="preserve">stem-base symptoms only appear as canopy signal after tunnels are extensive</w:t>
            </w:r>
          </w:p>
        </w:tc>
        <w:tc>
          <w:tcPr>
            <w:tcW w:type="dxa" w:w="3510"/>
          </w:tcPr>
          <w:p>
            <w:pPr>
              <w:spacing w:after="60"/>
            </w:pPr>
            <w:r>
              <w:rPr>
                <w:b w:val="false"/>
                <w:bCs w:val="false"/>
                <w:sz w:val="20"/>
                <w:szCs w:val="20"/>
              </w:rPr>
              <w:t xml:space="preserve">sub-node soil moisture + operator scouting</w:t>
            </w:r>
          </w:p>
        </w:tc>
      </w:tr>
      <w:tr>
        <w:tc>
          <w:tcPr>
            <w:tcW w:type="dxa" w:w="2340"/>
          </w:tcPr>
          <w:p>
            <w:pPr>
              <w:spacing w:after="60"/>
            </w:pPr>
            <w:r>
              <w:rPr>
                <w:b w:val="false"/>
                <w:bCs w:val="false"/>
                <w:sz w:val="20"/>
                <w:szCs w:val="20"/>
              </w:rPr>
              <w:t xml:space="preserve">Nutrient content of the rhizome</w:t>
            </w:r>
          </w:p>
        </w:tc>
        <w:tc>
          <w:tcPr>
            <w:tcW w:type="dxa" w:w="3510"/>
          </w:tcPr>
          <w:p>
            <w:pPr>
              <w:spacing w:after="60"/>
            </w:pPr>
            <w:r>
              <w:rPr>
                <w:b w:val="false"/>
                <w:bCs w:val="false"/>
                <w:sz w:val="20"/>
                <w:szCs w:val="20"/>
              </w:rPr>
              <w:t xml:space="preserve">no reflectance signature for below-ground tissue</w:t>
            </w:r>
          </w:p>
        </w:tc>
        <w:tc>
          <w:tcPr>
            <w:tcW w:type="dxa" w:w="3510"/>
          </w:tcPr>
          <w:p>
            <w:pPr>
              <w:spacing w:after="60"/>
            </w:pPr>
            <w:r>
              <w:rPr>
                <w:b w:val="false"/>
                <w:bCs w:val="false"/>
                <w:sz w:val="20"/>
                <w:szCs w:val="20"/>
              </w:rPr>
              <w:t xml:space="preserve">soil test at plot establishment; leaf tissue proxy</w:t>
            </w:r>
          </w:p>
        </w:tc>
      </w:tr>
      <w:tr>
        <w:tc>
          <w:tcPr>
            <w:tcW w:type="dxa" w:w="2340"/>
          </w:tcPr>
          <w:p>
            <w:pPr>
              <w:spacing w:after="60"/>
            </w:pPr>
            <w:r>
              <w:rPr>
                <w:b w:val="false"/>
                <w:bCs w:val="false"/>
                <w:sz w:val="20"/>
                <w:szCs w:val="20"/>
              </w:rPr>
              <w:t xml:space="preserve">Yield at harvest with usable precision</w:t>
            </w:r>
          </w:p>
        </w:tc>
        <w:tc>
          <w:tcPr>
            <w:tcW w:type="dxa" w:w="3510"/>
          </w:tcPr>
          <w:p>
            <w:pPr>
              <w:spacing w:after="60"/>
            </w:pPr>
            <w:r>
              <w:rPr>
                <w:b w:val="false"/>
                <w:bCs w:val="false"/>
                <w:sz w:val="20"/>
                <w:szCs w:val="20"/>
              </w:rPr>
              <w:t xml:space="preserve">canopy biomass at G4 correlates weakly with rhizome yield</w:t>
            </w:r>
          </w:p>
        </w:tc>
        <w:tc>
          <w:tcPr>
            <w:tcW w:type="dxa" w:w="3510"/>
          </w:tcPr>
          <w:p>
            <w:pPr>
              <w:spacing w:after="60"/>
            </w:pPr>
            <w:r>
              <w:rPr>
                <w:b w:val="false"/>
                <w:bCs w:val="false"/>
                <w:sz w:val="20"/>
                <w:szCs w:val="20"/>
              </w:rPr>
              <w:t xml:space="preserve">yield estimation is prohibited as a product claim in D12 anyway</w:t>
            </w:r>
          </w:p>
        </w:tc>
      </w:tr>
    </w:tbl>
    <w:p>
      <w:pPr>
        <w:pStyle w:val="Heading2"/>
        <w:spacing w:after="150" w:before="300"/>
      </w:pPr>
      <w:r>
        <w:rPr>
          <w:b/>
          <w:bCs/>
          <w:sz w:val="26"/>
          <w:szCs w:val="26"/>
        </w:rPr>
        <w:t xml:space="preserve">5.4 The decoupling window — विभेद खिडकी</w:t>
      </w:r>
    </w:p>
    <w:p>
      <w:pPr>
        <w:spacing w:after="120"/>
      </w:pPr>
      <w:r>
        <w:t xml:space="preserve">Field pathology literature and farmer testimony agree that rhizome rot in ginger can progress for two to three weeks before the canopy shows a definite response. During this window a satellite NDVI curve continues to look normal. This is the decoupling window and it is the reason satellite alone cannot be a rot-early-warning tool for ginger.</w:t>
      </w:r>
    </w:p>
    <w:p>
      <w:pPr>
        <w:spacing w:after="120"/>
      </w:pPr>
      <w:r>
        <w:t xml:space="preserve">क्षेत्रीय अभ्यास व शेतकऱ्यांचे अनुभव यांत एकमत आहे — आल्यातील गड्ड्याची कूज दोन ते तीन आठवडे शांतपणे वाढते व मग वरून पर्णसमूहात लक्षण दिसते. या खिडकीत NDVI वक्र सामान्य दिसतो. म्हणूनच फक्त उपग्रहावर आधारित कूज-सूचना यंत्रणा आल्यासाठी पुरेशी नाही.</w:t>
      </w:r>
    </w:p>
    <w:p>
      <w:pPr>
        <w:pStyle w:val="Heading2"/>
        <w:spacing w:after="150" w:before="300"/>
      </w:pPr>
      <w:r>
        <w:rPr>
          <w:b/>
          <w:bCs/>
          <w:sz w:val="26"/>
          <w:szCs w:val="26"/>
        </w:rPr>
        <w:t xml:space="preserve">5.5 Rule of engagement — यावर आधारित तत्त्व</w:t>
      </w:r>
    </w:p>
    <w:p>
      <w:pPr>
        <w:pStyle w:val="ListParagraph"/>
        <w:numPr>
          <w:ilvl w:val="0"/>
          <w:numId w:val="1"/>
        </w:numPr>
        <w:spacing w:after="80"/>
      </w:pPr>
      <w:r>
        <w:t xml:space="preserve">Satellite-derived canopy alerts for ginger are ALWAYS marked "canopy signal only". They are never sold as "rhizome" alerts.</w:t>
      </w:r>
    </w:p>
    <w:p>
      <w:pPr>
        <w:pStyle w:val="ListParagraph"/>
        <w:numPr>
          <w:ilvl w:val="0"/>
          <w:numId w:val="1"/>
        </w:numPr>
        <w:spacing w:after="80"/>
      </w:pPr>
      <w:r>
        <w:t xml:space="preserve">Satellite NDVI drops trigger a scouting request or a soil-sensor re-check, not a chemical intervention.</w:t>
      </w:r>
    </w:p>
    <w:p>
      <w:pPr>
        <w:pStyle w:val="ListParagraph"/>
        <w:numPr>
          <w:ilvl w:val="0"/>
          <w:numId w:val="1"/>
        </w:numPr>
        <w:spacing w:after="80"/>
      </w:pPr>
      <w:r>
        <w:t xml:space="preserve">Satellite is used to detect the ABSENCE of a stress signal (a healthy curve) with high confidence, and the PRESENCE of a stress signal with lower confidence.</w:t>
      </w:r>
    </w:p>
    <w:p>
      <w:pPr>
        <w:pStyle w:val="ListParagraph"/>
        <w:numPr>
          <w:ilvl w:val="0"/>
          <w:numId w:val="1"/>
        </w:numPr>
        <w:spacing w:after="80"/>
      </w:pPr>
      <w:r>
        <w:t xml:space="preserve">For rhizome rot specifically, the satellite signal is the LATE indicator, not the early one. The sub-node soil moisture pattern is the early indicator; D06 already has the rules.</w:t>
      </w:r>
    </w:p>
    <w:p>
      <w:pPr>
        <w:pStyle w:val="ListParagraph"/>
        <w:numPr>
          <w:ilvl w:val="0"/>
          <w:numId w:val="1"/>
        </w:numPr>
        <w:spacing w:after="80"/>
      </w:pPr>
      <w:r>
        <w:t xml:space="preserve">The customer message must never overstate. Prohibited claim in D12 extended: "satellite tells you when to lift the crop" is false — no free satellite has the resolution to measure rhizome maturity.</w:t>
      </w:r>
    </w:p>
    <w:p>
      <w:pPr>
        <w:pStyle w:val="Heading2"/>
        <w:spacing w:after="150" w:before="300"/>
      </w:pPr>
      <w:r>
        <w:rPr>
          <w:b/>
          <w:bCs/>
          <w:sz w:val="26"/>
          <w:szCs w:val="26"/>
        </w:rPr>
        <w:t xml:space="preserve">5.6 Falsifiable field test to design in Season 1 — पहिल्या हंगामातील चाचणी</w:t>
      </w:r>
    </w:p>
    <w:p>
      <w:pPr>
        <w:spacing w:after="120"/>
      </w:pPr>
      <w:r>
        <w:t xml:space="preserve">At each plot where rhizome rot is confirmed by ground observation, log the date of confirmation. Extract the NDVI, NDRE and NDMI time series for the plot over the previous 30 days. Measure the number of days between the first satellite anomaly and the ground confirmation. Publish the distribution. If the median lead time is negative or under three days, satellite is a lag indicator for rot and the rule set must reflect that. If it is over seven days, the satellite has genuine early-warning value and rules can be strengthened.</w:t>
      </w:r>
    </w:p>
    <w:p>
      <w:pPr>
        <w:spacing w:after="300" w:before="200"/>
      </w:pPr>
      <w:r>
        <w:rPr>
          <w:i/>
          <w:iCs/>
          <w:sz w:val="20"/>
          <w:szCs w:val="20"/>
        </w:rPr>
        <w:t xml:space="preserve">Sources: Agro-Guardian Ginger KB architecture §14 known-gaps note; Domain 6 differential-diagnosis and rot etiology; ICAR-Indian Institute of Spices Research (Kozhikode) ginger disease handbook; NRCG Kannauj ginger production notes; local farmer testimony recorded in the Domain 6 RAW MASTER (July 2026).</w:t>
      </w:r>
    </w:p>
    <w:p>
      <w:r>
        <w:br w:type="page"/>
      </w:r>
    </w:p>
    <w:p>
      <w:pPr>
        <w:pStyle w:val="Heading1"/>
        <w:spacing w:after="200" w:before="400"/>
      </w:pPr>
      <w:r>
        <w:rPr>
          <w:b/>
          <w:bCs/>
          <w:sz w:val="32"/>
          <w:szCs w:val="32"/>
        </w:rPr>
        <w:t xml:space="preserve">SECTION 6. Synthetic Aperture Radar — रडार डेटा</w:t>
      </w:r>
    </w:p>
    <w:p>
      <w:pPr>
        <w:pStyle w:val="Heading2"/>
        <w:spacing w:after="150" w:before="300"/>
      </w:pPr>
      <w:r>
        <w:rPr>
          <w:b/>
          <w:bCs/>
          <w:sz w:val="26"/>
          <w:szCs w:val="26"/>
        </w:rPr>
        <w:t xml:space="preserve">6.1 Why SAR matters here — रडारचे महत्त्व</w:t>
      </w:r>
    </w:p>
    <w:p>
      <w:pPr>
        <w:spacing w:after="120"/>
      </w:pPr>
      <w:r>
        <w:t xml:space="preserve">Kannad receives its ginger-critical rainfall between June and October, which is exactly when optical satellite is blinded by cloud. Sentinel-1 is a C-band SAR that sees through cloud, day or night, and delivers a usable observation every 6 to 12 days over India. For half the ginger season it is the only satellite input available.</w:t>
      </w:r>
    </w:p>
    <w:p>
      <w:pPr>
        <w:spacing w:after="120"/>
      </w:pPr>
      <w:r>
        <w:t xml:space="preserve">Kannad मध्ये आल्याच्या दृष्टीने महत्त्वाचा पाऊस जून–ऑक्टोबरमध्ये पडतो, हाच काळ ढगांमुळे optical उपग्रह अंधळा असतो. Sentinel-1 हा C-band SAR — ढगांतून, रात्रीही, दर ६–१२ दिवसांनी एक निरीक्षण देतो. आल्याच्या हंगामाच्या अर्ध्या काळात हा एकच उपग्रह इनपुट उपलब्ध असतो.</w:t>
      </w:r>
    </w:p>
    <w:p>
      <w:pPr>
        <w:pStyle w:val="Heading2"/>
        <w:spacing w:after="150" w:before="300"/>
      </w:pPr>
      <w:r>
        <w:rPr>
          <w:b/>
          <w:bCs/>
          <w:sz w:val="26"/>
          <w:szCs w:val="26"/>
        </w:rPr>
        <w:t xml:space="preserve">6.2 What Sentinel-1 measures — काय मोजते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2700"/>
        <w:gridCol w:w="2960"/>
      </w:tblGrid>
      <w:tr>
        <w:trPr>
          <w:tblHeader/>
        </w:trPr>
        <w:tc>
          <w:tcPr>
            <w:tcW w:type="dxa" w:w="1900"/>
            <w:shd w:fill="DCE6F1" w:color="auto" w:val="clear"/>
          </w:tcPr>
          <w:p>
            <w:pPr>
              <w:spacing w:after="60"/>
            </w:pPr>
            <w:r>
              <w:rPr>
                <w:b/>
                <w:bCs/>
                <w:sz w:val="20"/>
                <w:szCs w:val="20"/>
              </w:rPr>
              <w:t xml:space="preserve">Product</w:t>
            </w:r>
          </w:p>
        </w:tc>
        <w:tc>
          <w:tcPr>
            <w:tcW w:type="dxa" w:w="1800"/>
            <w:shd w:fill="DCE6F1" w:color="auto" w:val="clear"/>
          </w:tcPr>
          <w:p>
            <w:pPr>
              <w:spacing w:after="60"/>
            </w:pPr>
            <w:r>
              <w:rPr>
                <w:b/>
                <w:bCs/>
                <w:sz w:val="20"/>
                <w:szCs w:val="20"/>
              </w:rPr>
              <w:t xml:space="preserve">Polarisation</w:t>
            </w:r>
          </w:p>
        </w:tc>
        <w:tc>
          <w:tcPr>
            <w:tcW w:type="dxa" w:w="2700"/>
            <w:shd w:fill="DCE6F1" w:color="auto" w:val="clear"/>
          </w:tcPr>
          <w:p>
            <w:pPr>
              <w:spacing w:after="60"/>
            </w:pPr>
            <w:r>
              <w:rPr>
                <w:b/>
                <w:bCs/>
                <w:sz w:val="20"/>
                <w:szCs w:val="20"/>
              </w:rPr>
              <w:t xml:space="preserve">Physical meaning</w:t>
            </w:r>
          </w:p>
        </w:tc>
        <w:tc>
          <w:tcPr>
            <w:tcW w:type="dxa" w:w="2960"/>
            <w:shd w:fill="DCE6F1" w:color="auto" w:val="clear"/>
          </w:tcPr>
          <w:p>
            <w:pPr>
              <w:spacing w:after="60"/>
            </w:pPr>
            <w:r>
              <w:rPr>
                <w:b/>
                <w:bCs/>
                <w:sz w:val="20"/>
                <w:szCs w:val="20"/>
              </w:rPr>
              <w:t xml:space="preserve">Ginger use</w:t>
            </w:r>
          </w:p>
        </w:tc>
      </w:tr>
      <w:tr>
        <w:tc>
          <w:tcPr>
            <w:tcW w:type="dxa" w:w="1900"/>
          </w:tcPr>
          <w:p>
            <w:pPr>
              <w:spacing w:after="60"/>
            </w:pPr>
            <w:r>
              <w:rPr>
                <w:b w:val="false"/>
                <w:bCs w:val="false"/>
                <w:sz w:val="20"/>
                <w:szCs w:val="20"/>
              </w:rPr>
              <w:t xml:space="preserve">σ⁰ VV (dB)</w:t>
            </w:r>
          </w:p>
        </w:tc>
        <w:tc>
          <w:tcPr>
            <w:tcW w:type="dxa" w:w="1800"/>
          </w:tcPr>
          <w:p>
            <w:pPr>
              <w:spacing w:after="60"/>
            </w:pPr>
            <w:r>
              <w:rPr>
                <w:b w:val="false"/>
                <w:bCs w:val="false"/>
                <w:sz w:val="20"/>
                <w:szCs w:val="20"/>
              </w:rPr>
              <w:t xml:space="preserve">V-transmit, V-receive</w:t>
            </w:r>
          </w:p>
        </w:tc>
        <w:tc>
          <w:tcPr>
            <w:tcW w:type="dxa" w:w="2700"/>
          </w:tcPr>
          <w:p>
            <w:pPr>
              <w:spacing w:after="60"/>
            </w:pPr>
            <w:r>
              <w:rPr>
                <w:b w:val="false"/>
                <w:bCs w:val="false"/>
                <w:sz w:val="20"/>
                <w:szCs w:val="20"/>
              </w:rPr>
              <w:t xml:space="preserve">surface roughness + moisture; strong on bare wet soil</w:t>
            </w:r>
          </w:p>
        </w:tc>
        <w:tc>
          <w:tcPr>
            <w:tcW w:type="dxa" w:w="2960"/>
          </w:tcPr>
          <w:p>
            <w:pPr>
              <w:spacing w:after="60"/>
            </w:pPr>
            <w:r>
              <w:rPr>
                <w:b w:val="false"/>
                <w:bCs w:val="false"/>
                <w:sz w:val="20"/>
                <w:szCs w:val="20"/>
              </w:rPr>
              <w:t xml:space="preserve">primary channel for soil moisture change detection</w:t>
            </w:r>
          </w:p>
        </w:tc>
      </w:tr>
      <w:tr>
        <w:tc>
          <w:tcPr>
            <w:tcW w:type="dxa" w:w="1900"/>
          </w:tcPr>
          <w:p>
            <w:pPr>
              <w:spacing w:after="60"/>
            </w:pPr>
            <w:r>
              <w:rPr>
                <w:b w:val="false"/>
                <w:bCs w:val="false"/>
                <w:sz w:val="20"/>
                <w:szCs w:val="20"/>
              </w:rPr>
              <w:t xml:space="preserve">σ⁰ VH (dB)</w:t>
            </w:r>
          </w:p>
        </w:tc>
        <w:tc>
          <w:tcPr>
            <w:tcW w:type="dxa" w:w="1800"/>
          </w:tcPr>
          <w:p>
            <w:pPr>
              <w:spacing w:after="60"/>
            </w:pPr>
            <w:r>
              <w:rPr>
                <w:b w:val="false"/>
                <w:bCs w:val="false"/>
                <w:sz w:val="20"/>
                <w:szCs w:val="20"/>
              </w:rPr>
              <w:t xml:space="preserve">V-transmit, H-receive</w:t>
            </w:r>
          </w:p>
        </w:tc>
        <w:tc>
          <w:tcPr>
            <w:tcW w:type="dxa" w:w="2700"/>
          </w:tcPr>
          <w:p>
            <w:pPr>
              <w:spacing w:after="60"/>
            </w:pPr>
            <w:r>
              <w:rPr>
                <w:b w:val="false"/>
                <w:bCs w:val="false"/>
                <w:sz w:val="20"/>
                <w:szCs w:val="20"/>
              </w:rPr>
              <w:t xml:space="preserve">volume scattering; sensitive to canopy structure</w:t>
            </w:r>
          </w:p>
        </w:tc>
        <w:tc>
          <w:tcPr>
            <w:tcW w:type="dxa" w:w="2960"/>
          </w:tcPr>
          <w:p>
            <w:pPr>
              <w:spacing w:after="60"/>
            </w:pPr>
            <w:r>
              <w:rPr>
                <w:b w:val="false"/>
                <w:bCs w:val="false"/>
                <w:sz w:val="20"/>
                <w:szCs w:val="20"/>
              </w:rPr>
              <w:t xml:space="preserve">canopy density proxy; correlates with LAI once canopy has closed</w:t>
            </w:r>
          </w:p>
        </w:tc>
      </w:tr>
      <w:tr>
        <w:tc>
          <w:tcPr>
            <w:tcW w:type="dxa" w:w="1900"/>
          </w:tcPr>
          <w:p>
            <w:pPr>
              <w:spacing w:after="60"/>
            </w:pPr>
            <w:r>
              <w:rPr>
                <w:b w:val="false"/>
                <w:bCs w:val="false"/>
                <w:sz w:val="20"/>
                <w:szCs w:val="20"/>
              </w:rPr>
              <w:t xml:space="preserve">VV−VH difference</w:t>
            </w:r>
          </w:p>
        </w:tc>
        <w:tc>
          <w:tcPr>
            <w:tcW w:type="dxa" w:w="1800"/>
          </w:tcPr>
          <w:p>
            <w:pPr>
              <w:spacing w:after="60"/>
            </w:pPr>
            <w:r>
              <w:rPr>
                <w:b w:val="false"/>
                <w:bCs w:val="false"/>
                <w:sz w:val="20"/>
                <w:szCs w:val="20"/>
              </w:rPr>
              <w:t xml:space="preserve">−</w:t>
            </w:r>
          </w:p>
        </w:tc>
        <w:tc>
          <w:tcPr>
            <w:tcW w:type="dxa" w:w="2700"/>
          </w:tcPr>
          <w:p>
            <w:pPr>
              <w:spacing w:after="60"/>
            </w:pPr>
            <w:r>
              <w:rPr>
                <w:b w:val="false"/>
                <w:bCs w:val="false"/>
                <w:sz w:val="20"/>
                <w:szCs w:val="20"/>
              </w:rPr>
              <w:t xml:space="preserve">discriminates soil-dominant vs canopy-dominant scenes</w:t>
            </w:r>
          </w:p>
        </w:tc>
        <w:tc>
          <w:tcPr>
            <w:tcW w:type="dxa" w:w="2960"/>
          </w:tcPr>
          <w:p>
            <w:pPr>
              <w:spacing w:after="60"/>
            </w:pPr>
            <w:r>
              <w:rPr>
                <w:b w:val="false"/>
                <w:bCs w:val="false"/>
                <w:sz w:val="20"/>
                <w:szCs w:val="20"/>
              </w:rPr>
              <w:t xml:space="preserve">stage discrimination between bare G0 and canopy G2+</w:t>
            </w:r>
          </w:p>
        </w:tc>
      </w:tr>
      <w:tr>
        <w:tc>
          <w:tcPr>
            <w:tcW w:type="dxa" w:w="1900"/>
          </w:tcPr>
          <w:p>
            <w:pPr>
              <w:spacing w:after="60"/>
            </w:pPr>
            <w:r>
              <w:rPr>
                <w:b w:val="false"/>
                <w:bCs w:val="false"/>
                <w:sz w:val="20"/>
                <w:szCs w:val="20"/>
              </w:rPr>
              <w:t xml:space="preserve">RVI</w:t>
            </w:r>
          </w:p>
        </w:tc>
        <w:tc>
          <w:tcPr>
            <w:tcW w:type="dxa" w:w="1800"/>
          </w:tcPr>
          <w:p>
            <w:pPr>
              <w:spacing w:after="60"/>
            </w:pPr>
            <w:r>
              <w:rPr>
                <w:b w:val="false"/>
                <w:bCs w:val="false"/>
                <w:sz w:val="20"/>
                <w:szCs w:val="20"/>
              </w:rPr>
              <w:t xml:space="preserve">radar vegetation index</w:t>
            </w:r>
          </w:p>
        </w:tc>
        <w:tc>
          <w:tcPr>
            <w:tcW w:type="dxa" w:w="2700"/>
          </w:tcPr>
          <w:p>
            <w:pPr>
              <w:spacing w:after="60"/>
            </w:pPr>
            <w:r>
              <w:rPr>
                <w:b w:val="false"/>
                <w:bCs w:val="false"/>
                <w:sz w:val="20"/>
                <w:szCs w:val="20"/>
              </w:rPr>
              <w:t xml:space="preserve">4·VH / (VV + VH)</w:t>
            </w:r>
          </w:p>
        </w:tc>
        <w:tc>
          <w:tcPr>
            <w:tcW w:type="dxa" w:w="2960"/>
          </w:tcPr>
          <w:p>
            <w:pPr>
              <w:spacing w:after="60"/>
            </w:pPr>
            <w:r>
              <w:rPr>
                <w:b w:val="false"/>
                <w:bCs w:val="false"/>
                <w:sz w:val="20"/>
                <w:szCs w:val="20"/>
              </w:rPr>
              <w:t xml:space="preserve">analogue of NDVI, cloud-independent; useful during monsoon</w:t>
            </w:r>
          </w:p>
        </w:tc>
      </w:tr>
      <w:tr>
        <w:tc>
          <w:tcPr>
            <w:tcW w:type="dxa" w:w="1900"/>
          </w:tcPr>
          <w:p>
            <w:pPr>
              <w:spacing w:after="60"/>
            </w:pPr>
            <w:r>
              <w:rPr>
                <w:b w:val="false"/>
                <w:bCs w:val="false"/>
                <w:sz w:val="20"/>
                <w:szCs w:val="20"/>
              </w:rPr>
              <w:t xml:space="preserve">coherence (InSAR)</w:t>
            </w:r>
          </w:p>
        </w:tc>
        <w:tc>
          <w:tcPr>
            <w:tcW w:type="dxa" w:w="1800"/>
          </w:tcPr>
          <w:p>
            <w:pPr>
              <w:spacing w:after="60"/>
            </w:pPr>
            <w:r>
              <w:rPr>
                <w:b w:val="false"/>
                <w:bCs w:val="false"/>
                <w:sz w:val="20"/>
                <w:szCs w:val="20"/>
              </w:rPr>
              <w:t xml:space="preserve">temporal decorrelation</w:t>
            </w:r>
          </w:p>
        </w:tc>
        <w:tc>
          <w:tcPr>
            <w:tcW w:type="dxa" w:w="2700"/>
          </w:tcPr>
          <w:p>
            <w:pPr>
              <w:spacing w:after="60"/>
            </w:pPr>
            <w:r>
              <w:rPr>
                <w:b w:val="false"/>
                <w:bCs w:val="false"/>
                <w:sz w:val="20"/>
                <w:szCs w:val="20"/>
              </w:rPr>
              <w:t xml:space="preserve">change between two acquisitions</w:t>
            </w:r>
          </w:p>
        </w:tc>
        <w:tc>
          <w:tcPr>
            <w:tcW w:type="dxa" w:w="2960"/>
          </w:tcPr>
          <w:p>
            <w:pPr>
              <w:spacing w:after="60"/>
            </w:pPr>
            <w:r>
              <w:rPr>
                <w:b w:val="false"/>
                <w:bCs w:val="false"/>
                <w:sz w:val="20"/>
                <w:szCs w:val="20"/>
              </w:rPr>
              <w:t xml:space="preserve">tillage detection, harvest detection</w:t>
            </w:r>
          </w:p>
        </w:tc>
      </w:tr>
    </w:tbl>
    <w:p>
      <w:pPr>
        <w:pStyle w:val="Heading2"/>
        <w:spacing w:after="150" w:before="300"/>
      </w:pPr>
      <w:r>
        <w:rPr>
          <w:b/>
          <w:bCs/>
          <w:sz w:val="26"/>
          <w:szCs w:val="26"/>
        </w:rPr>
        <w:t xml:space="preserve">6.3 Soil-moisture retrieval — मृदा-ओलावा काढणी</w:t>
      </w:r>
    </w:p>
    <w:p>
      <w:pPr>
        <w:spacing w:after="120"/>
      </w:pPr>
      <w:r>
        <w:t xml:space="preserve">Absolute soil moisture from C-band SAR requires calibration to plot geometry and roughness. In the absence of local calibration, RELATIVE change is reliable: a Δσ⁰VV of more than 2 dB between acquisitions signals a wetting or drying event of practical magnitude. This alone is enough to detect drainage failure or to confirm a monsoon rainfall event on the plot even when the cluster station missed it.</w:t>
      </w:r>
    </w:p>
    <w:p>
      <w:pPr>
        <w:spacing w:after="120"/>
      </w:pPr>
      <w:r>
        <w:t xml:space="preserve">C-band SAR वरून पूर्ण मृदा-ओलावा काढण्यासाठी प्लॉट-विशिष्ट calibration आवश्यक. Local calibration नसतानाही सापेक्ष बदल विश्वसनीय आहेत: दोन acquisition मध्ये Δσ⁰VV &gt; 2 dB म्हणजे भिजण्याची किंवा वाळण्याची घटना. Cluster station चुकली तरी SAR प्लॉटवर पाऊस झाला की नाही याची पुष्टी देतो.</w:t>
      </w:r>
    </w:p>
    <w:p>
      <w:pPr>
        <w:pStyle w:val="Heading2"/>
        <w:spacing w:after="150" w:before="300"/>
      </w:pPr>
      <w:r>
        <w:rPr>
          <w:b/>
          <w:bCs/>
          <w:sz w:val="26"/>
          <w:szCs w:val="26"/>
        </w:rPr>
        <w:t xml:space="preserve">6.4 Retrieval workflow — प्रक्रिया</w:t>
      </w:r>
    </w:p>
    <w:p>
      <w:pPr>
        <w:spacing w:after="120"/>
      </w:pPr>
      <w:r>
        <w:t xml:space="preserve">The standard chain for a Sentinel-1 IW GRD scene:</w:t>
      </w:r>
    </w:p>
    <w:p>
      <w:pPr>
        <w:pStyle w:val="ListParagraph"/>
        <w:numPr>
          <w:ilvl w:val="0"/>
          <w:numId w:val="1"/>
        </w:numPr>
        <w:spacing w:after="80"/>
      </w:pPr>
      <w:r>
        <w:t xml:space="preserve">Apply precise orbit file (POE if older than 20 days, RES otherwise)</w:t>
      </w:r>
    </w:p>
    <w:p>
      <w:pPr>
        <w:pStyle w:val="ListParagraph"/>
        <w:numPr>
          <w:ilvl w:val="0"/>
          <w:numId w:val="1"/>
        </w:numPr>
        <w:spacing w:after="80"/>
      </w:pPr>
      <w:r>
        <w:t xml:space="preserve">Thermal noise removal</w:t>
      </w:r>
    </w:p>
    <w:p>
      <w:pPr>
        <w:pStyle w:val="ListParagraph"/>
        <w:numPr>
          <w:ilvl w:val="0"/>
          <w:numId w:val="1"/>
        </w:numPr>
        <w:spacing w:after="80"/>
      </w:pPr>
      <w:r>
        <w:t xml:space="preserve">Radiometric calibration to σ⁰</w:t>
      </w:r>
    </w:p>
    <w:p>
      <w:pPr>
        <w:pStyle w:val="ListParagraph"/>
        <w:numPr>
          <w:ilvl w:val="0"/>
          <w:numId w:val="1"/>
        </w:numPr>
        <w:spacing w:after="80"/>
      </w:pPr>
      <w:r>
        <w:t xml:space="preserve">Terrain flattening using an SRTM 30 m DEM</w:t>
      </w:r>
    </w:p>
    <w:p>
      <w:pPr>
        <w:pStyle w:val="ListParagraph"/>
        <w:numPr>
          <w:ilvl w:val="0"/>
          <w:numId w:val="1"/>
        </w:numPr>
        <w:spacing w:after="80"/>
      </w:pPr>
      <w:r>
        <w:t xml:space="preserve">Speckle filtering — Refined Lee, 5×5, keep the pre-filter product for reference</w:t>
      </w:r>
    </w:p>
    <w:p>
      <w:pPr>
        <w:pStyle w:val="ListParagraph"/>
        <w:numPr>
          <w:ilvl w:val="0"/>
          <w:numId w:val="1"/>
        </w:numPr>
        <w:spacing w:after="80"/>
      </w:pPr>
      <w:r>
        <w:t xml:space="preserve">Range-Doppler terrain correction to a common map projection</w:t>
      </w:r>
    </w:p>
    <w:p>
      <w:pPr>
        <w:pStyle w:val="ListParagraph"/>
        <w:numPr>
          <w:ilvl w:val="0"/>
          <w:numId w:val="1"/>
        </w:numPr>
        <w:spacing w:after="80"/>
      </w:pPr>
      <w:r>
        <w:t xml:space="preserve">Multi-look averaging to the plot polygon</w:t>
      </w:r>
    </w:p>
    <w:p>
      <w:pPr>
        <w:spacing w:after="120"/>
      </w:pPr>
      <w:r>
        <w:t xml:space="preserve">This chain is implemented cleanly in ESA SNAP, in Google Earth Engine (with COPERNICUS/S1_GRD collection), and in the Sentinel Hub statistical API. Choose one — the values will differ slightly between chains, and mixing them across time confuses trend detection.</w:t>
      </w:r>
    </w:p>
    <w:p>
      <w:pPr>
        <w:pStyle w:val="Heading2"/>
        <w:spacing w:after="150" w:before="300"/>
      </w:pPr>
      <w:r>
        <w:rPr>
          <w:b/>
          <w:bCs/>
          <w:sz w:val="26"/>
          <w:szCs w:val="26"/>
        </w:rPr>
        <w:t xml:space="preserve">6.5 Coherence for change detection — बदल शोध</w:t>
      </w:r>
    </w:p>
    <w:p>
      <w:pPr>
        <w:spacing w:after="120"/>
      </w:pPr>
      <w:r>
        <w:t xml:space="preserve">Two Sentinel-1 acquisitions of the same plot from the same orbit position can be combined into a coherence image. High coherence means the plot looks the same to the radar between the two dates; low coherence means something has physically changed — tillage, harvest, standing water arriving or leaving. Coherence loss over an unplanted plot is a strong signal that land preparation is underway. Coherence loss over a planted plot at G4 is a strong signal that harvest has started, useful for compliance and yield-window tracking.</w:t>
      </w:r>
    </w:p>
    <w:p>
      <w:pPr>
        <w:pStyle w:val="Heading2"/>
        <w:spacing w:after="150" w:before="300"/>
      </w:pPr>
      <w:r>
        <w:rPr>
          <w:b/>
          <w:bCs/>
          <w:sz w:val="26"/>
          <w:szCs w:val="26"/>
        </w:rPr>
        <w:t xml:space="preserve">6.6 Known SAR failure modes for a ginger plot — रडार अपयशाची कारणे</w:t>
      </w:r>
    </w:p>
    <w:p>
      <w:pPr>
        <w:pStyle w:val="ListParagraph"/>
        <w:numPr>
          <w:ilvl w:val="0"/>
          <w:numId w:val="1"/>
        </w:numPr>
        <w:spacing w:after="80"/>
      </w:pPr>
      <w:r>
        <w:t xml:space="preserve">Standing water inverts VV backscatter — very low VV over a wet plot can be waterlogging, not dryness</w:t>
      </w:r>
    </w:p>
    <w:p>
      <w:pPr>
        <w:pStyle w:val="ListParagraph"/>
        <w:numPr>
          <w:ilvl w:val="0"/>
          <w:numId w:val="1"/>
        </w:numPr>
        <w:spacing w:after="80"/>
      </w:pPr>
      <w:r>
        <w:t xml:space="preserve">Fresh tillage exposes bare wet clods — VV spikes high for a few days without any moisture change worth acting on</w:t>
      </w:r>
    </w:p>
    <w:p>
      <w:pPr>
        <w:pStyle w:val="ListParagraph"/>
        <w:numPr>
          <w:ilvl w:val="0"/>
          <w:numId w:val="1"/>
        </w:numPr>
        <w:spacing w:after="80"/>
      </w:pPr>
      <w:r>
        <w:t xml:space="preserve">Adjacent metal structures (transformer, pipe, sheet roof) create bright artefacts that spill into the plot pixels — mask or clip</w:t>
      </w:r>
    </w:p>
    <w:p>
      <w:pPr>
        <w:pStyle w:val="ListParagraph"/>
        <w:numPr>
          <w:ilvl w:val="0"/>
          <w:numId w:val="1"/>
        </w:numPr>
        <w:spacing w:after="80"/>
      </w:pPr>
      <w:r>
        <w:t xml:space="preserve">Layover on sloped plots (rare in Kannad but present near Ajanta hills) breaks the geometry</w:t>
      </w:r>
    </w:p>
    <w:p>
      <w:pPr>
        <w:pStyle w:val="ListParagraph"/>
        <w:numPr>
          <w:ilvl w:val="0"/>
          <w:numId w:val="1"/>
        </w:numPr>
        <w:spacing w:after="80"/>
      </w:pPr>
      <w:r>
        <w:t xml:space="preserve">SAR does not distinguish moisture at 5 cm from moisture at 20 cm — root-zone moisture from the sub-node still wins</w:t>
      </w:r>
    </w:p>
    <w:p>
      <w:pPr>
        <w:spacing w:after="300" w:before="200"/>
      </w:pPr>
      <w:r>
        <w:rPr>
          <w:i/>
          <w:iCs/>
          <w:sz w:val="20"/>
          <w:szCs w:val="20"/>
        </w:rPr>
        <w:t xml:space="preserve">Sources: ESA Sentinel-1 User Handbook; Small 2011 (Flattening Gamma); Torres et al. 2012 (Sentinel-1 mission); ICAR-CRIDA soil-moisture retrieval studies; ESA SNAP toolbox documentation; Sentinel Hub statistical API reference.</w:t>
      </w:r>
    </w:p>
    <w:p>
      <w:r>
        <w:br w:type="page"/>
      </w:r>
    </w:p>
    <w:p>
      <w:pPr>
        <w:pStyle w:val="Heading1"/>
        <w:spacing w:after="200" w:before="400"/>
      </w:pPr>
      <w:r>
        <w:rPr>
          <w:b/>
          <w:bCs/>
          <w:sz w:val="32"/>
          <w:szCs w:val="32"/>
        </w:rPr>
        <w:t xml:space="preserve">SECTION 7. Thermal and Land Surface Temperature — भूपृष्ठ तापमान</w:t>
      </w:r>
    </w:p>
    <w:p>
      <w:pPr>
        <w:pStyle w:val="Heading2"/>
        <w:spacing w:after="150" w:before="300"/>
      </w:pPr>
      <w:r>
        <w:rPr>
          <w:b/>
          <w:bCs/>
          <w:sz w:val="26"/>
          <w:szCs w:val="26"/>
        </w:rPr>
        <w:t xml:space="preserve">7.1 The thermal signal — थर्मल सिग्नल</w:t>
      </w:r>
    </w:p>
    <w:p>
      <w:pPr>
        <w:spacing w:after="120"/>
      </w:pPr>
      <w:r>
        <w:t xml:space="preserve">A canopy that is transpiring freely is cooler than the surrounding air. A canopy under water stress closes its stomata and heats up. The gap between canopy temperature and air temperature is the physical basis of the Crop Water Stress Index (CWSI). Landsat-8/9 TIRS gives us a 100 m LST retrieval every 8 days combined; MODIS gives daily but at 1 km.</w:t>
      </w:r>
    </w:p>
    <w:p>
      <w:pPr>
        <w:spacing w:after="120"/>
      </w:pPr>
      <w:r>
        <w:t xml:space="preserve">मुक्तपणे बाष्पोत्सर्जन करणारा पर्णसमूह हवेपेक्षा थंड असतो. पाणी-ताणाखालील पर्णसमूह पर्णरंध्रे बंद करून तापतो. या फरकावर CWSI उभा आहे. Landsat-8/9 TIRS दर ८ दिवसांनी १०० मी LST देतो; MODIS दैनिक पण १ किमी.</w:t>
      </w:r>
    </w:p>
    <w:p>
      <w:pPr>
        <w:pStyle w:val="Heading2"/>
        <w:spacing w:after="150" w:before="300"/>
      </w:pPr>
      <w:r>
        <w:rPr>
          <w:b/>
          <w:bCs/>
          <w:sz w:val="26"/>
          <w:szCs w:val="26"/>
        </w:rPr>
        <w:t xml:space="preserve">7.2 CWSI computation — CWSI गणना</w:t>
      </w:r>
    </w:p>
    <w:p>
      <w:pPr>
        <w:spacing w:after="120"/>
      </w:pPr>
      <w:r>
        <w:t xml:space="preserve">The empirical Idso formulation:</w:t>
      </w:r>
    </w:p>
    <w:p>
      <w:pPr>
        <w:spacing w:after="120"/>
      </w:pPr>
      <w:r>
        <w:t xml:space="preserve">   CWSI = ( (T_canopy − T_air) − (T_canopy − T_air)_lower ) / ( (T_canopy − T_air)_upper − (T_canopy − T_air)_lower )</w:t>
      </w:r>
    </w:p>
    <w:p>
      <w:pPr>
        <w:spacing w:after="120"/>
      </w:pPr>
      <w:r>
        <w:t xml:space="preserve">   where the lower baseline is the well-watered reference and the upper is the non-transpiring reference. Both baselines are VPD-dependent and must be established locally.</w:t>
      </w:r>
    </w:p>
    <w:p>
      <w:pPr>
        <w:spacing w:after="120"/>
      </w:pPr>
      <w:r>
        <w:t xml:space="preserve">    Idso चा प्रयोगजन्य सूत्र वरील. दोन्ही baselines VPD वर अवलंबून असतात व स्थानिक calibration मागतात.</w:t>
      </w:r>
    </w:p>
    <w:p>
      <w:pPr>
        <w:pStyle w:val="Heading2"/>
        <w:spacing w:after="150" w:before="300"/>
      </w:pPr>
      <w:r>
        <w:rPr>
          <w:b/>
          <w:bCs/>
          <w:sz w:val="26"/>
          <w:szCs w:val="26"/>
        </w:rPr>
        <w:t xml:space="preserve">7.3 Ginger CWSI band structure — CWSI पल्ला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5460"/>
      </w:tblGrid>
      <w:tr>
        <w:trPr>
          <w:tblHeader/>
        </w:trPr>
        <w:tc>
          <w:tcPr>
            <w:tcW w:type="dxa" w:w="1560"/>
            <w:shd w:fill="DCE6F1" w:color="auto" w:val="clear"/>
          </w:tcPr>
          <w:p>
            <w:pPr>
              <w:spacing w:after="60"/>
            </w:pPr>
            <w:r>
              <w:rPr>
                <w:b/>
                <w:bCs/>
                <w:sz w:val="20"/>
                <w:szCs w:val="20"/>
              </w:rPr>
              <w:t xml:space="preserve">CWSI value</w:t>
            </w:r>
          </w:p>
        </w:tc>
        <w:tc>
          <w:tcPr>
            <w:tcW w:type="dxa" w:w="2340"/>
            <w:shd w:fill="DCE6F1" w:color="auto" w:val="clear"/>
          </w:tcPr>
          <w:p>
            <w:pPr>
              <w:spacing w:after="60"/>
            </w:pPr>
            <w:r>
              <w:rPr>
                <w:b/>
                <w:bCs/>
                <w:sz w:val="20"/>
                <w:szCs w:val="20"/>
              </w:rPr>
              <w:t xml:space="preserve">Interpretation</w:t>
            </w:r>
          </w:p>
        </w:tc>
        <w:tc>
          <w:tcPr>
            <w:tcW w:type="dxa" w:w="5460"/>
            <w:shd w:fill="DCE6F1" w:color="auto" w:val="clear"/>
          </w:tcPr>
          <w:p>
            <w:pPr>
              <w:spacing w:after="60"/>
            </w:pPr>
            <w:r>
              <w:rPr>
                <w:b/>
                <w:bCs/>
                <w:sz w:val="20"/>
                <w:szCs w:val="20"/>
              </w:rPr>
              <w:t xml:space="preserve">Recommended response</w:t>
            </w:r>
          </w:p>
        </w:tc>
      </w:tr>
      <w:tr>
        <w:tc>
          <w:tcPr>
            <w:tcW w:type="dxa" w:w="1560"/>
          </w:tcPr>
          <w:p>
            <w:pPr>
              <w:spacing w:after="60"/>
            </w:pPr>
            <w:r>
              <w:rPr>
                <w:b w:val="false"/>
                <w:bCs w:val="false"/>
                <w:sz w:val="20"/>
                <w:szCs w:val="20"/>
              </w:rPr>
              <w:t xml:space="preserve">&lt; 0.20</w:t>
            </w:r>
          </w:p>
        </w:tc>
        <w:tc>
          <w:tcPr>
            <w:tcW w:type="dxa" w:w="2340"/>
          </w:tcPr>
          <w:p>
            <w:pPr>
              <w:spacing w:after="60"/>
            </w:pPr>
            <w:r>
              <w:rPr>
                <w:b w:val="false"/>
                <w:bCs w:val="false"/>
                <w:sz w:val="20"/>
                <w:szCs w:val="20"/>
              </w:rPr>
              <w:t xml:space="preserve">well-watered</w:t>
            </w:r>
          </w:p>
        </w:tc>
        <w:tc>
          <w:tcPr>
            <w:tcW w:type="dxa" w:w="5460"/>
          </w:tcPr>
          <w:p>
            <w:pPr>
              <w:spacing w:after="60"/>
            </w:pPr>
            <w:r>
              <w:rPr>
                <w:b w:val="false"/>
                <w:bCs w:val="false"/>
                <w:sz w:val="20"/>
                <w:szCs w:val="20"/>
              </w:rPr>
              <w:t xml:space="preserve">no action</w:t>
            </w:r>
          </w:p>
        </w:tc>
      </w:tr>
      <w:tr>
        <w:tc>
          <w:tcPr>
            <w:tcW w:type="dxa" w:w="1560"/>
          </w:tcPr>
          <w:p>
            <w:pPr>
              <w:spacing w:after="60"/>
            </w:pPr>
            <w:r>
              <w:rPr>
                <w:b w:val="false"/>
                <w:bCs w:val="false"/>
                <w:sz w:val="20"/>
                <w:szCs w:val="20"/>
              </w:rPr>
              <w:t xml:space="preserve">0.20 – 0.40</w:t>
            </w:r>
          </w:p>
        </w:tc>
        <w:tc>
          <w:tcPr>
            <w:tcW w:type="dxa" w:w="2340"/>
          </w:tcPr>
          <w:p>
            <w:pPr>
              <w:spacing w:after="60"/>
            </w:pPr>
            <w:r>
              <w:rPr>
                <w:b w:val="false"/>
                <w:bCs w:val="false"/>
                <w:sz w:val="20"/>
                <w:szCs w:val="20"/>
              </w:rPr>
              <w:t xml:space="preserve">mild stress</w:t>
            </w:r>
          </w:p>
        </w:tc>
        <w:tc>
          <w:tcPr>
            <w:tcW w:type="dxa" w:w="5460"/>
          </w:tcPr>
          <w:p>
            <w:pPr>
              <w:spacing w:after="60"/>
            </w:pPr>
            <w:r>
              <w:rPr>
                <w:b w:val="false"/>
                <w:bCs w:val="false"/>
                <w:sz w:val="20"/>
                <w:szCs w:val="20"/>
              </w:rPr>
              <w:t xml:space="preserve">schedule next irrigation; check sub-node moisture</w:t>
            </w:r>
          </w:p>
        </w:tc>
      </w:tr>
      <w:tr>
        <w:tc>
          <w:tcPr>
            <w:tcW w:type="dxa" w:w="1560"/>
          </w:tcPr>
          <w:p>
            <w:pPr>
              <w:spacing w:after="60"/>
            </w:pPr>
            <w:r>
              <w:rPr>
                <w:b w:val="false"/>
                <w:bCs w:val="false"/>
                <w:sz w:val="20"/>
                <w:szCs w:val="20"/>
              </w:rPr>
              <w:t xml:space="preserve">0.40 – 0.60</w:t>
            </w:r>
          </w:p>
        </w:tc>
        <w:tc>
          <w:tcPr>
            <w:tcW w:type="dxa" w:w="2340"/>
          </w:tcPr>
          <w:p>
            <w:pPr>
              <w:spacing w:after="60"/>
            </w:pPr>
            <w:r>
              <w:rPr>
                <w:b w:val="false"/>
                <w:bCs w:val="false"/>
                <w:sz w:val="20"/>
                <w:szCs w:val="20"/>
              </w:rPr>
              <w:t xml:space="preserve">moderate stress</w:t>
            </w:r>
          </w:p>
        </w:tc>
        <w:tc>
          <w:tcPr>
            <w:tcW w:type="dxa" w:w="5460"/>
          </w:tcPr>
          <w:p>
            <w:pPr>
              <w:spacing w:after="60"/>
            </w:pPr>
            <w:r>
              <w:rPr>
                <w:b w:val="false"/>
                <w:bCs w:val="false"/>
                <w:sz w:val="20"/>
                <w:szCs w:val="20"/>
              </w:rPr>
              <w:t xml:space="preserve">irrigate this evening; verify at sub-node</w:t>
            </w:r>
          </w:p>
        </w:tc>
      </w:tr>
      <w:tr>
        <w:tc>
          <w:tcPr>
            <w:tcW w:type="dxa" w:w="1560"/>
          </w:tcPr>
          <w:p>
            <w:pPr>
              <w:spacing w:after="60"/>
            </w:pPr>
            <w:r>
              <w:rPr>
                <w:b w:val="false"/>
                <w:bCs w:val="false"/>
                <w:sz w:val="20"/>
                <w:szCs w:val="20"/>
              </w:rPr>
              <w:t xml:space="preserve">0.60 – 0.80</w:t>
            </w:r>
          </w:p>
        </w:tc>
        <w:tc>
          <w:tcPr>
            <w:tcW w:type="dxa" w:w="2340"/>
          </w:tcPr>
          <w:p>
            <w:pPr>
              <w:spacing w:after="60"/>
            </w:pPr>
            <w:r>
              <w:rPr>
                <w:b w:val="false"/>
                <w:bCs w:val="false"/>
                <w:sz w:val="20"/>
                <w:szCs w:val="20"/>
              </w:rPr>
              <w:t xml:space="preserve">severe stress</w:t>
            </w:r>
          </w:p>
        </w:tc>
        <w:tc>
          <w:tcPr>
            <w:tcW w:type="dxa" w:w="5460"/>
          </w:tcPr>
          <w:p>
            <w:pPr>
              <w:spacing w:after="60"/>
            </w:pPr>
            <w:r>
              <w:rPr>
                <w:b w:val="false"/>
                <w:bCs w:val="false"/>
                <w:sz w:val="20"/>
                <w:szCs w:val="20"/>
              </w:rPr>
              <w:t xml:space="preserve">immediate irrigation if soil supports; check drip system</w:t>
            </w:r>
          </w:p>
        </w:tc>
      </w:tr>
      <w:tr>
        <w:tc>
          <w:tcPr>
            <w:tcW w:type="dxa" w:w="1560"/>
          </w:tcPr>
          <w:p>
            <w:pPr>
              <w:spacing w:after="60"/>
            </w:pPr>
            <w:r>
              <w:rPr>
                <w:b w:val="false"/>
                <w:bCs w:val="false"/>
                <w:sz w:val="20"/>
                <w:szCs w:val="20"/>
              </w:rPr>
              <w:t xml:space="preserve">&gt; 0.80</w:t>
            </w:r>
          </w:p>
        </w:tc>
        <w:tc>
          <w:tcPr>
            <w:tcW w:type="dxa" w:w="2340"/>
          </w:tcPr>
          <w:p>
            <w:pPr>
              <w:spacing w:after="60"/>
            </w:pPr>
            <w:r>
              <w:rPr>
                <w:b w:val="false"/>
                <w:bCs w:val="false"/>
                <w:sz w:val="20"/>
                <w:szCs w:val="20"/>
              </w:rPr>
              <w:t xml:space="preserve">extreme stress</w:t>
            </w:r>
          </w:p>
        </w:tc>
        <w:tc>
          <w:tcPr>
            <w:tcW w:type="dxa" w:w="5460"/>
          </w:tcPr>
          <w:p>
            <w:pPr>
              <w:spacing w:after="60"/>
            </w:pPr>
            <w:r>
              <w:rPr>
                <w:b w:val="false"/>
                <w:bCs w:val="false"/>
                <w:sz w:val="20"/>
                <w:szCs w:val="20"/>
              </w:rPr>
              <w:t xml:space="preserve">either drought or a non-water problem — diagnostic branch</w:t>
            </w:r>
          </w:p>
        </w:tc>
      </w:tr>
    </w:tbl>
    <w:p>
      <w:pPr>
        <w:spacing w:after="200" w:before="100"/>
      </w:pPr>
      <w:r>
        <w:rPr>
          <w:i/>
          <w:iCs/>
          <w:color w:val="444444"/>
        </w:rPr>
        <w:t xml:space="preserve">CWSI bands above are literature-consensus values for tropical rhizome crops. Ginger-specific values from Kannad have not been published; a season-1 log is required (open item OI-14-05).</w:t>
      </w:r>
    </w:p>
    <w:p>
      <w:pPr>
        <w:pStyle w:val="Heading2"/>
        <w:spacing w:after="150" w:before="300"/>
      </w:pPr>
      <w:r>
        <w:rPr>
          <w:b/>
          <w:bCs/>
          <w:sz w:val="26"/>
          <w:szCs w:val="26"/>
        </w:rPr>
        <w:t xml:space="preserve">7.4 Practical caveats — व्यवहार्य मर्यादा</w:t>
      </w:r>
    </w:p>
    <w:p>
      <w:pPr>
        <w:pStyle w:val="ListParagraph"/>
        <w:numPr>
          <w:ilvl w:val="0"/>
          <w:numId w:val="1"/>
        </w:numPr>
        <w:spacing w:after="80"/>
      </w:pPr>
      <w:r>
        <w:t xml:space="preserve">Landsat thermal is 100 m intrinsic — a small plot may sit inside a single pixel, meaning the retrieved LST is contaminated by whatever surrounds the plot</w:t>
      </w:r>
    </w:p>
    <w:p>
      <w:pPr>
        <w:pStyle w:val="ListParagraph"/>
        <w:numPr>
          <w:ilvl w:val="0"/>
          <w:numId w:val="1"/>
        </w:numPr>
        <w:spacing w:after="80"/>
      </w:pPr>
      <w:r>
        <w:t xml:space="preserve">MODIS at 1 km cannot be used to advise a single farmer; it is a cluster-level or district-level signal only</w:t>
      </w:r>
    </w:p>
    <w:p>
      <w:pPr>
        <w:pStyle w:val="ListParagraph"/>
        <w:numPr>
          <w:ilvl w:val="0"/>
          <w:numId w:val="1"/>
        </w:numPr>
        <w:spacing w:after="80"/>
      </w:pPr>
      <w:r>
        <w:t xml:space="preserve">Landsat thermal at 08:30–09:00 IST is BEFORE peak stress; it under-detects afternoon water stress</w:t>
      </w:r>
    </w:p>
    <w:p>
      <w:pPr>
        <w:pStyle w:val="ListParagraph"/>
        <w:numPr>
          <w:ilvl w:val="0"/>
          <w:numId w:val="1"/>
        </w:numPr>
        <w:spacing w:after="80"/>
      </w:pPr>
      <w:r>
        <w:t xml:space="preserve">ECOSTRESS (ISS) sometimes gives a better retrieval; do not build a rule that depends on its availability</w:t>
      </w:r>
    </w:p>
    <w:p>
      <w:pPr>
        <w:pStyle w:val="ListParagraph"/>
        <w:numPr>
          <w:ilvl w:val="0"/>
          <w:numId w:val="1"/>
        </w:numPr>
        <w:spacing w:after="80"/>
      </w:pPr>
      <w:r>
        <w:t xml:space="preserve">Emissivity of a ginger canopy is close to 0.98 but is not measured locally — use a fixed value and accept a small bias</w:t>
      </w:r>
    </w:p>
    <w:p>
      <w:pPr>
        <w:pStyle w:val="Heading2"/>
        <w:spacing w:after="150" w:before="300"/>
      </w:pPr>
      <w:r>
        <w:rPr>
          <w:b/>
          <w:bCs/>
          <w:sz w:val="26"/>
          <w:szCs w:val="26"/>
        </w:rPr>
        <w:t xml:space="preserve">7.5 Combined use with NDMI — NDMI सोबत वापर</w:t>
      </w:r>
    </w:p>
    <w:p>
      <w:pPr>
        <w:spacing w:after="120"/>
      </w:pPr>
      <w:r>
        <w:t xml:space="preserve">NDMI (from Section 4) gives canopy water content from the reflectance side and is available on every cloud-clear Sentinel-2 scene, at 20 m. CWSI from Landsat gives the transpiration side at 100 m, less frequently. NDMI is the preferred rapid indicator; CWSI is the deeper confirmation when both are available. When they disagree — NDMI healthy but CWSI high — investigate physical stress that is not water: temperature, pest, or root damage.</w:t>
      </w:r>
    </w:p>
    <w:p>
      <w:pPr>
        <w:spacing w:after="300" w:before="200"/>
      </w:pPr>
      <w:r>
        <w:rPr>
          <w:i/>
          <w:iCs/>
          <w:sz w:val="20"/>
          <w:szCs w:val="20"/>
        </w:rPr>
        <w:t xml:space="preserve">Sources: Idso et al. 1981 (CWSI); Jackson et al. 1988 (canopy temperature); USGS Landsat thermal handbook; Wan 2014 (MODIS LST algorithm); ICAR-CRIDA CWSI field studies on tropical crops; NASA ECOSTRESS mission page.</w:t>
      </w:r>
    </w:p>
    <w:p>
      <w:r>
        <w:br w:type="page"/>
      </w:r>
    </w:p>
    <w:p>
      <w:pPr>
        <w:pStyle w:val="Heading1"/>
        <w:spacing w:after="200" w:before="400"/>
      </w:pPr>
      <w:r>
        <w:rPr>
          <w:b/>
          <w:bCs/>
          <w:sz w:val="32"/>
          <w:szCs w:val="32"/>
        </w:rPr>
        <w:t xml:space="preserve">SECTION 8. Phenological signatures — पीक टप्प्यांची स्वाक्षरी</w:t>
      </w:r>
    </w:p>
    <w:p>
      <w:pPr>
        <w:pStyle w:val="Heading2"/>
        <w:spacing w:after="150" w:before="300"/>
      </w:pPr>
      <w:r>
        <w:rPr>
          <w:b/>
          <w:bCs/>
          <w:sz w:val="26"/>
          <w:szCs w:val="26"/>
        </w:rPr>
        <w:t xml:space="preserve">8.1 Expected NDVI curve for Kannad ginger — अपेक्षित वक्र</w:t>
      </w:r>
    </w:p>
    <w:p>
      <w:pPr>
        <w:spacing w:after="120"/>
      </w:pPr>
      <w:r>
        <w:t xml:space="preserve">The healthy Kannad ginger NDVI curve, from planting in the third week of May to harvest around mid-January, has five identifiable phases. Each corresponds to a Domain 1 lifecycle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1400"/>
        <w:gridCol w:w="2200"/>
        <w:gridCol w:w="2860"/>
      </w:tblGrid>
      <w:tr>
        <w:trPr>
          <w:tblHeader/>
        </w:trPr>
        <w:tc>
          <w:tcPr>
            <w:tcW w:type="dxa" w:w="1400"/>
            <w:shd w:fill="DCE6F1" w:color="auto" w:val="clear"/>
          </w:tcPr>
          <w:p>
            <w:pPr>
              <w:spacing w:after="60"/>
            </w:pPr>
            <w:r>
              <w:rPr>
                <w:b/>
                <w:bCs/>
                <w:sz w:val="20"/>
                <w:szCs w:val="20"/>
              </w:rPr>
              <w:t xml:space="preserve">DAP</w:t>
            </w:r>
          </w:p>
        </w:tc>
        <w:tc>
          <w:tcPr>
            <w:tcW w:type="dxa" w:w="1500"/>
            <w:shd w:fill="DCE6F1" w:color="auto" w:val="clear"/>
          </w:tcPr>
          <w:p>
            <w:pPr>
              <w:spacing w:after="60"/>
            </w:pPr>
            <w:r>
              <w:rPr>
                <w:b/>
                <w:bCs/>
                <w:sz w:val="20"/>
                <w:szCs w:val="20"/>
              </w:rPr>
              <w:t xml:space="preserve">Stage</w:t>
            </w:r>
          </w:p>
        </w:tc>
        <w:tc>
          <w:tcPr>
            <w:tcW w:type="dxa" w:w="1400"/>
            <w:shd w:fill="DCE6F1" w:color="auto" w:val="clear"/>
          </w:tcPr>
          <w:p>
            <w:pPr>
              <w:spacing w:after="60"/>
            </w:pPr>
            <w:r>
              <w:rPr>
                <w:b/>
                <w:bCs/>
                <w:sz w:val="20"/>
                <w:szCs w:val="20"/>
              </w:rPr>
              <w:t xml:space="preserve">Expected NDVI</w:t>
            </w:r>
          </w:p>
        </w:tc>
        <w:tc>
          <w:tcPr>
            <w:tcW w:type="dxa" w:w="2200"/>
            <w:shd w:fill="DCE6F1" w:color="auto" w:val="clear"/>
          </w:tcPr>
          <w:p>
            <w:pPr>
              <w:spacing w:after="60"/>
            </w:pPr>
            <w:r>
              <w:rPr>
                <w:b/>
                <w:bCs/>
                <w:sz w:val="20"/>
                <w:szCs w:val="20"/>
              </w:rPr>
              <w:t xml:space="preserve">Curve behaviour</w:t>
            </w:r>
          </w:p>
        </w:tc>
        <w:tc>
          <w:tcPr>
            <w:tcW w:type="dxa" w:w="2860"/>
            <w:shd w:fill="DCE6F1" w:color="auto" w:val="clear"/>
          </w:tcPr>
          <w:p>
            <w:pPr>
              <w:spacing w:after="60"/>
            </w:pPr>
            <w:r>
              <w:rPr>
                <w:b/>
                <w:bCs/>
                <w:sz w:val="20"/>
                <w:szCs w:val="20"/>
              </w:rPr>
              <w:t xml:space="preserve">Physiology</w:t>
            </w:r>
          </w:p>
        </w:tc>
      </w:tr>
      <w:tr>
        <w:tc>
          <w:tcPr>
            <w:tcW w:type="dxa" w:w="1400"/>
          </w:tcPr>
          <w:p>
            <w:pPr>
              <w:spacing w:after="60"/>
            </w:pPr>
            <w:r>
              <w:rPr>
                <w:b w:val="false"/>
                <w:bCs w:val="false"/>
                <w:sz w:val="20"/>
                <w:szCs w:val="20"/>
              </w:rPr>
              <w:t xml:space="preserve">0 – 20</w:t>
            </w:r>
          </w:p>
        </w:tc>
        <w:tc>
          <w:tcPr>
            <w:tcW w:type="dxa" w:w="1500"/>
          </w:tcPr>
          <w:p>
            <w:pPr>
              <w:spacing w:after="60"/>
            </w:pPr>
            <w:r>
              <w:rPr>
                <w:b w:val="false"/>
                <w:bCs w:val="false"/>
                <w:sz w:val="20"/>
                <w:szCs w:val="20"/>
              </w:rPr>
              <w:t xml:space="preserve">G1 emergence</w:t>
            </w:r>
          </w:p>
        </w:tc>
        <w:tc>
          <w:tcPr>
            <w:tcW w:type="dxa" w:w="1400"/>
          </w:tcPr>
          <w:p>
            <w:pPr>
              <w:spacing w:after="60"/>
            </w:pPr>
            <w:r>
              <w:rPr>
                <w:b w:val="false"/>
                <w:bCs w:val="false"/>
                <w:sz w:val="20"/>
                <w:szCs w:val="20"/>
              </w:rPr>
              <w:t xml:space="preserve">0.15 → 0.25</w:t>
            </w:r>
          </w:p>
        </w:tc>
        <w:tc>
          <w:tcPr>
            <w:tcW w:type="dxa" w:w="2200"/>
          </w:tcPr>
          <w:p>
            <w:pPr>
              <w:spacing w:after="60"/>
            </w:pPr>
            <w:r>
              <w:rPr>
                <w:b w:val="false"/>
                <w:bCs w:val="false"/>
                <w:sz w:val="20"/>
                <w:szCs w:val="20"/>
              </w:rPr>
              <w:t xml:space="preserve">flat, low, slow climb</w:t>
            </w:r>
          </w:p>
        </w:tc>
        <w:tc>
          <w:tcPr>
            <w:tcW w:type="dxa" w:w="2860"/>
          </w:tcPr>
          <w:p>
            <w:pPr>
              <w:spacing w:after="60"/>
            </w:pPr>
            <w:r>
              <w:rPr>
                <w:b w:val="false"/>
                <w:bCs w:val="false"/>
                <w:sz w:val="20"/>
                <w:szCs w:val="20"/>
              </w:rPr>
              <w:t xml:space="preserve">seed rhizome sprouts, first pseudostems break soil</w:t>
            </w:r>
          </w:p>
        </w:tc>
      </w:tr>
      <w:tr>
        <w:tc>
          <w:tcPr>
            <w:tcW w:type="dxa" w:w="1400"/>
          </w:tcPr>
          <w:p>
            <w:pPr>
              <w:spacing w:after="60"/>
            </w:pPr>
            <w:r>
              <w:rPr>
                <w:b w:val="false"/>
                <w:bCs w:val="false"/>
                <w:sz w:val="20"/>
                <w:szCs w:val="20"/>
              </w:rPr>
              <w:t xml:space="preserve">20 – 60</w:t>
            </w:r>
          </w:p>
        </w:tc>
        <w:tc>
          <w:tcPr>
            <w:tcW w:type="dxa" w:w="1500"/>
          </w:tcPr>
          <w:p>
            <w:pPr>
              <w:spacing w:after="60"/>
            </w:pPr>
            <w:r>
              <w:rPr>
                <w:b w:val="false"/>
                <w:bCs w:val="false"/>
                <w:sz w:val="20"/>
                <w:szCs w:val="20"/>
              </w:rPr>
              <w:t xml:space="preserve">G1 → G2</w:t>
            </w:r>
          </w:p>
        </w:tc>
        <w:tc>
          <w:tcPr>
            <w:tcW w:type="dxa" w:w="1400"/>
          </w:tcPr>
          <w:p>
            <w:pPr>
              <w:spacing w:after="60"/>
            </w:pPr>
            <w:r>
              <w:rPr>
                <w:b w:val="false"/>
                <w:bCs w:val="false"/>
                <w:sz w:val="20"/>
                <w:szCs w:val="20"/>
              </w:rPr>
              <w:t xml:space="preserve">0.25 → 0.50</w:t>
            </w:r>
          </w:p>
        </w:tc>
        <w:tc>
          <w:tcPr>
            <w:tcW w:type="dxa" w:w="2200"/>
          </w:tcPr>
          <w:p>
            <w:pPr>
              <w:spacing w:after="60"/>
            </w:pPr>
            <w:r>
              <w:rPr>
                <w:b w:val="false"/>
                <w:bCs w:val="false"/>
                <w:sz w:val="20"/>
                <w:szCs w:val="20"/>
              </w:rPr>
              <w:t xml:space="preserve">linear rise</w:t>
            </w:r>
          </w:p>
        </w:tc>
        <w:tc>
          <w:tcPr>
            <w:tcW w:type="dxa" w:w="2860"/>
          </w:tcPr>
          <w:p>
            <w:pPr>
              <w:spacing w:after="60"/>
            </w:pPr>
            <w:r>
              <w:rPr>
                <w:b w:val="false"/>
                <w:bCs w:val="false"/>
                <w:sz w:val="20"/>
                <w:szCs w:val="20"/>
              </w:rPr>
              <w:t xml:space="preserve">tillering, canopy expansion</w:t>
            </w:r>
          </w:p>
        </w:tc>
      </w:tr>
      <w:tr>
        <w:tc>
          <w:tcPr>
            <w:tcW w:type="dxa" w:w="1400"/>
          </w:tcPr>
          <w:p>
            <w:pPr>
              <w:spacing w:after="60"/>
            </w:pPr>
            <w:r>
              <w:rPr>
                <w:b w:val="false"/>
                <w:bCs w:val="false"/>
                <w:sz w:val="20"/>
                <w:szCs w:val="20"/>
              </w:rPr>
              <w:t xml:space="preserve">60 – 120</w:t>
            </w:r>
          </w:p>
        </w:tc>
        <w:tc>
          <w:tcPr>
            <w:tcW w:type="dxa" w:w="1500"/>
          </w:tcPr>
          <w:p>
            <w:pPr>
              <w:spacing w:after="60"/>
            </w:pPr>
            <w:r>
              <w:rPr>
                <w:b w:val="false"/>
                <w:bCs w:val="false"/>
                <w:sz w:val="20"/>
                <w:szCs w:val="20"/>
              </w:rPr>
              <w:t xml:space="preserve">G2 → G3</w:t>
            </w:r>
          </w:p>
        </w:tc>
        <w:tc>
          <w:tcPr>
            <w:tcW w:type="dxa" w:w="1400"/>
          </w:tcPr>
          <w:p>
            <w:pPr>
              <w:spacing w:after="60"/>
            </w:pPr>
            <w:r>
              <w:rPr>
                <w:b w:val="false"/>
                <w:bCs w:val="false"/>
                <w:sz w:val="20"/>
                <w:szCs w:val="20"/>
              </w:rPr>
              <w:t xml:space="preserve">0.50 → 0.75</w:t>
            </w:r>
          </w:p>
        </w:tc>
        <w:tc>
          <w:tcPr>
            <w:tcW w:type="dxa" w:w="2200"/>
          </w:tcPr>
          <w:p>
            <w:pPr>
              <w:spacing w:after="60"/>
            </w:pPr>
            <w:r>
              <w:rPr>
                <w:b w:val="false"/>
                <w:bCs w:val="false"/>
                <w:sz w:val="20"/>
                <w:szCs w:val="20"/>
              </w:rPr>
              <w:t xml:space="preserve">concave rise, saturating</w:t>
            </w:r>
          </w:p>
        </w:tc>
        <w:tc>
          <w:tcPr>
            <w:tcW w:type="dxa" w:w="2860"/>
          </w:tcPr>
          <w:p>
            <w:pPr>
              <w:spacing w:after="60"/>
            </w:pPr>
            <w:r>
              <w:rPr>
                <w:b w:val="false"/>
                <w:bCs w:val="false"/>
                <w:sz w:val="20"/>
                <w:szCs w:val="20"/>
              </w:rPr>
              <w:t xml:space="preserve">canopy closes, LAI approaches maximum</w:t>
            </w:r>
          </w:p>
        </w:tc>
      </w:tr>
      <w:tr>
        <w:tc>
          <w:tcPr>
            <w:tcW w:type="dxa" w:w="1400"/>
          </w:tcPr>
          <w:p>
            <w:pPr>
              <w:spacing w:after="60"/>
            </w:pPr>
            <w:r>
              <w:rPr>
                <w:b w:val="false"/>
                <w:bCs w:val="false"/>
                <w:sz w:val="20"/>
                <w:szCs w:val="20"/>
              </w:rPr>
              <w:t xml:space="preserve">120 – 180</w:t>
            </w:r>
          </w:p>
        </w:tc>
        <w:tc>
          <w:tcPr>
            <w:tcW w:type="dxa" w:w="1500"/>
          </w:tcPr>
          <w:p>
            <w:pPr>
              <w:spacing w:after="60"/>
            </w:pPr>
            <w:r>
              <w:rPr>
                <w:b w:val="false"/>
                <w:bCs w:val="false"/>
                <w:sz w:val="20"/>
                <w:szCs w:val="20"/>
              </w:rPr>
              <w:t xml:space="preserve">G3 → G4</w:t>
            </w:r>
          </w:p>
        </w:tc>
        <w:tc>
          <w:tcPr>
            <w:tcW w:type="dxa" w:w="1400"/>
          </w:tcPr>
          <w:p>
            <w:pPr>
              <w:spacing w:after="60"/>
            </w:pPr>
            <w:r>
              <w:rPr>
                <w:b w:val="false"/>
                <w:bCs w:val="false"/>
                <w:sz w:val="20"/>
                <w:szCs w:val="20"/>
              </w:rPr>
              <w:t xml:space="preserve">0.75 → 0.70</w:t>
            </w:r>
          </w:p>
        </w:tc>
        <w:tc>
          <w:tcPr>
            <w:tcW w:type="dxa" w:w="2200"/>
          </w:tcPr>
          <w:p>
            <w:pPr>
              <w:spacing w:after="60"/>
            </w:pPr>
            <w:r>
              <w:rPr>
                <w:b w:val="false"/>
                <w:bCs w:val="false"/>
                <w:sz w:val="20"/>
                <w:szCs w:val="20"/>
              </w:rPr>
              <w:t xml:space="preserve">plateau then slow decline</w:t>
            </w:r>
          </w:p>
        </w:tc>
        <w:tc>
          <w:tcPr>
            <w:tcW w:type="dxa" w:w="2860"/>
          </w:tcPr>
          <w:p>
            <w:pPr>
              <w:spacing w:after="60"/>
            </w:pPr>
            <w:r>
              <w:rPr>
                <w:b w:val="false"/>
                <w:bCs w:val="false"/>
                <w:sz w:val="20"/>
                <w:szCs w:val="20"/>
              </w:rPr>
              <w:t xml:space="preserve">rhizome bulking; canopy fully expanded</w:t>
            </w:r>
          </w:p>
        </w:tc>
      </w:tr>
      <w:tr>
        <w:tc>
          <w:tcPr>
            <w:tcW w:type="dxa" w:w="1400"/>
          </w:tcPr>
          <w:p>
            <w:pPr>
              <w:spacing w:after="60"/>
            </w:pPr>
            <w:r>
              <w:rPr>
                <w:b w:val="false"/>
                <w:bCs w:val="false"/>
                <w:sz w:val="20"/>
                <w:szCs w:val="20"/>
              </w:rPr>
              <w:t xml:space="preserve">180 – 220</w:t>
            </w:r>
          </w:p>
        </w:tc>
        <w:tc>
          <w:tcPr>
            <w:tcW w:type="dxa" w:w="1500"/>
          </w:tcPr>
          <w:p>
            <w:pPr>
              <w:spacing w:after="60"/>
            </w:pPr>
            <w:r>
              <w:rPr>
                <w:b w:val="false"/>
                <w:bCs w:val="false"/>
                <w:sz w:val="20"/>
                <w:szCs w:val="20"/>
              </w:rPr>
              <w:t xml:space="preserve">G4 → G5</w:t>
            </w:r>
          </w:p>
        </w:tc>
        <w:tc>
          <w:tcPr>
            <w:tcW w:type="dxa" w:w="1400"/>
          </w:tcPr>
          <w:p>
            <w:pPr>
              <w:spacing w:after="60"/>
            </w:pPr>
            <w:r>
              <w:rPr>
                <w:b w:val="false"/>
                <w:bCs w:val="false"/>
                <w:sz w:val="20"/>
                <w:szCs w:val="20"/>
              </w:rPr>
              <w:t xml:space="preserve">0.70 → 0.45</w:t>
            </w:r>
          </w:p>
        </w:tc>
        <w:tc>
          <w:tcPr>
            <w:tcW w:type="dxa" w:w="2200"/>
          </w:tcPr>
          <w:p>
            <w:pPr>
              <w:spacing w:after="60"/>
            </w:pPr>
            <w:r>
              <w:rPr>
                <w:b w:val="false"/>
                <w:bCs w:val="false"/>
                <w:sz w:val="20"/>
                <w:szCs w:val="20"/>
              </w:rPr>
              <w:t xml:space="preserve">accelerating decline</w:t>
            </w:r>
          </w:p>
        </w:tc>
        <w:tc>
          <w:tcPr>
            <w:tcW w:type="dxa" w:w="2860"/>
          </w:tcPr>
          <w:p>
            <w:pPr>
              <w:spacing w:after="60"/>
            </w:pPr>
            <w:r>
              <w:rPr>
                <w:b w:val="false"/>
                <w:bCs w:val="false"/>
                <w:sz w:val="20"/>
                <w:szCs w:val="20"/>
              </w:rPr>
              <w:t xml:space="preserve">natural senescence</w:t>
            </w:r>
          </w:p>
        </w:tc>
      </w:tr>
      <w:tr>
        <w:tc>
          <w:tcPr>
            <w:tcW w:type="dxa" w:w="1400"/>
          </w:tcPr>
          <w:p>
            <w:pPr>
              <w:spacing w:after="60"/>
            </w:pPr>
            <w:r>
              <w:rPr>
                <w:b w:val="false"/>
                <w:bCs w:val="false"/>
                <w:sz w:val="20"/>
                <w:szCs w:val="20"/>
              </w:rPr>
              <w:t xml:space="preserve">220 – 240</w:t>
            </w:r>
          </w:p>
        </w:tc>
        <w:tc>
          <w:tcPr>
            <w:tcW w:type="dxa" w:w="1500"/>
          </w:tcPr>
          <w:p>
            <w:pPr>
              <w:spacing w:after="60"/>
            </w:pPr>
            <w:r>
              <w:rPr>
                <w:b w:val="false"/>
                <w:bCs w:val="false"/>
                <w:sz w:val="20"/>
                <w:szCs w:val="20"/>
              </w:rPr>
              <w:t xml:space="preserve">G5 pre-harvest</w:t>
            </w:r>
          </w:p>
        </w:tc>
        <w:tc>
          <w:tcPr>
            <w:tcW w:type="dxa" w:w="1400"/>
          </w:tcPr>
          <w:p>
            <w:pPr>
              <w:spacing w:after="60"/>
            </w:pPr>
            <w:r>
              <w:rPr>
                <w:b w:val="false"/>
                <w:bCs w:val="false"/>
                <w:sz w:val="20"/>
                <w:szCs w:val="20"/>
              </w:rPr>
              <w:t xml:space="preserve">0.45 → 0.30</w:t>
            </w:r>
          </w:p>
        </w:tc>
        <w:tc>
          <w:tcPr>
            <w:tcW w:type="dxa" w:w="2200"/>
          </w:tcPr>
          <w:p>
            <w:pPr>
              <w:spacing w:after="60"/>
            </w:pPr>
            <w:r>
              <w:rPr>
                <w:b w:val="false"/>
                <w:bCs w:val="false"/>
                <w:sz w:val="20"/>
                <w:szCs w:val="20"/>
              </w:rPr>
              <w:t xml:space="preserve">sharp decline</w:t>
            </w:r>
          </w:p>
        </w:tc>
        <w:tc>
          <w:tcPr>
            <w:tcW w:type="dxa" w:w="2860"/>
          </w:tcPr>
          <w:p>
            <w:pPr>
              <w:spacing w:after="60"/>
            </w:pPr>
            <w:r>
              <w:rPr>
                <w:b w:val="false"/>
                <w:bCs w:val="false"/>
                <w:sz w:val="20"/>
                <w:szCs w:val="20"/>
              </w:rPr>
              <w:t xml:space="preserve">canopy dry-down before lifting</w:t>
            </w:r>
          </w:p>
        </w:tc>
      </w:tr>
    </w:tbl>
    <w:p>
      <w:pPr>
        <w:pStyle w:val="Heading2"/>
        <w:spacing w:after="150" w:before="300"/>
      </w:pPr>
      <w:r>
        <w:rPr>
          <w:b/>
          <w:bCs/>
          <w:sz w:val="26"/>
          <w:szCs w:val="26"/>
        </w:rPr>
        <w:t xml:space="preserve">8.2 Curve fitting for stage detection — वक्र-मापन</w:t>
      </w:r>
    </w:p>
    <w:p>
      <w:pPr>
        <w:spacing w:after="120"/>
      </w:pPr>
      <w:r>
        <w:t xml:space="preserve">For each plot, fit a double-logistic function to the NDVI time series (Zhang et al. 2003). The four fitted parameters — greenup mid-point, senescence mid-point, amplitude, background — give the stage transition dates without needing DAP as an input. This provides a check against farmer-reported planting date and catches misreports.</w:t>
      </w:r>
    </w:p>
    <w:p>
      <w:pPr>
        <w:spacing w:after="120"/>
      </w:pPr>
      <w:r>
        <w:t xml:space="preserve">प्रत्येक प्लॉटसाठी NDVI मालिकेवर double-logistic फंक्शन fit करा (Zhang et al. 2003). fit केलेले चार पॅरामीटर — greenup मध्यबिंदू, senescence मध्यबिंदू, amplitude, background — DAP शिवाय अवस्था-संक्रमण तारखा देतात. लागवडीच्या तारखेत चुकीची नोंद असल्यास ती पकडते.</w:t>
      </w:r>
    </w:p>
    <w:p>
      <w:pPr>
        <w:pStyle w:val="Heading2"/>
        <w:spacing w:after="150" w:before="300"/>
      </w:pPr>
      <w:r>
        <w:rPr>
          <w:b/>
          <w:bCs/>
          <w:sz w:val="26"/>
          <w:szCs w:val="26"/>
        </w:rPr>
        <w:t xml:space="preserve">8.3 Deviation from expected curve — अपेक्षित वक्रापासून विचलन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4460"/>
      </w:tblGrid>
      <w:tr>
        <w:trPr>
          <w:tblHeader/>
        </w:trPr>
        <w:tc>
          <w:tcPr>
            <w:tcW w:type="dxa" w:w="2600"/>
            <w:shd w:fill="DCE6F1" w:color="auto" w:val="clear"/>
          </w:tcPr>
          <w:p>
            <w:pPr>
              <w:spacing w:after="60"/>
            </w:pPr>
            <w:r>
              <w:rPr>
                <w:b/>
                <w:bCs/>
                <w:sz w:val="20"/>
                <w:szCs w:val="20"/>
              </w:rPr>
              <w:t xml:space="preserve">Deviation</w:t>
            </w:r>
          </w:p>
        </w:tc>
        <w:tc>
          <w:tcPr>
            <w:tcW w:type="dxa" w:w="2300"/>
            <w:shd w:fill="DCE6F1" w:color="auto" w:val="clear"/>
          </w:tcPr>
          <w:p>
            <w:pPr>
              <w:spacing w:after="60"/>
            </w:pPr>
            <w:r>
              <w:rPr>
                <w:b/>
                <w:bCs/>
                <w:sz w:val="20"/>
                <w:szCs w:val="20"/>
              </w:rPr>
              <w:t xml:space="preserve">Likely cause</w:t>
            </w:r>
          </w:p>
        </w:tc>
        <w:tc>
          <w:tcPr>
            <w:tcW w:type="dxa" w:w="4460"/>
            <w:shd w:fill="DCE6F1" w:color="auto" w:val="clear"/>
          </w:tcPr>
          <w:p>
            <w:pPr>
              <w:spacing w:after="60"/>
            </w:pPr>
            <w:r>
              <w:rPr>
                <w:b/>
                <w:bCs/>
                <w:sz w:val="20"/>
                <w:szCs w:val="20"/>
              </w:rPr>
              <w:t xml:space="preserve">Confirming check</w:t>
            </w:r>
          </w:p>
        </w:tc>
      </w:tr>
      <w:tr>
        <w:tc>
          <w:tcPr>
            <w:tcW w:type="dxa" w:w="2600"/>
          </w:tcPr>
          <w:p>
            <w:pPr>
              <w:spacing w:after="60"/>
            </w:pPr>
            <w:r>
              <w:rPr>
                <w:b w:val="false"/>
                <w:bCs w:val="false"/>
                <w:sz w:val="20"/>
                <w:szCs w:val="20"/>
              </w:rPr>
              <w:t xml:space="preserve">greenup slower than expected</w:t>
            </w:r>
          </w:p>
        </w:tc>
        <w:tc>
          <w:tcPr>
            <w:tcW w:type="dxa" w:w="2300"/>
          </w:tcPr>
          <w:p>
            <w:pPr>
              <w:spacing w:after="60"/>
            </w:pPr>
            <w:r>
              <w:rPr>
                <w:b w:val="false"/>
                <w:bCs w:val="false"/>
                <w:sz w:val="20"/>
                <w:szCs w:val="20"/>
              </w:rPr>
              <w:t xml:space="preserve">delayed emergence, poor seed, soil-moisture shortfall</w:t>
            </w:r>
          </w:p>
        </w:tc>
        <w:tc>
          <w:tcPr>
            <w:tcW w:type="dxa" w:w="4460"/>
          </w:tcPr>
          <w:p>
            <w:pPr>
              <w:spacing w:after="60"/>
            </w:pPr>
            <w:r>
              <w:rPr>
                <w:b w:val="false"/>
                <w:bCs w:val="false"/>
                <w:sz w:val="20"/>
                <w:szCs w:val="20"/>
              </w:rPr>
              <w:t xml:space="preserve">sub-node soil moisture at seed depth; germination scout</w:t>
            </w:r>
          </w:p>
        </w:tc>
      </w:tr>
      <w:tr>
        <w:tc>
          <w:tcPr>
            <w:tcW w:type="dxa" w:w="2600"/>
          </w:tcPr>
          <w:p>
            <w:pPr>
              <w:spacing w:after="60"/>
            </w:pPr>
            <w:r>
              <w:rPr>
                <w:b w:val="false"/>
                <w:bCs w:val="false"/>
                <w:sz w:val="20"/>
                <w:szCs w:val="20"/>
              </w:rPr>
              <w:t xml:space="preserve">peak NDVI lower than expected (&lt; 0.60 for closed canopy)</w:t>
            </w:r>
          </w:p>
        </w:tc>
        <w:tc>
          <w:tcPr>
            <w:tcW w:type="dxa" w:w="2300"/>
          </w:tcPr>
          <w:p>
            <w:pPr>
              <w:spacing w:after="60"/>
            </w:pPr>
            <w:r>
              <w:rPr>
                <w:b w:val="false"/>
                <w:bCs w:val="false"/>
                <w:sz w:val="20"/>
                <w:szCs w:val="20"/>
              </w:rPr>
              <w:t xml:space="preserve">nitrogen deficiency, salt, waterlogging</w:t>
            </w:r>
          </w:p>
        </w:tc>
        <w:tc>
          <w:tcPr>
            <w:tcW w:type="dxa" w:w="4460"/>
          </w:tcPr>
          <w:p>
            <w:pPr>
              <w:spacing w:after="60"/>
            </w:pPr>
            <w:r>
              <w:rPr>
                <w:b w:val="false"/>
                <w:bCs w:val="false"/>
                <w:sz w:val="20"/>
                <w:szCs w:val="20"/>
              </w:rPr>
              <w:t xml:space="preserve">D04 nitrogen rule; NDRE for direct N check; sub-node EC</w:t>
            </w:r>
          </w:p>
        </w:tc>
      </w:tr>
      <w:tr>
        <w:tc>
          <w:tcPr>
            <w:tcW w:type="dxa" w:w="2600"/>
          </w:tcPr>
          <w:p>
            <w:pPr>
              <w:spacing w:after="60"/>
            </w:pPr>
            <w:r>
              <w:rPr>
                <w:b w:val="false"/>
                <w:bCs w:val="false"/>
                <w:sz w:val="20"/>
                <w:szCs w:val="20"/>
              </w:rPr>
              <w:t xml:space="preserve">peak NDVI reached but sudden drop of &gt; 0.15 in 10 days</w:t>
            </w:r>
          </w:p>
        </w:tc>
        <w:tc>
          <w:tcPr>
            <w:tcW w:type="dxa" w:w="2300"/>
          </w:tcPr>
          <w:p>
            <w:pPr>
              <w:spacing w:after="60"/>
            </w:pPr>
            <w:r>
              <w:rPr>
                <w:b w:val="false"/>
                <w:bCs w:val="false"/>
                <w:sz w:val="20"/>
                <w:szCs w:val="20"/>
              </w:rPr>
              <w:t xml:space="preserve">disease outbreak, severe pest, hailstorm, flooding</w:t>
            </w:r>
          </w:p>
        </w:tc>
        <w:tc>
          <w:tcPr>
            <w:tcW w:type="dxa" w:w="4460"/>
          </w:tcPr>
          <w:p>
            <w:pPr>
              <w:spacing w:after="60"/>
            </w:pPr>
            <w:r>
              <w:rPr>
                <w:b w:val="false"/>
                <w:bCs w:val="false"/>
                <w:sz w:val="20"/>
                <w:szCs w:val="20"/>
              </w:rPr>
              <w:t xml:space="preserve">field scout urgent; sub-node saturation_hours; D06 differential</w:t>
            </w:r>
          </w:p>
        </w:tc>
      </w:tr>
      <w:tr>
        <w:tc>
          <w:tcPr>
            <w:tcW w:type="dxa" w:w="2600"/>
          </w:tcPr>
          <w:p>
            <w:pPr>
              <w:spacing w:after="60"/>
            </w:pPr>
            <w:r>
              <w:rPr>
                <w:b w:val="false"/>
                <w:bCs w:val="false"/>
                <w:sz w:val="20"/>
                <w:szCs w:val="20"/>
              </w:rPr>
              <w:t xml:space="preserve">peak NDVI plateau extended beyond DAP 180</w:t>
            </w:r>
          </w:p>
        </w:tc>
        <w:tc>
          <w:tcPr>
            <w:tcW w:type="dxa" w:w="2300"/>
          </w:tcPr>
          <w:p>
            <w:pPr>
              <w:spacing w:after="60"/>
            </w:pPr>
            <w:r>
              <w:rPr>
                <w:b w:val="false"/>
                <w:bCs w:val="false"/>
                <w:sz w:val="20"/>
                <w:szCs w:val="20"/>
              </w:rPr>
              <w:t xml:space="preserve">delayed rhizome bulking, excess nitrogen, cool spell</w:t>
            </w:r>
          </w:p>
        </w:tc>
        <w:tc>
          <w:tcPr>
            <w:tcW w:type="dxa" w:w="4460"/>
          </w:tcPr>
          <w:p>
            <w:pPr>
              <w:spacing w:after="60"/>
            </w:pPr>
            <w:r>
              <w:rPr>
                <w:b w:val="false"/>
                <w:bCs w:val="false"/>
                <w:sz w:val="20"/>
                <w:szCs w:val="20"/>
              </w:rPr>
              <w:t xml:space="preserve">compare to Kannad temperature record; D04 late-N check</w:t>
            </w:r>
          </w:p>
        </w:tc>
      </w:tr>
      <w:tr>
        <w:tc>
          <w:tcPr>
            <w:tcW w:type="dxa" w:w="2600"/>
          </w:tcPr>
          <w:p>
            <w:pPr>
              <w:spacing w:after="60"/>
            </w:pPr>
            <w:r>
              <w:rPr>
                <w:b w:val="false"/>
                <w:bCs w:val="false"/>
                <w:sz w:val="20"/>
                <w:szCs w:val="20"/>
              </w:rPr>
              <w:t xml:space="preserve">senescence earlier than expected</w:t>
            </w:r>
          </w:p>
        </w:tc>
        <w:tc>
          <w:tcPr>
            <w:tcW w:type="dxa" w:w="2300"/>
          </w:tcPr>
          <w:p>
            <w:pPr>
              <w:spacing w:after="60"/>
            </w:pPr>
            <w:r>
              <w:rPr>
                <w:b w:val="false"/>
                <w:bCs w:val="false"/>
                <w:sz w:val="20"/>
                <w:szCs w:val="20"/>
              </w:rPr>
              <w:t xml:space="preserve">water stress, early lifting attempt, wilt</w:t>
            </w:r>
          </w:p>
        </w:tc>
        <w:tc>
          <w:tcPr>
            <w:tcW w:type="dxa" w:w="4460"/>
          </w:tcPr>
          <w:p>
            <w:pPr>
              <w:spacing w:after="60"/>
            </w:pPr>
            <w:r>
              <w:rPr>
                <w:b w:val="false"/>
                <w:bCs w:val="false"/>
                <w:sz w:val="20"/>
                <w:szCs w:val="20"/>
              </w:rPr>
              <w:t xml:space="preserve">CWSI; sub-node moisture; D06 wilt differential</w:t>
            </w:r>
          </w:p>
        </w:tc>
      </w:tr>
      <w:tr>
        <w:tc>
          <w:tcPr>
            <w:tcW w:type="dxa" w:w="2600"/>
          </w:tcPr>
          <w:p>
            <w:pPr>
              <w:spacing w:after="60"/>
            </w:pPr>
            <w:r>
              <w:rPr>
                <w:b w:val="false"/>
                <w:bCs w:val="false"/>
                <w:sz w:val="20"/>
                <w:szCs w:val="20"/>
              </w:rPr>
              <w:t xml:space="preserve">no senescence by DAP 220</w:t>
            </w:r>
          </w:p>
        </w:tc>
        <w:tc>
          <w:tcPr>
            <w:tcW w:type="dxa" w:w="2300"/>
          </w:tcPr>
          <w:p>
            <w:pPr>
              <w:spacing w:after="60"/>
            </w:pPr>
            <w:r>
              <w:rPr>
                <w:b w:val="false"/>
                <w:bCs w:val="false"/>
                <w:sz w:val="20"/>
                <w:szCs w:val="20"/>
              </w:rPr>
              <w:t xml:space="preserve">late planting, cool tail of monsoon, missed harvest window</w:t>
            </w:r>
          </w:p>
        </w:tc>
        <w:tc>
          <w:tcPr>
            <w:tcW w:type="dxa" w:w="4460"/>
          </w:tcPr>
          <w:p>
            <w:pPr>
              <w:spacing w:after="60"/>
            </w:pPr>
            <w:r>
              <w:rPr>
                <w:b w:val="false"/>
                <w:bCs w:val="false"/>
                <w:sz w:val="20"/>
                <w:szCs w:val="20"/>
              </w:rPr>
              <w:t xml:space="preserve">DAP recheck; D09 harvest rules</w:t>
            </w:r>
          </w:p>
        </w:tc>
      </w:tr>
    </w:tbl>
    <w:p>
      <w:pPr>
        <w:pStyle w:val="Heading2"/>
        <w:spacing w:after="150" w:before="300"/>
      </w:pPr>
      <w:r>
        <w:rPr>
          <w:b/>
          <w:bCs/>
          <w:sz w:val="26"/>
          <w:szCs w:val="26"/>
        </w:rPr>
        <w:t xml:space="preserve">8.4 The double-signal principle — दुहेरी सिग्नल तत्त्व</w:t>
      </w:r>
    </w:p>
    <w:p>
      <w:pPr>
        <w:spacing w:after="120"/>
      </w:pPr>
      <w:r>
        <w:t xml:space="preserve">A satellite deviation is a signal, not a diagnosis. Every deviation rule in this document requires a second confirming signal — from the sub-node, from the cluster weather station, from a farmer scout, or from a farmer response to an engine diagnostic. This is a direct application of the D06 architectural principle that treatment_rule is returned only on a CONFIRMED diagnosis.</w:t>
      </w:r>
    </w:p>
    <w:p>
      <w:pPr>
        <w:spacing w:after="300" w:before="200"/>
      </w:pPr>
      <w:r>
        <w:rPr>
          <w:i/>
          <w:iCs/>
          <w:sz w:val="20"/>
          <w:szCs w:val="20"/>
        </w:rPr>
        <w:t xml:space="preserve">Sources: Zhang et al. 2003 (double-logistic phenology fitting); Sakamoto et al. 2010 (crop phenology from MODIS); ICAR-IISR ginger phenology field notes; Domain 1 lifecycle stage definitions; Domain 6 multi-diagnosis architecture.</w:t>
      </w:r>
    </w:p>
    <w:p>
      <w:r>
        <w:br w:type="page"/>
      </w:r>
    </w:p>
    <w:p>
      <w:pPr>
        <w:pStyle w:val="Heading1"/>
        <w:spacing w:after="200" w:before="400"/>
      </w:pPr>
      <w:r>
        <w:rPr>
          <w:b/>
          <w:bCs/>
          <w:sz w:val="32"/>
          <w:szCs w:val="32"/>
        </w:rPr>
        <w:t xml:space="preserve">SECTION 9. Anomaly and change detection — विसंगती व बदल शोध</w:t>
      </w:r>
    </w:p>
    <w:p>
      <w:pPr>
        <w:pStyle w:val="Heading2"/>
        <w:spacing w:after="150" w:before="300"/>
      </w:pPr>
      <w:r>
        <w:rPr>
          <w:b/>
          <w:bCs/>
          <w:sz w:val="26"/>
          <w:szCs w:val="26"/>
        </w:rPr>
        <w:t xml:space="preserve">9.1 Baseline construction — मूलभूत आधार तयार करणे</w:t>
      </w:r>
    </w:p>
    <w:p>
      <w:pPr>
        <w:spacing w:after="120"/>
      </w:pPr>
      <w:r>
        <w:t xml:space="preserve">An anomaly is a departure from a baseline. Three baseline types are needed for a ginger plot:</w:t>
      </w:r>
    </w:p>
    <w:p>
      <w:pPr>
        <w:pStyle w:val="ListParagraph"/>
        <w:numPr>
          <w:ilvl w:val="0"/>
          <w:numId w:val="1"/>
        </w:numPr>
        <w:spacing w:after="80"/>
      </w:pPr>
      <w:r>
        <w:t xml:space="preserve">Plot-own historical baseline: the NDVI curve of this plot in previous seasons. Requires at least one prior season of data; before that, unavailable.</w:t>
      </w:r>
    </w:p>
    <w:p>
      <w:pPr>
        <w:pStyle w:val="ListParagraph"/>
        <w:numPr>
          <w:ilvl w:val="0"/>
          <w:numId w:val="1"/>
        </w:numPr>
        <w:spacing w:after="80"/>
      </w:pPr>
      <w:r>
        <w:t xml:space="preserve">Cluster peer baseline: the NDVI curves of neighbouring ginger plots this season. Requires plot registration and cluster membership; available in season 1 once ≥ 3 plots are enrolled.</w:t>
      </w:r>
    </w:p>
    <w:p>
      <w:pPr>
        <w:pStyle w:val="ListParagraph"/>
        <w:numPr>
          <w:ilvl w:val="0"/>
          <w:numId w:val="1"/>
        </w:numPr>
        <w:spacing w:after="80"/>
      </w:pPr>
      <w:r>
        <w:t xml:space="preserve">Regional model baseline: an average NDVI curve for healthy Marathwada ginger, synthesised from published phenology and expert input. Available from day one, coarser, and revised after each season.</w:t>
      </w:r>
    </w:p>
    <w:p>
      <w:pPr>
        <w:pStyle w:val="Heading2"/>
        <w:spacing w:after="150" w:before="300"/>
      </w:pPr>
      <w:r>
        <w:rPr>
          <w:b/>
          <w:bCs/>
          <w:sz w:val="26"/>
          <w:szCs w:val="26"/>
        </w:rPr>
        <w:t xml:space="preserve">9.2 Anomaly detection rule ladder — विसंगती शोध क्रम</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900"/>
        <w:gridCol w:w="1160"/>
        <w:gridCol w:w="2600"/>
      </w:tblGrid>
      <w:tr>
        <w:trPr>
          <w:tblHeader/>
        </w:trPr>
        <w:tc>
          <w:tcPr>
            <w:tcW w:type="dxa" w:w="2500"/>
            <w:shd w:fill="DCE6F1" w:color="auto" w:val="clear"/>
          </w:tcPr>
          <w:p>
            <w:pPr>
              <w:spacing w:after="60"/>
            </w:pPr>
            <w:r>
              <w:rPr>
                <w:b/>
                <w:bCs/>
                <w:sz w:val="20"/>
                <w:szCs w:val="20"/>
              </w:rPr>
              <w:t xml:space="preserve">Anomaly</w:t>
            </w:r>
          </w:p>
        </w:tc>
        <w:tc>
          <w:tcPr>
            <w:tcW w:type="dxa" w:w="1200"/>
            <w:shd w:fill="DCE6F1" w:color="auto" w:val="clear"/>
          </w:tcPr>
          <w:p>
            <w:pPr>
              <w:spacing w:after="60"/>
            </w:pPr>
            <w:r>
              <w:rPr>
                <w:b/>
                <w:bCs/>
                <w:sz w:val="20"/>
                <w:szCs w:val="20"/>
              </w:rPr>
              <w:t xml:space="preserve">Baseline</w:t>
            </w:r>
          </w:p>
        </w:tc>
        <w:tc>
          <w:tcPr>
            <w:tcW w:type="dxa" w:w="1900"/>
            <w:shd w:fill="DCE6F1" w:color="auto" w:val="clear"/>
          </w:tcPr>
          <w:p>
            <w:pPr>
              <w:spacing w:after="60"/>
            </w:pPr>
            <w:r>
              <w:rPr>
                <w:b/>
                <w:bCs/>
                <w:sz w:val="20"/>
                <w:szCs w:val="20"/>
              </w:rPr>
              <w:t xml:space="preserve">Threshold (draft)</w:t>
            </w:r>
          </w:p>
        </w:tc>
        <w:tc>
          <w:tcPr>
            <w:tcW w:type="dxa" w:w="1160"/>
            <w:shd w:fill="DCE6F1" w:color="auto" w:val="clear"/>
          </w:tcPr>
          <w:p>
            <w:pPr>
              <w:spacing w:after="60"/>
            </w:pPr>
            <w:r>
              <w:rPr>
                <w:b/>
                <w:bCs/>
                <w:sz w:val="20"/>
                <w:szCs w:val="20"/>
              </w:rPr>
              <w:t xml:space="preserve">Confidence</w:t>
            </w:r>
          </w:p>
        </w:tc>
        <w:tc>
          <w:tcPr>
            <w:tcW w:type="dxa" w:w="2600"/>
            <w:shd w:fill="DCE6F1" w:color="auto" w:val="clear"/>
          </w:tcPr>
          <w:p>
            <w:pPr>
              <w:spacing w:after="60"/>
            </w:pPr>
            <w:r>
              <w:rPr>
                <w:b/>
                <w:bCs/>
                <w:sz w:val="20"/>
                <w:szCs w:val="20"/>
              </w:rPr>
              <w:t xml:space="preserve">Follow-up</w:t>
            </w:r>
          </w:p>
        </w:tc>
      </w:tr>
      <w:tr>
        <w:tc>
          <w:tcPr>
            <w:tcW w:type="dxa" w:w="2500"/>
          </w:tcPr>
          <w:p>
            <w:pPr>
              <w:spacing w:after="60"/>
            </w:pPr>
            <w:r>
              <w:rPr>
                <w:b w:val="false"/>
                <w:bCs w:val="false"/>
                <w:sz w:val="20"/>
                <w:szCs w:val="20"/>
              </w:rPr>
              <w:t xml:space="preserve">NDVI below regional band for the stage</w:t>
            </w:r>
          </w:p>
        </w:tc>
        <w:tc>
          <w:tcPr>
            <w:tcW w:type="dxa" w:w="1200"/>
          </w:tcPr>
          <w:p>
            <w:pPr>
              <w:spacing w:after="60"/>
            </w:pPr>
            <w:r>
              <w:rPr>
                <w:b w:val="false"/>
                <w:bCs w:val="false"/>
                <w:sz w:val="20"/>
                <w:szCs w:val="20"/>
              </w:rPr>
              <w:t xml:space="preserve">regional</w:t>
            </w:r>
          </w:p>
        </w:tc>
        <w:tc>
          <w:tcPr>
            <w:tcW w:type="dxa" w:w="1900"/>
          </w:tcPr>
          <w:p>
            <w:pPr>
              <w:spacing w:after="60"/>
            </w:pPr>
            <w:r>
              <w:rPr>
                <w:b w:val="false"/>
                <w:bCs w:val="false"/>
                <w:sz w:val="20"/>
                <w:szCs w:val="20"/>
              </w:rPr>
              <w:t xml:space="preserve">more than 0.10 below</w:t>
            </w:r>
          </w:p>
        </w:tc>
        <w:tc>
          <w:tcPr>
            <w:tcW w:type="dxa" w:w="1160"/>
          </w:tcPr>
          <w:p>
            <w:pPr>
              <w:spacing w:after="60"/>
            </w:pPr>
            <w:r>
              <w:rPr>
                <w:b w:val="false"/>
                <w:bCs w:val="false"/>
                <w:sz w:val="20"/>
                <w:szCs w:val="20"/>
              </w:rPr>
              <w:t xml:space="preserve">medium</w:t>
            </w:r>
          </w:p>
        </w:tc>
        <w:tc>
          <w:tcPr>
            <w:tcW w:type="dxa" w:w="2600"/>
          </w:tcPr>
          <w:p>
            <w:pPr>
              <w:spacing w:after="60"/>
            </w:pPr>
            <w:r>
              <w:rPr>
                <w:b w:val="false"/>
                <w:bCs w:val="false"/>
                <w:sz w:val="20"/>
                <w:szCs w:val="20"/>
              </w:rPr>
              <w:t xml:space="preserve">sub-node re-check, scout request</w:t>
            </w:r>
          </w:p>
        </w:tc>
      </w:tr>
      <w:tr>
        <w:tc>
          <w:tcPr>
            <w:tcW w:type="dxa" w:w="2500"/>
          </w:tcPr>
          <w:p>
            <w:pPr>
              <w:spacing w:after="60"/>
            </w:pPr>
            <w:r>
              <w:rPr>
                <w:b w:val="false"/>
                <w:bCs w:val="false"/>
                <w:sz w:val="20"/>
                <w:szCs w:val="20"/>
              </w:rPr>
              <w:t xml:space="preserve">NDVI above regional band for the stage</w:t>
            </w:r>
          </w:p>
        </w:tc>
        <w:tc>
          <w:tcPr>
            <w:tcW w:type="dxa" w:w="1200"/>
          </w:tcPr>
          <w:p>
            <w:pPr>
              <w:spacing w:after="60"/>
            </w:pPr>
            <w:r>
              <w:rPr>
                <w:b w:val="false"/>
                <w:bCs w:val="false"/>
                <w:sz w:val="20"/>
                <w:szCs w:val="20"/>
              </w:rPr>
              <w:t xml:space="preserve">regional</w:t>
            </w:r>
          </w:p>
        </w:tc>
        <w:tc>
          <w:tcPr>
            <w:tcW w:type="dxa" w:w="1900"/>
          </w:tcPr>
          <w:p>
            <w:pPr>
              <w:spacing w:after="60"/>
            </w:pPr>
            <w:r>
              <w:rPr>
                <w:b w:val="false"/>
                <w:bCs w:val="false"/>
                <w:sz w:val="20"/>
                <w:szCs w:val="20"/>
              </w:rPr>
              <w:t xml:space="preserve">more than 0.10 above</w:t>
            </w:r>
          </w:p>
        </w:tc>
        <w:tc>
          <w:tcPr>
            <w:tcW w:type="dxa" w:w="1160"/>
          </w:tcPr>
          <w:p>
            <w:pPr>
              <w:spacing w:after="60"/>
            </w:pPr>
            <w:r>
              <w:rPr>
                <w:b w:val="false"/>
                <w:bCs w:val="false"/>
                <w:sz w:val="20"/>
                <w:szCs w:val="20"/>
              </w:rPr>
              <w:t xml:space="preserve">low</w:t>
            </w:r>
          </w:p>
        </w:tc>
        <w:tc>
          <w:tcPr>
            <w:tcW w:type="dxa" w:w="2600"/>
          </w:tcPr>
          <w:p>
            <w:pPr>
              <w:spacing w:after="60"/>
            </w:pPr>
            <w:r>
              <w:rPr>
                <w:b w:val="false"/>
                <w:bCs w:val="false"/>
                <w:sz w:val="20"/>
                <w:szCs w:val="20"/>
              </w:rPr>
              <w:t xml:space="preserve">weed or intercrop check; usually benign</w:t>
            </w:r>
          </w:p>
        </w:tc>
      </w:tr>
      <w:tr>
        <w:tc>
          <w:tcPr>
            <w:tcW w:type="dxa" w:w="2500"/>
          </w:tcPr>
          <w:p>
            <w:pPr>
              <w:spacing w:after="60"/>
            </w:pPr>
            <w:r>
              <w:rPr>
                <w:b w:val="false"/>
                <w:bCs w:val="false"/>
                <w:sz w:val="20"/>
                <w:szCs w:val="20"/>
              </w:rPr>
              <w:t xml:space="preserve">NDVI 10-day drop</w:t>
            </w:r>
          </w:p>
        </w:tc>
        <w:tc>
          <w:tcPr>
            <w:tcW w:type="dxa" w:w="1200"/>
          </w:tcPr>
          <w:p>
            <w:pPr>
              <w:spacing w:after="60"/>
            </w:pPr>
            <w:r>
              <w:rPr>
                <w:b w:val="false"/>
                <w:bCs w:val="false"/>
                <w:sz w:val="20"/>
                <w:szCs w:val="20"/>
              </w:rPr>
              <w:t xml:space="preserve">plot own</w:t>
            </w:r>
          </w:p>
        </w:tc>
        <w:tc>
          <w:tcPr>
            <w:tcW w:type="dxa" w:w="1900"/>
          </w:tcPr>
          <w:p>
            <w:pPr>
              <w:spacing w:after="60"/>
            </w:pPr>
            <w:r>
              <w:rPr>
                <w:b w:val="false"/>
                <w:bCs w:val="false"/>
                <w:sz w:val="20"/>
                <w:szCs w:val="20"/>
              </w:rPr>
              <w:t xml:space="preserve">drop of 0.15 or more</w:t>
            </w:r>
          </w:p>
        </w:tc>
        <w:tc>
          <w:tcPr>
            <w:tcW w:type="dxa" w:w="1160"/>
          </w:tcPr>
          <w:p>
            <w:pPr>
              <w:spacing w:after="60"/>
            </w:pPr>
            <w:r>
              <w:rPr>
                <w:b w:val="false"/>
                <w:bCs w:val="false"/>
                <w:sz w:val="20"/>
                <w:szCs w:val="20"/>
              </w:rPr>
              <w:t xml:space="preserve">medium</w:t>
            </w:r>
          </w:p>
        </w:tc>
        <w:tc>
          <w:tcPr>
            <w:tcW w:type="dxa" w:w="2600"/>
          </w:tcPr>
          <w:p>
            <w:pPr>
              <w:spacing w:after="60"/>
            </w:pPr>
            <w:r>
              <w:rPr>
                <w:b w:val="false"/>
                <w:bCs w:val="false"/>
                <w:sz w:val="20"/>
                <w:szCs w:val="20"/>
              </w:rPr>
              <w:t xml:space="preserve">urgent scout; check sub-node saturation and EC</w:t>
            </w:r>
          </w:p>
        </w:tc>
      </w:tr>
      <w:tr>
        <w:tc>
          <w:tcPr>
            <w:tcW w:type="dxa" w:w="2500"/>
          </w:tcPr>
          <w:p>
            <w:pPr>
              <w:spacing w:after="60"/>
            </w:pPr>
            <w:r>
              <w:rPr>
                <w:b w:val="false"/>
                <w:bCs w:val="false"/>
                <w:sz w:val="20"/>
                <w:szCs w:val="20"/>
              </w:rPr>
              <w:t xml:space="preserve">NDVI drift from cluster peers</w:t>
            </w:r>
          </w:p>
        </w:tc>
        <w:tc>
          <w:tcPr>
            <w:tcW w:type="dxa" w:w="1200"/>
          </w:tcPr>
          <w:p>
            <w:pPr>
              <w:spacing w:after="60"/>
            </w:pPr>
            <w:r>
              <w:rPr>
                <w:b w:val="false"/>
                <w:bCs w:val="false"/>
                <w:sz w:val="20"/>
                <w:szCs w:val="20"/>
              </w:rPr>
              <w:t xml:space="preserve">peer</w:t>
            </w:r>
          </w:p>
        </w:tc>
        <w:tc>
          <w:tcPr>
            <w:tcW w:type="dxa" w:w="1900"/>
          </w:tcPr>
          <w:p>
            <w:pPr>
              <w:spacing w:after="60"/>
            </w:pPr>
            <w:r>
              <w:rPr>
                <w:b w:val="false"/>
                <w:bCs w:val="false"/>
                <w:sz w:val="20"/>
                <w:szCs w:val="20"/>
              </w:rPr>
              <w:t xml:space="preserve">more than 0.10 gap after DAP 60</w:t>
            </w:r>
          </w:p>
        </w:tc>
        <w:tc>
          <w:tcPr>
            <w:tcW w:type="dxa" w:w="1160"/>
          </w:tcPr>
          <w:p>
            <w:pPr>
              <w:spacing w:after="60"/>
            </w:pPr>
            <w:r>
              <w:rPr>
                <w:b w:val="false"/>
                <w:bCs w:val="false"/>
                <w:sz w:val="20"/>
                <w:szCs w:val="20"/>
              </w:rPr>
              <w:t xml:space="preserve">medium</w:t>
            </w:r>
          </w:p>
        </w:tc>
        <w:tc>
          <w:tcPr>
            <w:tcW w:type="dxa" w:w="2600"/>
          </w:tcPr>
          <w:p>
            <w:pPr>
              <w:spacing w:after="60"/>
            </w:pPr>
            <w:r>
              <w:rPr>
                <w:b w:val="false"/>
                <w:bCs w:val="false"/>
                <w:sz w:val="20"/>
                <w:szCs w:val="20"/>
              </w:rPr>
              <w:t xml:space="preserve">plot-specific investigation; nutrient or drainage</w:t>
            </w:r>
          </w:p>
        </w:tc>
      </w:tr>
      <w:tr>
        <w:tc>
          <w:tcPr>
            <w:tcW w:type="dxa" w:w="2500"/>
          </w:tcPr>
          <w:p>
            <w:pPr>
              <w:spacing w:after="60"/>
            </w:pPr>
            <w:r>
              <w:rPr>
                <w:b w:val="false"/>
                <w:bCs w:val="false"/>
                <w:sz w:val="20"/>
                <w:szCs w:val="20"/>
              </w:rPr>
              <w:t xml:space="preserve">NDRE flat while NDVI rising (early G2)</w:t>
            </w:r>
          </w:p>
        </w:tc>
        <w:tc>
          <w:tcPr>
            <w:tcW w:type="dxa" w:w="1200"/>
          </w:tcPr>
          <w:p>
            <w:pPr>
              <w:spacing w:after="60"/>
            </w:pPr>
            <w:r>
              <w:rPr>
                <w:b w:val="false"/>
                <w:bCs w:val="false"/>
                <w:sz w:val="20"/>
                <w:szCs w:val="20"/>
              </w:rPr>
              <w:t xml:space="preserve">plot own</w:t>
            </w:r>
          </w:p>
        </w:tc>
        <w:tc>
          <w:tcPr>
            <w:tcW w:type="dxa" w:w="1900"/>
          </w:tcPr>
          <w:p>
            <w:pPr>
              <w:spacing w:after="60"/>
            </w:pPr>
            <w:r>
              <w:rPr>
                <w:b w:val="false"/>
                <w:bCs w:val="false"/>
                <w:sz w:val="20"/>
                <w:szCs w:val="20"/>
              </w:rPr>
              <w:t xml:space="preserve">NDRE slope &lt; 0.005/day</w:t>
            </w:r>
          </w:p>
        </w:tc>
        <w:tc>
          <w:tcPr>
            <w:tcW w:type="dxa" w:w="1160"/>
          </w:tcPr>
          <w:p>
            <w:pPr>
              <w:spacing w:after="60"/>
            </w:pPr>
            <w:r>
              <w:rPr>
                <w:b w:val="false"/>
                <w:bCs w:val="false"/>
                <w:sz w:val="20"/>
                <w:szCs w:val="20"/>
              </w:rPr>
              <w:t xml:space="preserve">medium</w:t>
            </w:r>
          </w:p>
        </w:tc>
        <w:tc>
          <w:tcPr>
            <w:tcW w:type="dxa" w:w="2600"/>
          </w:tcPr>
          <w:p>
            <w:pPr>
              <w:spacing w:after="60"/>
            </w:pPr>
            <w:r>
              <w:rPr>
                <w:b w:val="false"/>
                <w:bCs w:val="false"/>
                <w:sz w:val="20"/>
                <w:szCs w:val="20"/>
              </w:rPr>
              <w:t xml:space="preserve">nitrogen check via D04</w:t>
            </w:r>
          </w:p>
        </w:tc>
      </w:tr>
      <w:tr>
        <w:tc>
          <w:tcPr>
            <w:tcW w:type="dxa" w:w="2500"/>
          </w:tcPr>
          <w:p>
            <w:pPr>
              <w:spacing w:after="60"/>
            </w:pPr>
            <w:r>
              <w:rPr>
                <w:b w:val="false"/>
                <w:bCs w:val="false"/>
                <w:sz w:val="20"/>
                <w:szCs w:val="20"/>
              </w:rPr>
              <w:t xml:space="preserve">Sudden VV rise on Sentinel-1 without rain</w:t>
            </w:r>
          </w:p>
        </w:tc>
        <w:tc>
          <w:tcPr>
            <w:tcW w:type="dxa" w:w="1200"/>
          </w:tcPr>
          <w:p>
            <w:pPr>
              <w:spacing w:after="60"/>
            </w:pPr>
            <w:r>
              <w:rPr>
                <w:b w:val="false"/>
                <w:bCs w:val="false"/>
                <w:sz w:val="20"/>
                <w:szCs w:val="20"/>
              </w:rPr>
              <w:t xml:space="preserve">plot own</w:t>
            </w:r>
          </w:p>
        </w:tc>
        <w:tc>
          <w:tcPr>
            <w:tcW w:type="dxa" w:w="1900"/>
          </w:tcPr>
          <w:p>
            <w:pPr>
              <w:spacing w:after="60"/>
            </w:pPr>
            <w:r>
              <w:rPr>
                <w:b w:val="false"/>
                <w:bCs w:val="false"/>
                <w:sz w:val="20"/>
                <w:szCs w:val="20"/>
              </w:rPr>
              <w:t xml:space="preserve">more than 3 dB</w:t>
            </w:r>
          </w:p>
        </w:tc>
        <w:tc>
          <w:tcPr>
            <w:tcW w:type="dxa" w:w="1160"/>
          </w:tcPr>
          <w:p>
            <w:pPr>
              <w:spacing w:after="60"/>
            </w:pPr>
            <w:r>
              <w:rPr>
                <w:b w:val="false"/>
                <w:bCs w:val="false"/>
                <w:sz w:val="20"/>
                <w:szCs w:val="20"/>
              </w:rPr>
              <w:t xml:space="preserve">medium</w:t>
            </w:r>
          </w:p>
        </w:tc>
        <w:tc>
          <w:tcPr>
            <w:tcW w:type="dxa" w:w="2600"/>
          </w:tcPr>
          <w:p>
            <w:pPr>
              <w:spacing w:after="60"/>
            </w:pPr>
            <w:r>
              <w:rPr>
                <w:b w:val="false"/>
                <w:bCs w:val="false"/>
                <w:sz w:val="20"/>
                <w:szCs w:val="20"/>
              </w:rPr>
              <w:t xml:space="preserve">tillage or irrigation event that was not logged</w:t>
            </w:r>
          </w:p>
        </w:tc>
      </w:tr>
      <w:tr>
        <w:tc>
          <w:tcPr>
            <w:tcW w:type="dxa" w:w="2500"/>
          </w:tcPr>
          <w:p>
            <w:pPr>
              <w:spacing w:after="60"/>
            </w:pPr>
            <w:r>
              <w:rPr>
                <w:b w:val="false"/>
                <w:bCs w:val="false"/>
                <w:sz w:val="20"/>
                <w:szCs w:val="20"/>
              </w:rPr>
              <w:t xml:space="preserve">LST−air &gt; threshold with NDMI healthy</w:t>
            </w:r>
          </w:p>
        </w:tc>
        <w:tc>
          <w:tcPr>
            <w:tcW w:type="dxa" w:w="1200"/>
          </w:tcPr>
          <w:p>
            <w:pPr>
              <w:spacing w:after="60"/>
            </w:pPr>
            <w:r>
              <w:rPr>
                <w:b w:val="false"/>
                <w:bCs w:val="false"/>
                <w:sz w:val="20"/>
                <w:szCs w:val="20"/>
              </w:rPr>
              <w:t xml:space="preserve">plot own</w:t>
            </w:r>
          </w:p>
        </w:tc>
        <w:tc>
          <w:tcPr>
            <w:tcW w:type="dxa" w:w="1900"/>
          </w:tcPr>
          <w:p>
            <w:pPr>
              <w:spacing w:after="60"/>
            </w:pPr>
            <w:r>
              <w:rPr>
                <w:b w:val="false"/>
                <w:bCs w:val="false"/>
                <w:sz w:val="20"/>
                <w:szCs w:val="20"/>
              </w:rPr>
              <w:t xml:space="preserve">refer to section 7</w:t>
            </w:r>
          </w:p>
        </w:tc>
        <w:tc>
          <w:tcPr>
            <w:tcW w:type="dxa" w:w="1160"/>
          </w:tcPr>
          <w:p>
            <w:pPr>
              <w:spacing w:after="60"/>
            </w:pPr>
            <w:r>
              <w:rPr>
                <w:b w:val="false"/>
                <w:bCs w:val="false"/>
                <w:sz w:val="20"/>
                <w:szCs w:val="20"/>
              </w:rPr>
              <w:t xml:space="preserve">medium</w:t>
            </w:r>
          </w:p>
        </w:tc>
        <w:tc>
          <w:tcPr>
            <w:tcW w:type="dxa" w:w="2600"/>
          </w:tcPr>
          <w:p>
            <w:pPr>
              <w:spacing w:after="60"/>
            </w:pPr>
            <w:r>
              <w:rPr>
                <w:b w:val="false"/>
                <w:bCs w:val="false"/>
                <w:sz w:val="20"/>
                <w:szCs w:val="20"/>
              </w:rPr>
              <w:t xml:space="preserve">non-water stress — pest or root damage</w:t>
            </w:r>
          </w:p>
        </w:tc>
      </w:tr>
    </w:tbl>
    <w:p>
      <w:pPr>
        <w:pStyle w:val="Heading2"/>
        <w:spacing w:after="150" w:before="300"/>
      </w:pPr>
      <w:r>
        <w:rPr>
          <w:b/>
          <w:bCs/>
          <w:sz w:val="26"/>
          <w:szCs w:val="26"/>
        </w:rPr>
        <w:t xml:space="preserve">9.3 False positive management — खोट्या इशाऱ्यांचे नियंत्रण</w:t>
      </w:r>
    </w:p>
    <w:p>
      <w:pPr>
        <w:pStyle w:val="ListParagraph"/>
        <w:numPr>
          <w:ilvl w:val="0"/>
          <w:numId w:val="1"/>
        </w:numPr>
        <w:spacing w:after="80"/>
      </w:pPr>
      <w:r>
        <w:t xml:space="preserve">An anomaly is not an alert until at least one other signal agrees. See Section 8.4.</w:t>
      </w:r>
    </w:p>
    <w:p>
      <w:pPr>
        <w:pStyle w:val="ListParagraph"/>
        <w:numPr>
          <w:ilvl w:val="0"/>
          <w:numId w:val="1"/>
        </w:numPr>
        <w:spacing w:after="80"/>
      </w:pPr>
      <w:r>
        <w:t xml:space="preserve">The regional baseline is coarse. Do not fire a red alert on regional baseline alone.</w:t>
      </w:r>
    </w:p>
    <w:p>
      <w:pPr>
        <w:pStyle w:val="ListParagraph"/>
        <w:numPr>
          <w:ilvl w:val="0"/>
          <w:numId w:val="1"/>
        </w:numPr>
        <w:spacing w:after="80"/>
      </w:pPr>
      <w:r>
        <w:t xml:space="preserve">Weed flush in the first two weeks of monsoon inflates NDVI; suppress "high NDVI" anomalies in that window.</w:t>
      </w:r>
    </w:p>
    <w:p>
      <w:pPr>
        <w:pStyle w:val="ListParagraph"/>
        <w:numPr>
          <w:ilvl w:val="0"/>
          <w:numId w:val="1"/>
        </w:numPr>
        <w:spacing w:after="80"/>
      </w:pPr>
      <w:r>
        <w:t xml:space="preserve">Cloud-shadow contamination in Sentinel-2 depresses NDVI without a real change; require SCL cloud/shadow pixel percentage &lt; 15 at the plot before trusting a value.</w:t>
      </w:r>
    </w:p>
    <w:p>
      <w:pPr>
        <w:pStyle w:val="ListParagraph"/>
        <w:numPr>
          <w:ilvl w:val="0"/>
          <w:numId w:val="1"/>
        </w:numPr>
        <w:spacing w:after="80"/>
      </w:pPr>
      <w:r>
        <w:t xml:space="preserve">For a plot smaller than 5 pixels (&lt; 0.05 ha), pixel edge effects dominate; downgrade all satellite anomalies to informational.</w:t>
      </w:r>
    </w:p>
    <w:p>
      <w:pPr>
        <w:pStyle w:val="Heading2"/>
        <w:spacing w:after="150" w:before="300"/>
      </w:pPr>
      <w:r>
        <w:rPr>
          <w:b/>
          <w:bCs/>
          <w:sz w:val="26"/>
          <w:szCs w:val="26"/>
        </w:rPr>
        <w:t xml:space="preserve">9.4 The alarm budget — इशारा-अंदाजपत्रक</w:t>
      </w:r>
    </w:p>
    <w:p>
      <w:pPr>
        <w:spacing w:after="120"/>
      </w:pPr>
      <w:r>
        <w:t xml:space="preserve">Domain 12 sets a hard cap on messages per day (6) and per season (200). Satellite anomalies must live inside this budget. In practice the delivery class for most satellite rules will be SILENT_GUARD or WINDOW, not EVENT, and rules will be structured so at most one satellite-driven message per plot per week is expected.</w:t>
      </w:r>
    </w:p>
    <w:p>
      <w:pPr>
        <w:spacing w:after="300" w:before="200"/>
      </w:pPr>
      <w:r>
        <w:rPr>
          <w:i/>
          <w:iCs/>
          <w:sz w:val="20"/>
          <w:szCs w:val="20"/>
        </w:rPr>
        <w:t xml:space="preserve">Sources: Zhu &amp; Woodcock 2014 (continuous change detection); Verbesselt et al. 2010 (BFAST); ICAR-NRCG anomaly field studies; Domain 6 multi-diagnosis; Domain 12 message budget.</w:t>
      </w:r>
    </w:p>
    <w:p>
      <w:r>
        <w:br w:type="page"/>
      </w:r>
    </w:p>
    <w:p>
      <w:pPr>
        <w:pStyle w:val="Heading1"/>
        <w:spacing w:after="200" w:before="400"/>
      </w:pPr>
      <w:r>
        <w:rPr>
          <w:b/>
          <w:bCs/>
          <w:sz w:val="32"/>
          <w:szCs w:val="32"/>
        </w:rPr>
        <w:t xml:space="preserve">SECTION 10. Satellite × ground-truth IoT fusion — रडार-सेन्सर संमेलन</w:t>
      </w:r>
    </w:p>
    <w:p>
      <w:pPr>
        <w:pStyle w:val="Heading2"/>
        <w:spacing w:after="150" w:before="300"/>
      </w:pPr>
      <w:r>
        <w:rPr>
          <w:b/>
          <w:bCs/>
          <w:sz w:val="26"/>
          <w:szCs w:val="26"/>
        </w:rPr>
        <w:t xml:space="preserve">10.1 Complementarity — पूरकता</w:t>
      </w:r>
    </w:p>
    <w:p>
      <w:pPr>
        <w:spacing w:after="120"/>
      </w:pPr>
      <w:r>
        <w:t xml:space="preserve">Satellite and the sub-node measure different things at different scales. They are complements, not competitors. The engine treats them as such and does not attempt to average one into the 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shd w:fill="DCE6F1" w:color="auto" w:val="clear"/>
          </w:tcPr>
          <w:p>
            <w:pPr>
              <w:spacing w:after="60"/>
            </w:pPr>
            <w:r>
              <w:rPr>
                <w:b/>
                <w:bCs/>
                <w:sz w:val="20"/>
                <w:szCs w:val="20"/>
              </w:rPr>
              <w:t xml:space="preserve">Property</w:t>
            </w:r>
          </w:p>
        </w:tc>
        <w:tc>
          <w:tcPr>
            <w:tcW w:type="dxa" w:w="3510"/>
            <w:shd w:fill="DCE6F1" w:color="auto" w:val="clear"/>
          </w:tcPr>
          <w:p>
            <w:pPr>
              <w:spacing w:after="60"/>
            </w:pPr>
            <w:r>
              <w:rPr>
                <w:b/>
                <w:bCs/>
                <w:sz w:val="20"/>
                <w:szCs w:val="20"/>
              </w:rPr>
              <w:t xml:space="preserve">Sub-node</w:t>
            </w:r>
          </w:p>
        </w:tc>
        <w:tc>
          <w:tcPr>
            <w:tcW w:type="dxa" w:w="3510"/>
            <w:shd w:fill="DCE6F1" w:color="auto" w:val="clear"/>
          </w:tcPr>
          <w:p>
            <w:pPr>
              <w:spacing w:after="60"/>
            </w:pPr>
            <w:r>
              <w:rPr>
                <w:b/>
                <w:bCs/>
                <w:sz w:val="20"/>
                <w:szCs w:val="20"/>
              </w:rPr>
              <w:t xml:space="preserve">Satellite</w:t>
            </w:r>
          </w:p>
        </w:tc>
      </w:tr>
      <w:tr>
        <w:tc>
          <w:tcPr>
            <w:tcW w:type="dxa" w:w="2340"/>
          </w:tcPr>
          <w:p>
            <w:pPr>
              <w:spacing w:after="60"/>
            </w:pPr>
            <w:r>
              <w:rPr>
                <w:b w:val="false"/>
                <w:bCs w:val="false"/>
                <w:sz w:val="20"/>
                <w:szCs w:val="20"/>
              </w:rPr>
              <w:t xml:space="preserve">location</w:t>
            </w:r>
          </w:p>
        </w:tc>
        <w:tc>
          <w:tcPr>
            <w:tcW w:type="dxa" w:w="3510"/>
          </w:tcPr>
          <w:p>
            <w:pPr>
              <w:spacing w:after="60"/>
            </w:pPr>
            <w:r>
              <w:rPr>
                <w:b w:val="false"/>
                <w:bCs w:val="false"/>
                <w:sz w:val="20"/>
                <w:szCs w:val="20"/>
              </w:rPr>
              <w:t xml:space="preserve">the plot itself</w:t>
            </w:r>
          </w:p>
        </w:tc>
        <w:tc>
          <w:tcPr>
            <w:tcW w:type="dxa" w:w="3510"/>
          </w:tcPr>
          <w:p>
            <w:pPr>
              <w:spacing w:after="60"/>
            </w:pPr>
            <w:r>
              <w:rPr>
                <w:b w:val="false"/>
                <w:bCs w:val="false"/>
                <w:sz w:val="20"/>
                <w:szCs w:val="20"/>
              </w:rPr>
              <w:t xml:space="preserve">a 10–100 m pixel over the plot</w:t>
            </w:r>
          </w:p>
        </w:tc>
      </w:tr>
      <w:tr>
        <w:tc>
          <w:tcPr>
            <w:tcW w:type="dxa" w:w="2340"/>
          </w:tcPr>
          <w:p>
            <w:pPr>
              <w:spacing w:after="60"/>
            </w:pPr>
            <w:r>
              <w:rPr>
                <w:b w:val="false"/>
                <w:bCs w:val="false"/>
                <w:sz w:val="20"/>
                <w:szCs w:val="20"/>
              </w:rPr>
              <w:t xml:space="preserve">depth</w:t>
            </w:r>
          </w:p>
        </w:tc>
        <w:tc>
          <w:tcPr>
            <w:tcW w:type="dxa" w:w="3510"/>
          </w:tcPr>
          <w:p>
            <w:pPr>
              <w:spacing w:after="60"/>
            </w:pPr>
            <w:r>
              <w:rPr>
                <w:b w:val="false"/>
                <w:bCs w:val="false"/>
                <w:sz w:val="20"/>
                <w:szCs w:val="20"/>
              </w:rPr>
              <w:t xml:space="preserve">root zone directly</w:t>
            </w:r>
          </w:p>
        </w:tc>
        <w:tc>
          <w:tcPr>
            <w:tcW w:type="dxa" w:w="3510"/>
          </w:tcPr>
          <w:p>
            <w:pPr>
              <w:spacing w:after="60"/>
            </w:pPr>
            <w:r>
              <w:rPr>
                <w:b w:val="false"/>
                <w:bCs w:val="false"/>
                <w:sz w:val="20"/>
                <w:szCs w:val="20"/>
              </w:rPr>
              <w:t xml:space="preserve">surface only, plus canopy</w:t>
            </w:r>
          </w:p>
        </w:tc>
      </w:tr>
      <w:tr>
        <w:tc>
          <w:tcPr>
            <w:tcW w:type="dxa" w:w="2340"/>
          </w:tcPr>
          <w:p>
            <w:pPr>
              <w:spacing w:after="60"/>
            </w:pPr>
            <w:r>
              <w:rPr>
                <w:b w:val="false"/>
                <w:bCs w:val="false"/>
                <w:sz w:val="20"/>
                <w:szCs w:val="20"/>
              </w:rPr>
              <w:t xml:space="preserve">cadence</w:t>
            </w:r>
          </w:p>
        </w:tc>
        <w:tc>
          <w:tcPr>
            <w:tcW w:type="dxa" w:w="3510"/>
          </w:tcPr>
          <w:p>
            <w:pPr>
              <w:spacing w:after="60"/>
            </w:pPr>
            <w:r>
              <w:rPr>
                <w:b w:val="false"/>
                <w:bCs w:val="false"/>
                <w:sz w:val="20"/>
                <w:szCs w:val="20"/>
              </w:rPr>
              <w:t xml:space="preserve">minutes to hourly</w:t>
            </w:r>
          </w:p>
        </w:tc>
        <w:tc>
          <w:tcPr>
            <w:tcW w:type="dxa" w:w="3510"/>
          </w:tcPr>
          <w:p>
            <w:pPr>
              <w:spacing w:after="60"/>
            </w:pPr>
            <w:r>
              <w:rPr>
                <w:b w:val="false"/>
                <w:bCs w:val="false"/>
                <w:sz w:val="20"/>
                <w:szCs w:val="20"/>
              </w:rPr>
              <w:t xml:space="preserve">daily to weekly, dropping during cloud</w:t>
            </w:r>
          </w:p>
        </w:tc>
      </w:tr>
      <w:tr>
        <w:tc>
          <w:tcPr>
            <w:tcW w:type="dxa" w:w="2340"/>
          </w:tcPr>
          <w:p>
            <w:pPr>
              <w:spacing w:after="60"/>
            </w:pPr>
            <w:r>
              <w:rPr>
                <w:b w:val="false"/>
                <w:bCs w:val="false"/>
                <w:sz w:val="20"/>
                <w:szCs w:val="20"/>
              </w:rPr>
              <w:t xml:space="preserve">down-time</w:t>
            </w:r>
          </w:p>
        </w:tc>
        <w:tc>
          <w:tcPr>
            <w:tcW w:type="dxa" w:w="3510"/>
          </w:tcPr>
          <w:p>
            <w:pPr>
              <w:spacing w:after="60"/>
            </w:pPr>
            <w:r>
              <w:rPr>
                <w:b w:val="false"/>
                <w:bCs w:val="false"/>
                <w:sz w:val="20"/>
                <w:szCs w:val="20"/>
              </w:rPr>
              <w:t xml:space="preserve">battery, LoRa fade</w:t>
            </w:r>
          </w:p>
        </w:tc>
        <w:tc>
          <w:tcPr>
            <w:tcW w:type="dxa" w:w="3510"/>
          </w:tcPr>
          <w:p>
            <w:pPr>
              <w:spacing w:after="60"/>
            </w:pPr>
            <w:r>
              <w:rPr>
                <w:b w:val="false"/>
                <w:bCs w:val="false"/>
                <w:sz w:val="20"/>
                <w:szCs w:val="20"/>
              </w:rPr>
              <w:t xml:space="preserve">cloud, cloud, cloud</w:t>
            </w:r>
          </w:p>
        </w:tc>
      </w:tr>
      <w:tr>
        <w:tc>
          <w:tcPr>
            <w:tcW w:type="dxa" w:w="2340"/>
          </w:tcPr>
          <w:p>
            <w:pPr>
              <w:spacing w:after="60"/>
            </w:pPr>
            <w:r>
              <w:rPr>
                <w:b w:val="false"/>
                <w:bCs w:val="false"/>
                <w:sz w:val="20"/>
                <w:szCs w:val="20"/>
              </w:rPr>
              <w:t xml:space="preserve">bias</w:t>
            </w:r>
          </w:p>
        </w:tc>
        <w:tc>
          <w:tcPr>
            <w:tcW w:type="dxa" w:w="3510"/>
          </w:tcPr>
          <w:p>
            <w:pPr>
              <w:spacing w:after="60"/>
            </w:pPr>
            <w:r>
              <w:rPr>
                <w:b w:val="false"/>
                <w:bCs w:val="false"/>
                <w:sz w:val="20"/>
                <w:szCs w:val="20"/>
              </w:rPr>
              <w:t xml:space="preserve">calibration drift</w:t>
            </w:r>
          </w:p>
        </w:tc>
        <w:tc>
          <w:tcPr>
            <w:tcW w:type="dxa" w:w="3510"/>
          </w:tcPr>
          <w:p>
            <w:pPr>
              <w:spacing w:after="60"/>
            </w:pPr>
            <w:r>
              <w:rPr>
                <w:b w:val="false"/>
                <w:bCs w:val="false"/>
                <w:sz w:val="20"/>
                <w:szCs w:val="20"/>
              </w:rPr>
              <w:t xml:space="preserve">atmospheric correction error, edge pixel mixing</w:t>
            </w:r>
          </w:p>
        </w:tc>
      </w:tr>
      <w:tr>
        <w:tc>
          <w:tcPr>
            <w:tcW w:type="dxa" w:w="2340"/>
          </w:tcPr>
          <w:p>
            <w:pPr>
              <w:spacing w:after="60"/>
            </w:pPr>
            <w:r>
              <w:rPr>
                <w:b w:val="false"/>
                <w:bCs w:val="false"/>
                <w:sz w:val="20"/>
                <w:szCs w:val="20"/>
              </w:rPr>
              <w:t xml:space="preserve">strength</w:t>
            </w:r>
          </w:p>
        </w:tc>
        <w:tc>
          <w:tcPr>
            <w:tcW w:type="dxa" w:w="3510"/>
          </w:tcPr>
          <w:p>
            <w:pPr>
              <w:spacing w:after="60"/>
            </w:pPr>
            <w:r>
              <w:rPr>
                <w:b w:val="false"/>
                <w:bCs w:val="false"/>
                <w:sz w:val="20"/>
                <w:szCs w:val="20"/>
              </w:rPr>
              <w:t xml:space="preserve">direct root-zone signal, always fresh</w:t>
            </w:r>
          </w:p>
        </w:tc>
        <w:tc>
          <w:tcPr>
            <w:tcW w:type="dxa" w:w="3510"/>
          </w:tcPr>
          <w:p>
            <w:pPr>
              <w:spacing w:after="60"/>
            </w:pPr>
            <w:r>
              <w:rPr>
                <w:b w:val="false"/>
                <w:bCs w:val="false"/>
                <w:sz w:val="20"/>
                <w:szCs w:val="20"/>
              </w:rPr>
              <w:t xml:space="preserve">spatial context, plot boundary, canopy state</w:t>
            </w:r>
          </w:p>
        </w:tc>
      </w:tr>
    </w:tbl>
    <w:p>
      <w:pPr>
        <w:pStyle w:val="Heading2"/>
        <w:spacing w:after="150" w:before="300"/>
      </w:pPr>
      <w:r>
        <w:rPr>
          <w:b/>
          <w:bCs/>
          <w:sz w:val="26"/>
          <w:szCs w:val="26"/>
        </w:rPr>
        <w:t xml:space="preserve">10.2 Conflict-resolution rules — विरोध निवारण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340"/>
        <w:gridCol w:w="2340"/>
        <w:gridCol w:w="3880"/>
      </w:tblGrid>
      <w:tr>
        <w:trPr>
          <w:tblHeader/>
        </w:trPr>
        <w:tc>
          <w:tcPr>
            <w:tcW w:type="dxa" w:w="800"/>
            <w:shd w:fill="DCE6F1" w:color="auto" w:val="clear"/>
          </w:tcPr>
          <w:p>
            <w:pPr>
              <w:spacing w:after="60"/>
            </w:pPr>
            <w:r>
              <w:rPr>
                <w:b/>
                <w:bCs/>
                <w:sz w:val="20"/>
                <w:szCs w:val="20"/>
              </w:rPr>
              <w:t xml:space="preserve">Case</w:t>
            </w:r>
          </w:p>
        </w:tc>
        <w:tc>
          <w:tcPr>
            <w:tcW w:type="dxa" w:w="2340"/>
            <w:shd w:fill="DCE6F1" w:color="auto" w:val="clear"/>
          </w:tcPr>
          <w:p>
            <w:pPr>
              <w:spacing w:after="60"/>
            </w:pPr>
            <w:r>
              <w:rPr>
                <w:b/>
                <w:bCs/>
                <w:sz w:val="20"/>
                <w:szCs w:val="20"/>
              </w:rPr>
              <w:t xml:space="preserve">Sub-node says</w:t>
            </w:r>
          </w:p>
        </w:tc>
        <w:tc>
          <w:tcPr>
            <w:tcW w:type="dxa" w:w="2340"/>
            <w:shd w:fill="DCE6F1" w:color="auto" w:val="clear"/>
          </w:tcPr>
          <w:p>
            <w:pPr>
              <w:spacing w:after="60"/>
            </w:pPr>
            <w:r>
              <w:rPr>
                <w:b/>
                <w:bCs/>
                <w:sz w:val="20"/>
                <w:szCs w:val="20"/>
              </w:rPr>
              <w:t xml:space="preserve">Satellite says</w:t>
            </w:r>
          </w:p>
        </w:tc>
        <w:tc>
          <w:tcPr>
            <w:tcW w:type="dxa" w:w="3880"/>
            <w:shd w:fill="DCE6F1" w:color="auto" w:val="clear"/>
          </w:tcPr>
          <w:p>
            <w:pPr>
              <w:spacing w:after="60"/>
            </w:pPr>
            <w:r>
              <w:rPr>
                <w:b/>
                <w:bCs/>
                <w:sz w:val="20"/>
                <w:szCs w:val="20"/>
              </w:rPr>
              <w:t xml:space="preserve">Ruling</w:t>
            </w:r>
          </w:p>
        </w:tc>
      </w:tr>
      <w:tr>
        <w:tc>
          <w:tcPr>
            <w:tcW w:type="dxa" w:w="800"/>
          </w:tcPr>
          <w:p>
            <w:pPr>
              <w:spacing w:after="60"/>
            </w:pPr>
            <w:r>
              <w:rPr>
                <w:b w:val="false"/>
                <w:bCs w:val="false"/>
                <w:sz w:val="20"/>
                <w:szCs w:val="20"/>
              </w:rPr>
              <w:t xml:space="preserve">A</w:t>
            </w:r>
          </w:p>
        </w:tc>
        <w:tc>
          <w:tcPr>
            <w:tcW w:type="dxa" w:w="2340"/>
          </w:tcPr>
          <w:p>
            <w:pPr>
              <w:spacing w:after="60"/>
            </w:pPr>
            <w:r>
              <w:rPr>
                <w:b w:val="false"/>
                <w:bCs w:val="false"/>
                <w:sz w:val="20"/>
                <w:szCs w:val="20"/>
              </w:rPr>
              <w:t xml:space="preserve">moisture adequate</w:t>
            </w:r>
          </w:p>
        </w:tc>
        <w:tc>
          <w:tcPr>
            <w:tcW w:type="dxa" w:w="2340"/>
          </w:tcPr>
          <w:p>
            <w:pPr>
              <w:spacing w:after="60"/>
            </w:pPr>
            <w:r>
              <w:rPr>
                <w:b w:val="false"/>
                <w:bCs w:val="false"/>
                <w:sz w:val="20"/>
                <w:szCs w:val="20"/>
              </w:rPr>
              <w:t xml:space="preserve">canopy stress (low NDMI, high CWSI)</w:t>
            </w:r>
          </w:p>
        </w:tc>
        <w:tc>
          <w:tcPr>
            <w:tcW w:type="dxa" w:w="3880"/>
          </w:tcPr>
          <w:p>
            <w:pPr>
              <w:spacing w:after="60"/>
            </w:pPr>
            <w:r>
              <w:rPr>
                <w:b w:val="false"/>
                <w:bCs w:val="false"/>
                <w:sz w:val="20"/>
                <w:szCs w:val="20"/>
              </w:rPr>
              <w:t xml:space="preserve">trust sub-node for water; investigate non-water stress (heat, pest, root, drip clog)</w:t>
            </w:r>
          </w:p>
        </w:tc>
      </w:tr>
      <w:tr>
        <w:tc>
          <w:tcPr>
            <w:tcW w:type="dxa" w:w="800"/>
          </w:tcPr>
          <w:p>
            <w:pPr>
              <w:spacing w:after="60"/>
            </w:pPr>
            <w:r>
              <w:rPr>
                <w:b w:val="false"/>
                <w:bCs w:val="false"/>
                <w:sz w:val="20"/>
                <w:szCs w:val="20"/>
              </w:rPr>
              <w:t xml:space="preserve">B</w:t>
            </w:r>
          </w:p>
        </w:tc>
        <w:tc>
          <w:tcPr>
            <w:tcW w:type="dxa" w:w="2340"/>
          </w:tcPr>
          <w:p>
            <w:pPr>
              <w:spacing w:after="60"/>
            </w:pPr>
            <w:r>
              <w:rPr>
                <w:b w:val="false"/>
                <w:bCs w:val="false"/>
                <w:sz w:val="20"/>
                <w:szCs w:val="20"/>
              </w:rPr>
              <w:t xml:space="preserve">moisture low</w:t>
            </w:r>
          </w:p>
        </w:tc>
        <w:tc>
          <w:tcPr>
            <w:tcW w:type="dxa" w:w="2340"/>
          </w:tcPr>
          <w:p>
            <w:pPr>
              <w:spacing w:after="60"/>
            </w:pPr>
            <w:r>
              <w:rPr>
                <w:b w:val="false"/>
                <w:bCs w:val="false"/>
                <w:sz w:val="20"/>
                <w:szCs w:val="20"/>
              </w:rPr>
              <w:t xml:space="preserve">canopy healthy</w:t>
            </w:r>
          </w:p>
        </w:tc>
        <w:tc>
          <w:tcPr>
            <w:tcW w:type="dxa" w:w="3880"/>
          </w:tcPr>
          <w:p>
            <w:pPr>
              <w:spacing w:after="60"/>
            </w:pPr>
            <w:r>
              <w:rPr>
                <w:b w:val="false"/>
                <w:bCs w:val="false"/>
                <w:sz w:val="20"/>
                <w:szCs w:val="20"/>
              </w:rPr>
              <w:t xml:space="preserve">trust sub-node; canopy has not caught up yet, this is the early window to act</w:t>
            </w:r>
          </w:p>
        </w:tc>
      </w:tr>
      <w:tr>
        <w:tc>
          <w:tcPr>
            <w:tcW w:type="dxa" w:w="800"/>
          </w:tcPr>
          <w:p>
            <w:pPr>
              <w:spacing w:after="60"/>
            </w:pPr>
            <w:r>
              <w:rPr>
                <w:b w:val="false"/>
                <w:bCs w:val="false"/>
                <w:sz w:val="20"/>
                <w:szCs w:val="20"/>
              </w:rPr>
              <w:t xml:space="preserve">C</w:t>
            </w:r>
          </w:p>
        </w:tc>
        <w:tc>
          <w:tcPr>
            <w:tcW w:type="dxa" w:w="2340"/>
          </w:tcPr>
          <w:p>
            <w:pPr>
              <w:spacing w:after="60"/>
            </w:pPr>
            <w:r>
              <w:rPr>
                <w:b w:val="false"/>
                <w:bCs w:val="false"/>
                <w:sz w:val="20"/>
                <w:szCs w:val="20"/>
              </w:rPr>
              <w:t xml:space="preserve">moisture low</w:t>
            </w:r>
          </w:p>
        </w:tc>
        <w:tc>
          <w:tcPr>
            <w:tcW w:type="dxa" w:w="2340"/>
          </w:tcPr>
          <w:p>
            <w:pPr>
              <w:spacing w:after="60"/>
            </w:pPr>
            <w:r>
              <w:rPr>
                <w:b w:val="false"/>
                <w:bCs w:val="false"/>
                <w:sz w:val="20"/>
                <w:szCs w:val="20"/>
              </w:rPr>
              <w:t xml:space="preserve">canopy stress</w:t>
            </w:r>
          </w:p>
        </w:tc>
        <w:tc>
          <w:tcPr>
            <w:tcW w:type="dxa" w:w="3880"/>
          </w:tcPr>
          <w:p>
            <w:pPr>
              <w:spacing w:after="60"/>
            </w:pPr>
            <w:r>
              <w:rPr>
                <w:b w:val="false"/>
                <w:bCs w:val="false"/>
                <w:sz w:val="20"/>
                <w:szCs w:val="20"/>
              </w:rPr>
              <w:t xml:space="preserve">high confidence; act on the sub-node instruction</w:t>
            </w:r>
          </w:p>
        </w:tc>
      </w:tr>
      <w:tr>
        <w:tc>
          <w:tcPr>
            <w:tcW w:type="dxa" w:w="800"/>
          </w:tcPr>
          <w:p>
            <w:pPr>
              <w:spacing w:after="60"/>
            </w:pPr>
            <w:r>
              <w:rPr>
                <w:b w:val="false"/>
                <w:bCs w:val="false"/>
                <w:sz w:val="20"/>
                <w:szCs w:val="20"/>
              </w:rPr>
              <w:t xml:space="preserve">D</w:t>
            </w:r>
          </w:p>
        </w:tc>
        <w:tc>
          <w:tcPr>
            <w:tcW w:type="dxa" w:w="2340"/>
          </w:tcPr>
          <w:p>
            <w:pPr>
              <w:spacing w:after="60"/>
            </w:pPr>
            <w:r>
              <w:rPr>
                <w:b w:val="false"/>
                <w:bCs w:val="false"/>
                <w:sz w:val="20"/>
                <w:szCs w:val="20"/>
              </w:rPr>
              <w:t xml:space="preserve">sub-node stale</w:t>
            </w:r>
          </w:p>
        </w:tc>
        <w:tc>
          <w:tcPr>
            <w:tcW w:type="dxa" w:w="2340"/>
          </w:tcPr>
          <w:p>
            <w:pPr>
              <w:spacing w:after="60"/>
            </w:pPr>
            <w:r>
              <w:rPr>
                <w:b w:val="false"/>
                <w:bCs w:val="false"/>
                <w:sz w:val="20"/>
                <w:szCs w:val="20"/>
              </w:rPr>
              <w:t xml:space="preserve">canopy healthy</w:t>
            </w:r>
          </w:p>
        </w:tc>
        <w:tc>
          <w:tcPr>
            <w:tcW w:type="dxa" w:w="3880"/>
          </w:tcPr>
          <w:p>
            <w:pPr>
              <w:spacing w:after="60"/>
            </w:pPr>
            <w:r>
              <w:rPr>
                <w:b w:val="false"/>
                <w:bCs w:val="false"/>
                <w:sz w:val="20"/>
                <w:szCs w:val="20"/>
              </w:rPr>
              <w:t xml:space="preserve">infer probable normal state; hold advisory pending sub-node recovery</w:t>
            </w:r>
          </w:p>
        </w:tc>
      </w:tr>
      <w:tr>
        <w:tc>
          <w:tcPr>
            <w:tcW w:type="dxa" w:w="800"/>
          </w:tcPr>
          <w:p>
            <w:pPr>
              <w:spacing w:after="60"/>
            </w:pPr>
            <w:r>
              <w:rPr>
                <w:b w:val="false"/>
                <w:bCs w:val="false"/>
                <w:sz w:val="20"/>
                <w:szCs w:val="20"/>
              </w:rPr>
              <w:t xml:space="preserve">E</w:t>
            </w:r>
          </w:p>
        </w:tc>
        <w:tc>
          <w:tcPr>
            <w:tcW w:type="dxa" w:w="2340"/>
          </w:tcPr>
          <w:p>
            <w:pPr>
              <w:spacing w:after="60"/>
            </w:pPr>
            <w:r>
              <w:rPr>
                <w:b w:val="false"/>
                <w:bCs w:val="false"/>
                <w:sz w:val="20"/>
                <w:szCs w:val="20"/>
              </w:rPr>
              <w:t xml:space="preserve">sub-node stale</w:t>
            </w:r>
          </w:p>
        </w:tc>
        <w:tc>
          <w:tcPr>
            <w:tcW w:type="dxa" w:w="2340"/>
          </w:tcPr>
          <w:p>
            <w:pPr>
              <w:spacing w:after="60"/>
            </w:pPr>
            <w:r>
              <w:rPr>
                <w:b w:val="false"/>
                <w:bCs w:val="false"/>
                <w:sz w:val="20"/>
                <w:szCs w:val="20"/>
              </w:rPr>
              <w:t xml:space="preserve">canopy stress</w:t>
            </w:r>
          </w:p>
        </w:tc>
        <w:tc>
          <w:tcPr>
            <w:tcW w:type="dxa" w:w="3880"/>
          </w:tcPr>
          <w:p>
            <w:pPr>
              <w:spacing w:after="60"/>
            </w:pPr>
            <w:r>
              <w:rPr>
                <w:b w:val="false"/>
                <w:bCs w:val="false"/>
                <w:sz w:val="20"/>
                <w:szCs w:val="20"/>
              </w:rPr>
              <w:t xml:space="preserve">satellite becomes primary; issue investigative advisory with reduced confidence</w:t>
            </w:r>
          </w:p>
        </w:tc>
      </w:tr>
      <w:tr>
        <w:tc>
          <w:tcPr>
            <w:tcW w:type="dxa" w:w="800"/>
          </w:tcPr>
          <w:p>
            <w:pPr>
              <w:spacing w:after="60"/>
            </w:pPr>
            <w:r>
              <w:rPr>
                <w:b w:val="false"/>
                <w:bCs w:val="false"/>
                <w:sz w:val="20"/>
                <w:szCs w:val="20"/>
              </w:rPr>
              <w:t xml:space="preserve">F</w:t>
            </w:r>
          </w:p>
        </w:tc>
        <w:tc>
          <w:tcPr>
            <w:tcW w:type="dxa" w:w="2340"/>
          </w:tcPr>
          <w:p>
            <w:pPr>
              <w:spacing w:after="60"/>
            </w:pPr>
            <w:r>
              <w:rPr>
                <w:b w:val="false"/>
                <w:bCs w:val="false"/>
                <w:sz w:val="20"/>
                <w:szCs w:val="20"/>
              </w:rPr>
              <w:t xml:space="preserve">moisture adequate</w:t>
            </w:r>
          </w:p>
        </w:tc>
        <w:tc>
          <w:tcPr>
            <w:tcW w:type="dxa" w:w="2340"/>
          </w:tcPr>
          <w:p>
            <w:pPr>
              <w:spacing w:after="60"/>
            </w:pPr>
            <w:r>
              <w:rPr>
                <w:b w:val="false"/>
                <w:bCs w:val="false"/>
                <w:sz w:val="20"/>
                <w:szCs w:val="20"/>
              </w:rPr>
              <w:t xml:space="preserve">standing water (SAR + NDWI)</w:t>
            </w:r>
          </w:p>
        </w:tc>
        <w:tc>
          <w:tcPr>
            <w:tcW w:type="dxa" w:w="3880"/>
          </w:tcPr>
          <w:p>
            <w:pPr>
              <w:spacing w:after="60"/>
            </w:pPr>
            <w:r>
              <w:rPr>
                <w:b w:val="false"/>
                <w:bCs w:val="false"/>
                <w:sz w:val="20"/>
                <w:szCs w:val="20"/>
              </w:rPr>
              <w:t xml:space="preserve">drainage failure at the surface even with good root-zone moisture — check field drains</w:t>
            </w:r>
          </w:p>
        </w:tc>
      </w:tr>
      <w:tr>
        <w:tc>
          <w:tcPr>
            <w:tcW w:type="dxa" w:w="800"/>
          </w:tcPr>
          <w:p>
            <w:pPr>
              <w:spacing w:after="60"/>
            </w:pPr>
            <w:r>
              <w:rPr>
                <w:b w:val="false"/>
                <w:bCs w:val="false"/>
                <w:sz w:val="20"/>
                <w:szCs w:val="20"/>
              </w:rPr>
              <w:t xml:space="preserve">G</w:t>
            </w:r>
          </w:p>
        </w:tc>
        <w:tc>
          <w:tcPr>
            <w:tcW w:type="dxa" w:w="2340"/>
          </w:tcPr>
          <w:p>
            <w:pPr>
              <w:spacing w:after="60"/>
            </w:pPr>
            <w:r>
              <w:rPr>
                <w:b w:val="false"/>
                <w:bCs w:val="false"/>
                <w:sz w:val="20"/>
                <w:szCs w:val="20"/>
              </w:rPr>
              <w:t xml:space="preserve">nutrients ok (EC)</w:t>
            </w:r>
          </w:p>
        </w:tc>
        <w:tc>
          <w:tcPr>
            <w:tcW w:type="dxa" w:w="2340"/>
          </w:tcPr>
          <w:p>
            <w:pPr>
              <w:spacing w:after="60"/>
            </w:pPr>
            <w:r>
              <w:rPr>
                <w:b w:val="false"/>
                <w:bCs w:val="false"/>
                <w:sz w:val="20"/>
                <w:szCs w:val="20"/>
              </w:rPr>
              <w:t xml:space="preserve">NDRE below expected</w:t>
            </w:r>
          </w:p>
        </w:tc>
        <w:tc>
          <w:tcPr>
            <w:tcW w:type="dxa" w:w="3880"/>
          </w:tcPr>
          <w:p>
            <w:pPr>
              <w:spacing w:after="60"/>
            </w:pPr>
            <w:r>
              <w:rPr>
                <w:b w:val="false"/>
                <w:bCs w:val="false"/>
                <w:sz w:val="20"/>
                <w:szCs w:val="20"/>
              </w:rPr>
              <w:t xml:space="preserve">possible localised or micro-nutrient issue not seen by EC; leaf tissue check</w:t>
            </w:r>
          </w:p>
        </w:tc>
      </w:tr>
      <w:tr>
        <w:tc>
          <w:tcPr>
            <w:tcW w:type="dxa" w:w="800"/>
          </w:tcPr>
          <w:p>
            <w:pPr>
              <w:spacing w:after="60"/>
            </w:pPr>
            <w:r>
              <w:rPr>
                <w:b w:val="false"/>
                <w:bCs w:val="false"/>
                <w:sz w:val="20"/>
                <w:szCs w:val="20"/>
              </w:rPr>
              <w:t xml:space="preserve">H</w:t>
            </w:r>
          </w:p>
        </w:tc>
        <w:tc>
          <w:tcPr>
            <w:tcW w:type="dxa" w:w="2340"/>
          </w:tcPr>
          <w:p>
            <w:pPr>
              <w:spacing w:after="60"/>
            </w:pPr>
            <w:r>
              <w:rPr>
                <w:b w:val="false"/>
                <w:bCs w:val="false"/>
                <w:sz w:val="20"/>
                <w:szCs w:val="20"/>
              </w:rPr>
              <w:t xml:space="preserve">both agree, healthy</w:t>
            </w:r>
          </w:p>
        </w:tc>
        <w:tc>
          <w:tcPr>
            <w:tcW w:type="dxa" w:w="2340"/>
          </w:tcPr>
          <w:p>
            <w:pPr>
              <w:spacing w:after="60"/>
            </w:pPr>
            <w:r>
              <w:rPr>
                <w:b w:val="false"/>
                <w:bCs w:val="false"/>
                <w:sz w:val="20"/>
                <w:szCs w:val="20"/>
              </w:rPr>
              <w:t xml:space="preserve">both agree, healthy</w:t>
            </w:r>
          </w:p>
        </w:tc>
        <w:tc>
          <w:tcPr>
            <w:tcW w:type="dxa" w:w="3880"/>
          </w:tcPr>
          <w:p>
            <w:pPr>
              <w:spacing w:after="60"/>
            </w:pPr>
            <w:r>
              <w:rPr>
                <w:b w:val="false"/>
                <w:bCs w:val="false"/>
                <w:sz w:val="20"/>
                <w:szCs w:val="20"/>
              </w:rPr>
              <w:t xml:space="preserve">high-confidence green flag; useful for compliance and season-review reporting</w:t>
            </w:r>
          </w:p>
        </w:tc>
      </w:tr>
    </w:tbl>
    <w:p>
      <w:pPr>
        <w:pStyle w:val="Heading2"/>
        <w:spacing w:after="150" w:before="300"/>
      </w:pPr>
      <w:r>
        <w:rPr>
          <w:b/>
          <w:bCs/>
          <w:sz w:val="26"/>
          <w:szCs w:val="26"/>
        </w:rPr>
        <w:t xml:space="preserve">10.3 Precedence with existing domains — जुन्या डोमेनसह प्राधान्यक्रम</w:t>
      </w:r>
    </w:p>
    <w:p>
      <w:pPr>
        <w:spacing w:after="120"/>
      </w:pPr>
      <w:r>
        <w:t xml:space="preserve">Every satellite rule in the final Phase-2 pass will be examined for precedence against existing D01–D13 rules. Preferred relations:</w:t>
      </w:r>
    </w:p>
    <w:p>
      <w:pPr>
        <w:pStyle w:val="ListParagraph"/>
        <w:numPr>
          <w:ilvl w:val="0"/>
          <w:numId w:val="1"/>
        </w:numPr>
        <w:spacing w:after="80"/>
      </w:pPr>
      <w:r>
        <w:t xml:space="preserve">BUNDLES with a related ground-truth rule when both fire on the same event — one message</w:t>
      </w:r>
    </w:p>
    <w:p>
      <w:pPr>
        <w:pStyle w:val="ListParagraph"/>
        <w:numPr>
          <w:ilvl w:val="0"/>
          <w:numId w:val="1"/>
        </w:numPr>
        <w:spacing w:after="80"/>
      </w:pPr>
      <w:r>
        <w:t xml:space="preserve">SEQUENCES with a ground-truth rule when the satellite alert should be answered before an action rule proceeds</w:t>
      </w:r>
    </w:p>
    <w:p>
      <w:pPr>
        <w:pStyle w:val="ListParagraph"/>
        <w:numPr>
          <w:ilvl w:val="0"/>
          <w:numId w:val="1"/>
        </w:numPr>
        <w:spacing w:after="80"/>
      </w:pPr>
      <w:r>
        <w:t xml:space="preserve">Never SUPPRESSES an existing D06 disease rule — the underground-blind-spot principle forbids it</w:t>
      </w:r>
    </w:p>
    <w:p>
      <w:pPr>
        <w:pStyle w:val="ListParagraph"/>
        <w:numPr>
          <w:ilvl w:val="0"/>
          <w:numId w:val="1"/>
        </w:numPr>
        <w:spacing w:after="80"/>
      </w:pPr>
      <w:r>
        <w:t xml:space="preserve">Never SUPERSEDES a sub-node moisture rule — direct measurement wins by cardinal principle</w:t>
      </w:r>
    </w:p>
    <w:p>
      <w:pPr>
        <w:pStyle w:val="ListParagraph"/>
        <w:numPr>
          <w:ilvl w:val="0"/>
          <w:numId w:val="1"/>
        </w:numPr>
        <w:spacing w:after="80"/>
      </w:pPr>
      <w:r>
        <w:t xml:space="preserve">ESCALATES sparingly — used when a satellite anomaly must raise the severity of an existing ground-truth alert</w:t>
      </w:r>
    </w:p>
    <w:p>
      <w:pPr>
        <w:pStyle w:val="Heading2"/>
        <w:spacing w:after="150" w:before="300"/>
      </w:pPr>
      <w:r>
        <w:rPr>
          <w:b/>
          <w:bCs/>
          <w:sz w:val="26"/>
          <w:szCs w:val="26"/>
        </w:rPr>
        <w:t xml:space="preserve">10.4 The single-source-of-truth flag — डेटा-मूळ ध्वज</w:t>
      </w:r>
    </w:p>
    <w:p>
      <w:pPr>
        <w:spacing w:after="120"/>
      </w:pPr>
      <w:r>
        <w:t xml:space="preserve">Every farm_brain field that can be filled from either source must carry an origin tag: sub-node, satellite, cluster station, farmer report, or derived. The rule reader chooses source by priority, but the log always records which one was used. This is the same pattern as D07 forecast_source.</w:t>
      </w:r>
    </w:p>
    <w:p>
      <w:pPr>
        <w:spacing w:after="300" w:before="200"/>
      </w:pPr>
      <w:r>
        <w:rPr>
          <w:i/>
          <w:iCs/>
          <w:sz w:val="20"/>
          <w:szCs w:val="20"/>
        </w:rPr>
        <w:t xml:space="preserve">Sources: Domain 6 rule anatomy; Domain 7 forecast_source field pattern; Domain 12 data provenance rules; Verhoef &amp; van der Wal 2010 (data fusion for agriculture); ICAR-CRIDA IoT + satellite fusion pilots.</w:t>
      </w:r>
    </w:p>
    <w:p>
      <w:r>
        <w:br w:type="page"/>
      </w:r>
    </w:p>
    <w:p>
      <w:pPr>
        <w:pStyle w:val="Heading1"/>
        <w:spacing w:after="200" w:before="400"/>
      </w:pPr>
      <w:r>
        <w:rPr>
          <w:b/>
          <w:bCs/>
          <w:sz w:val="32"/>
          <w:szCs w:val="32"/>
        </w:rPr>
        <w:t xml:space="preserve">SECTION 11. Cluster pixel geometry and economics — क्लस्टर पिक्सेल भूगोल व अर्थशास्त्र</w:t>
      </w:r>
    </w:p>
    <w:p>
      <w:pPr>
        <w:pStyle w:val="Heading2"/>
        <w:spacing w:after="150" w:before="300"/>
      </w:pPr>
      <w:r>
        <w:rPr>
          <w:b/>
          <w:bCs/>
          <w:sz w:val="26"/>
          <w:szCs w:val="26"/>
        </w:rPr>
        <w:t xml:space="preserve">11.1 Pixel vs plot — पिक्सेल विरुद्ध प्लॉट</w:t>
      </w:r>
    </w:p>
    <w:p>
      <w:pPr>
        <w:spacing w:after="120"/>
      </w:pPr>
      <w:r>
        <w:t xml:space="preserve">Sentinel-2 at 10 m gives a pixel of 100 m². Ginger plots in Kannad range from 0.1 acre (about 405 m²) at the small end to 2 acres (about 8100 m²) at the large end. A 0.1-acre plot fits inside 4 to 6 pixels — very edge-dominated. A 2-acre plot fits 60 to 80 pixels — statistically comfortable.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2500"/>
        <w:gridCol w:w="3360"/>
      </w:tblGrid>
      <w:tr>
        <w:trPr>
          <w:tblHeader/>
        </w:trPr>
        <w:tc>
          <w:tcPr>
            <w:tcW w:type="dxa" w:w="1800"/>
            <w:shd w:fill="DCE6F1" w:color="auto" w:val="clear"/>
          </w:tcPr>
          <w:p>
            <w:pPr>
              <w:spacing w:after="60"/>
            </w:pPr>
            <w:r>
              <w:rPr>
                <w:b/>
                <w:bCs/>
                <w:sz w:val="20"/>
                <w:szCs w:val="20"/>
              </w:rPr>
              <w:t xml:space="preserve">Plot size</w:t>
            </w:r>
          </w:p>
        </w:tc>
        <w:tc>
          <w:tcPr>
            <w:tcW w:type="dxa" w:w="1700"/>
            <w:shd w:fill="DCE6F1" w:color="auto" w:val="clear"/>
          </w:tcPr>
          <w:p>
            <w:pPr>
              <w:spacing w:after="60"/>
            </w:pPr>
            <w:r>
              <w:rPr>
                <w:b/>
                <w:bCs/>
                <w:sz w:val="20"/>
                <w:szCs w:val="20"/>
              </w:rPr>
              <w:t xml:space="preserve">S-2 pixels (10 m)</w:t>
            </w:r>
          </w:p>
        </w:tc>
        <w:tc>
          <w:tcPr>
            <w:tcW w:type="dxa" w:w="2500"/>
            <w:shd w:fill="DCE6F1" w:color="auto" w:val="clear"/>
          </w:tcPr>
          <w:p>
            <w:pPr>
              <w:spacing w:after="60"/>
            </w:pPr>
            <w:r>
              <w:rPr>
                <w:b/>
                <w:bCs/>
                <w:sz w:val="20"/>
                <w:szCs w:val="20"/>
              </w:rPr>
              <w:t xml:space="preserve">Edge share</w:t>
            </w:r>
          </w:p>
        </w:tc>
        <w:tc>
          <w:tcPr>
            <w:tcW w:type="dxa" w:w="3360"/>
            <w:shd w:fill="DCE6F1" w:color="auto" w:val="clear"/>
          </w:tcPr>
          <w:p>
            <w:pPr>
              <w:spacing w:after="60"/>
            </w:pPr>
            <w:r>
              <w:rPr>
                <w:b/>
                <w:bCs/>
                <w:sz w:val="20"/>
                <w:szCs w:val="20"/>
              </w:rPr>
              <w:t xml:space="preserve">Advisory confidence</w:t>
            </w:r>
          </w:p>
        </w:tc>
      </w:tr>
      <w:tr>
        <w:tc>
          <w:tcPr>
            <w:tcW w:type="dxa" w:w="1800"/>
          </w:tcPr>
          <w:p>
            <w:pPr>
              <w:spacing w:after="60"/>
            </w:pPr>
            <w:r>
              <w:rPr>
                <w:b w:val="false"/>
                <w:bCs w:val="false"/>
                <w:sz w:val="20"/>
                <w:szCs w:val="20"/>
              </w:rPr>
              <w:t xml:space="preserve">0.1 acre (~405 m²)</w:t>
            </w:r>
          </w:p>
        </w:tc>
        <w:tc>
          <w:tcPr>
            <w:tcW w:type="dxa" w:w="1700"/>
          </w:tcPr>
          <w:p>
            <w:pPr>
              <w:spacing w:after="60"/>
            </w:pPr>
            <w:r>
              <w:rPr>
                <w:b w:val="false"/>
                <w:bCs w:val="false"/>
                <w:sz w:val="20"/>
                <w:szCs w:val="20"/>
              </w:rPr>
              <w:t xml:space="preserve">~4–6</w:t>
            </w:r>
          </w:p>
        </w:tc>
        <w:tc>
          <w:tcPr>
            <w:tcW w:type="dxa" w:w="2500"/>
          </w:tcPr>
          <w:p>
            <w:pPr>
              <w:spacing w:after="60"/>
            </w:pPr>
            <w:r>
              <w:rPr>
                <w:b w:val="false"/>
                <w:bCs w:val="false"/>
                <w:sz w:val="20"/>
                <w:szCs w:val="20"/>
              </w:rPr>
              <w:t xml:space="preserve">over 60% edge-affected</w:t>
            </w:r>
          </w:p>
        </w:tc>
        <w:tc>
          <w:tcPr>
            <w:tcW w:type="dxa" w:w="3360"/>
          </w:tcPr>
          <w:p>
            <w:pPr>
              <w:spacing w:after="60"/>
            </w:pPr>
            <w:r>
              <w:rPr>
                <w:b w:val="false"/>
                <w:bCs w:val="false"/>
                <w:sz w:val="20"/>
                <w:szCs w:val="20"/>
              </w:rPr>
              <w:t xml:space="preserve">informational only</w:t>
            </w:r>
          </w:p>
        </w:tc>
      </w:tr>
      <w:tr>
        <w:tc>
          <w:tcPr>
            <w:tcW w:type="dxa" w:w="1800"/>
          </w:tcPr>
          <w:p>
            <w:pPr>
              <w:spacing w:after="60"/>
            </w:pPr>
            <w:r>
              <w:rPr>
                <w:b w:val="false"/>
                <w:bCs w:val="false"/>
                <w:sz w:val="20"/>
                <w:szCs w:val="20"/>
              </w:rPr>
              <w:t xml:space="preserve">0.25 acre (~1000 m²)</w:t>
            </w:r>
          </w:p>
        </w:tc>
        <w:tc>
          <w:tcPr>
            <w:tcW w:type="dxa" w:w="1700"/>
          </w:tcPr>
          <w:p>
            <w:pPr>
              <w:spacing w:after="60"/>
            </w:pPr>
            <w:r>
              <w:rPr>
                <w:b w:val="false"/>
                <w:bCs w:val="false"/>
                <w:sz w:val="20"/>
                <w:szCs w:val="20"/>
              </w:rPr>
              <w:t xml:space="preserve">~10</w:t>
            </w:r>
          </w:p>
        </w:tc>
        <w:tc>
          <w:tcPr>
            <w:tcW w:type="dxa" w:w="2500"/>
          </w:tcPr>
          <w:p>
            <w:pPr>
              <w:spacing w:after="60"/>
            </w:pPr>
            <w:r>
              <w:rPr>
                <w:b w:val="false"/>
                <w:bCs w:val="false"/>
                <w:sz w:val="20"/>
                <w:szCs w:val="20"/>
              </w:rPr>
              <w:t xml:space="preserve">~50% edge</w:t>
            </w:r>
          </w:p>
        </w:tc>
        <w:tc>
          <w:tcPr>
            <w:tcW w:type="dxa" w:w="3360"/>
          </w:tcPr>
          <w:p>
            <w:pPr>
              <w:spacing w:after="60"/>
            </w:pPr>
            <w:r>
              <w:rPr>
                <w:b w:val="false"/>
                <w:bCs w:val="false"/>
                <w:sz w:val="20"/>
                <w:szCs w:val="20"/>
              </w:rPr>
              <w:t xml:space="preserve">reduced confidence</w:t>
            </w:r>
          </w:p>
        </w:tc>
      </w:tr>
      <w:tr>
        <w:tc>
          <w:tcPr>
            <w:tcW w:type="dxa" w:w="1800"/>
          </w:tcPr>
          <w:p>
            <w:pPr>
              <w:spacing w:after="60"/>
            </w:pPr>
            <w:r>
              <w:rPr>
                <w:b w:val="false"/>
                <w:bCs w:val="false"/>
                <w:sz w:val="20"/>
                <w:szCs w:val="20"/>
              </w:rPr>
              <w:t xml:space="preserve">0.5 acre (~2000 m²)</w:t>
            </w:r>
          </w:p>
        </w:tc>
        <w:tc>
          <w:tcPr>
            <w:tcW w:type="dxa" w:w="1700"/>
          </w:tcPr>
          <w:p>
            <w:pPr>
              <w:spacing w:after="60"/>
            </w:pPr>
            <w:r>
              <w:rPr>
                <w:b w:val="false"/>
                <w:bCs w:val="false"/>
                <w:sz w:val="20"/>
                <w:szCs w:val="20"/>
              </w:rPr>
              <w:t xml:space="preserve">~20</w:t>
            </w:r>
          </w:p>
        </w:tc>
        <w:tc>
          <w:tcPr>
            <w:tcW w:type="dxa" w:w="2500"/>
          </w:tcPr>
          <w:p>
            <w:pPr>
              <w:spacing w:after="60"/>
            </w:pPr>
            <w:r>
              <w:rPr>
                <w:b w:val="false"/>
                <w:bCs w:val="false"/>
                <w:sz w:val="20"/>
                <w:szCs w:val="20"/>
              </w:rPr>
              <w:t xml:space="preserve">~35% edge</w:t>
            </w:r>
          </w:p>
        </w:tc>
        <w:tc>
          <w:tcPr>
            <w:tcW w:type="dxa" w:w="3360"/>
          </w:tcPr>
          <w:p>
            <w:pPr>
              <w:spacing w:after="60"/>
            </w:pPr>
            <w:r>
              <w:rPr>
                <w:b w:val="false"/>
                <w:bCs w:val="false"/>
                <w:sz w:val="20"/>
                <w:szCs w:val="20"/>
              </w:rPr>
              <w:t xml:space="preserve">normal confidence</w:t>
            </w:r>
          </w:p>
        </w:tc>
      </w:tr>
      <w:tr>
        <w:tc>
          <w:tcPr>
            <w:tcW w:type="dxa" w:w="1800"/>
          </w:tcPr>
          <w:p>
            <w:pPr>
              <w:spacing w:after="60"/>
            </w:pPr>
            <w:r>
              <w:rPr>
                <w:b w:val="false"/>
                <w:bCs w:val="false"/>
                <w:sz w:val="20"/>
                <w:szCs w:val="20"/>
              </w:rPr>
              <w:t xml:space="preserve">1.0 acre (~4050 m²)</w:t>
            </w:r>
          </w:p>
        </w:tc>
        <w:tc>
          <w:tcPr>
            <w:tcW w:type="dxa" w:w="1700"/>
          </w:tcPr>
          <w:p>
            <w:pPr>
              <w:spacing w:after="60"/>
            </w:pPr>
            <w:r>
              <w:rPr>
                <w:b w:val="false"/>
                <w:bCs w:val="false"/>
                <w:sz w:val="20"/>
                <w:szCs w:val="20"/>
              </w:rPr>
              <w:t xml:space="preserve">~40</w:t>
            </w:r>
          </w:p>
        </w:tc>
        <w:tc>
          <w:tcPr>
            <w:tcW w:type="dxa" w:w="2500"/>
          </w:tcPr>
          <w:p>
            <w:pPr>
              <w:spacing w:after="60"/>
            </w:pPr>
            <w:r>
              <w:rPr>
                <w:b w:val="false"/>
                <w:bCs w:val="false"/>
                <w:sz w:val="20"/>
                <w:szCs w:val="20"/>
              </w:rPr>
              <w:t xml:space="preserve">~25% edge</w:t>
            </w:r>
          </w:p>
        </w:tc>
        <w:tc>
          <w:tcPr>
            <w:tcW w:type="dxa" w:w="3360"/>
          </w:tcPr>
          <w:p>
            <w:pPr>
              <w:spacing w:after="60"/>
            </w:pPr>
            <w:r>
              <w:rPr>
                <w:b w:val="false"/>
                <w:bCs w:val="false"/>
                <w:sz w:val="20"/>
                <w:szCs w:val="20"/>
              </w:rPr>
              <w:t xml:space="preserve">normal to high confidence</w:t>
            </w:r>
          </w:p>
        </w:tc>
      </w:tr>
      <w:tr>
        <w:tc>
          <w:tcPr>
            <w:tcW w:type="dxa" w:w="1800"/>
          </w:tcPr>
          <w:p>
            <w:pPr>
              <w:spacing w:after="60"/>
            </w:pPr>
            <w:r>
              <w:rPr>
                <w:b w:val="false"/>
                <w:bCs w:val="false"/>
                <w:sz w:val="20"/>
                <w:szCs w:val="20"/>
              </w:rPr>
              <w:t xml:space="preserve">2.0 acre (~8100 m²)</w:t>
            </w:r>
          </w:p>
        </w:tc>
        <w:tc>
          <w:tcPr>
            <w:tcW w:type="dxa" w:w="1700"/>
          </w:tcPr>
          <w:p>
            <w:pPr>
              <w:spacing w:after="60"/>
            </w:pPr>
            <w:r>
              <w:rPr>
                <w:b w:val="false"/>
                <w:bCs w:val="false"/>
                <w:sz w:val="20"/>
                <w:szCs w:val="20"/>
              </w:rPr>
              <w:t xml:space="preserve">~80</w:t>
            </w:r>
          </w:p>
        </w:tc>
        <w:tc>
          <w:tcPr>
            <w:tcW w:type="dxa" w:w="2500"/>
          </w:tcPr>
          <w:p>
            <w:pPr>
              <w:spacing w:after="60"/>
            </w:pPr>
            <w:r>
              <w:rPr>
                <w:b w:val="false"/>
                <w:bCs w:val="false"/>
                <w:sz w:val="20"/>
                <w:szCs w:val="20"/>
              </w:rPr>
              <w:t xml:space="preserve">~18% edge</w:t>
            </w:r>
          </w:p>
        </w:tc>
        <w:tc>
          <w:tcPr>
            <w:tcW w:type="dxa" w:w="3360"/>
          </w:tcPr>
          <w:p>
            <w:pPr>
              <w:spacing w:after="60"/>
            </w:pPr>
            <w:r>
              <w:rPr>
                <w:b w:val="false"/>
                <w:bCs w:val="false"/>
                <w:sz w:val="20"/>
                <w:szCs w:val="20"/>
              </w:rPr>
              <w:t xml:space="preserve">high confidence</w:t>
            </w:r>
          </w:p>
        </w:tc>
      </w:tr>
    </w:tbl>
    <w:p>
      <w:pPr>
        <w:pStyle w:val="Heading2"/>
        <w:spacing w:after="150" w:before="300"/>
      </w:pPr>
      <w:r>
        <w:rPr>
          <w:b/>
          <w:bCs/>
          <w:sz w:val="26"/>
          <w:szCs w:val="26"/>
        </w:rPr>
        <w:t xml:space="preserve">11.2 Consequence for cluster design — क्लस्टर रचनेवर परिणाम</w:t>
      </w:r>
    </w:p>
    <w:p>
      <w:pPr>
        <w:spacing w:after="120"/>
      </w:pPr>
      <w:r>
        <w:t xml:space="preserve">A cluster of 5–10 farmers with plots of 0.25 to 2 acres has, in most cases, at least one plot with enough pixels to be statistically comfortable. The cluster master unit downloads and processes the tile once, then serves per-plot statistics to every enrolled farmer. This is the same shared-infrastructure logic as the cluster weather station: one download, many farmers, near-zero marginal cost.</w:t>
      </w:r>
    </w:p>
    <w:p>
      <w:pPr>
        <w:pStyle w:val="Heading2"/>
        <w:spacing w:after="150" w:before="300"/>
      </w:pPr>
      <w:r>
        <w:rPr>
          <w:b/>
          <w:bCs/>
          <w:sz w:val="26"/>
          <w:szCs w:val="26"/>
        </w:rPr>
        <w:t xml:space="preserve">11.3 Cost per cluster per season — प्रति क्लस्टर हंगामी खर्च</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40"/>
        <w:gridCol w:w="2340"/>
        <w:gridCol w:w="2680"/>
      </w:tblGrid>
      <w:tr>
        <w:trPr>
          <w:tblHeader/>
        </w:trPr>
        <w:tc>
          <w:tcPr>
            <w:tcW w:type="dxa" w:w="4340"/>
            <w:shd w:fill="DCE6F1" w:color="auto" w:val="clear"/>
          </w:tcPr>
          <w:p>
            <w:pPr>
              <w:spacing w:after="60"/>
            </w:pPr>
            <w:r>
              <w:rPr>
                <w:b/>
                <w:bCs/>
                <w:sz w:val="20"/>
                <w:szCs w:val="20"/>
              </w:rPr>
              <w:t xml:space="preserve">Item</w:t>
            </w:r>
          </w:p>
        </w:tc>
        <w:tc>
          <w:tcPr>
            <w:tcW w:type="dxa" w:w="2340"/>
            <w:shd w:fill="DCE6F1" w:color="auto" w:val="clear"/>
          </w:tcPr>
          <w:p>
            <w:pPr>
              <w:spacing w:after="60"/>
            </w:pPr>
            <w:r>
              <w:rPr>
                <w:b/>
                <w:bCs/>
                <w:sz w:val="20"/>
                <w:szCs w:val="20"/>
              </w:rPr>
              <w:t xml:space="preserve">Free tier?</w:t>
            </w:r>
          </w:p>
        </w:tc>
        <w:tc>
          <w:tcPr>
            <w:tcW w:type="dxa" w:w="2680"/>
            <w:shd w:fill="DCE6F1" w:color="auto" w:val="clear"/>
          </w:tcPr>
          <w:p>
            <w:pPr>
              <w:spacing w:after="60"/>
            </w:pPr>
            <w:r>
              <w:rPr>
                <w:b/>
                <w:bCs/>
                <w:sz w:val="20"/>
                <w:szCs w:val="20"/>
              </w:rPr>
              <w:t xml:space="preserve">Estimated cost</w:t>
            </w:r>
          </w:p>
        </w:tc>
      </w:tr>
      <w:tr>
        <w:tc>
          <w:tcPr>
            <w:tcW w:type="dxa" w:w="4340"/>
          </w:tcPr>
          <w:p>
            <w:pPr>
              <w:spacing w:after="60"/>
            </w:pPr>
            <w:r>
              <w:rPr>
                <w:b w:val="false"/>
                <w:bCs w:val="false"/>
                <w:sz w:val="20"/>
                <w:szCs w:val="20"/>
              </w:rPr>
              <w:t xml:space="preserve">Sentinel-2 access (Copernicus Data Space)</w:t>
            </w:r>
          </w:p>
        </w:tc>
        <w:tc>
          <w:tcPr>
            <w:tcW w:type="dxa" w:w="2340"/>
          </w:tcPr>
          <w:p>
            <w:pPr>
              <w:spacing w:after="60"/>
            </w:pPr>
            <w:r>
              <w:rPr>
                <w:b w:val="false"/>
                <w:bCs w:val="false"/>
                <w:sz w:val="20"/>
                <w:szCs w:val="20"/>
              </w:rPr>
              <w:t xml:space="preserve">yes</w:t>
            </w:r>
          </w:p>
        </w:tc>
        <w:tc>
          <w:tcPr>
            <w:tcW w:type="dxa" w:w="2680"/>
          </w:tcPr>
          <w:p>
            <w:pPr>
              <w:spacing w:after="60"/>
            </w:pPr>
            <w:r>
              <w:rPr>
                <w:b w:val="false"/>
                <w:bCs w:val="false"/>
                <w:sz w:val="20"/>
                <w:szCs w:val="20"/>
              </w:rPr>
              <w:t xml:space="preserve">0</w:t>
            </w:r>
          </w:p>
        </w:tc>
      </w:tr>
      <w:tr>
        <w:tc>
          <w:tcPr>
            <w:tcW w:type="dxa" w:w="4340"/>
          </w:tcPr>
          <w:p>
            <w:pPr>
              <w:spacing w:after="60"/>
            </w:pPr>
            <w:r>
              <w:rPr>
                <w:b w:val="false"/>
                <w:bCs w:val="false"/>
                <w:sz w:val="20"/>
                <w:szCs w:val="20"/>
              </w:rPr>
              <w:t xml:space="preserve">Sentinel-1 access (Copernicus Data Space)</w:t>
            </w:r>
          </w:p>
        </w:tc>
        <w:tc>
          <w:tcPr>
            <w:tcW w:type="dxa" w:w="2340"/>
          </w:tcPr>
          <w:p>
            <w:pPr>
              <w:spacing w:after="60"/>
            </w:pPr>
            <w:r>
              <w:rPr>
                <w:b w:val="false"/>
                <w:bCs w:val="false"/>
                <w:sz w:val="20"/>
                <w:szCs w:val="20"/>
              </w:rPr>
              <w:t xml:space="preserve">yes</w:t>
            </w:r>
          </w:p>
        </w:tc>
        <w:tc>
          <w:tcPr>
            <w:tcW w:type="dxa" w:w="2680"/>
          </w:tcPr>
          <w:p>
            <w:pPr>
              <w:spacing w:after="60"/>
            </w:pPr>
            <w:r>
              <w:rPr>
                <w:b w:val="false"/>
                <w:bCs w:val="false"/>
                <w:sz w:val="20"/>
                <w:szCs w:val="20"/>
              </w:rPr>
              <w:t xml:space="preserve">0</w:t>
            </w:r>
          </w:p>
        </w:tc>
      </w:tr>
      <w:tr>
        <w:tc>
          <w:tcPr>
            <w:tcW w:type="dxa" w:w="4340"/>
          </w:tcPr>
          <w:p>
            <w:pPr>
              <w:spacing w:after="60"/>
            </w:pPr>
            <w:r>
              <w:rPr>
                <w:b w:val="false"/>
                <w:bCs w:val="false"/>
                <w:sz w:val="20"/>
                <w:szCs w:val="20"/>
              </w:rPr>
              <w:t xml:space="preserve">Landsat access (USGS)</w:t>
            </w:r>
          </w:p>
        </w:tc>
        <w:tc>
          <w:tcPr>
            <w:tcW w:type="dxa" w:w="2340"/>
          </w:tcPr>
          <w:p>
            <w:pPr>
              <w:spacing w:after="60"/>
            </w:pPr>
            <w:r>
              <w:rPr>
                <w:b w:val="false"/>
                <w:bCs w:val="false"/>
                <w:sz w:val="20"/>
                <w:szCs w:val="20"/>
              </w:rPr>
              <w:t xml:space="preserve">yes</w:t>
            </w:r>
          </w:p>
        </w:tc>
        <w:tc>
          <w:tcPr>
            <w:tcW w:type="dxa" w:w="2680"/>
          </w:tcPr>
          <w:p>
            <w:pPr>
              <w:spacing w:after="60"/>
            </w:pPr>
            <w:r>
              <w:rPr>
                <w:b w:val="false"/>
                <w:bCs w:val="false"/>
                <w:sz w:val="20"/>
                <w:szCs w:val="20"/>
              </w:rPr>
              <w:t xml:space="preserve">0</w:t>
            </w:r>
          </w:p>
        </w:tc>
      </w:tr>
      <w:tr>
        <w:tc>
          <w:tcPr>
            <w:tcW w:type="dxa" w:w="4340"/>
          </w:tcPr>
          <w:p>
            <w:pPr>
              <w:spacing w:after="60"/>
            </w:pPr>
            <w:r>
              <w:rPr>
                <w:b w:val="false"/>
                <w:bCs w:val="false"/>
                <w:sz w:val="20"/>
                <w:szCs w:val="20"/>
              </w:rPr>
              <w:t xml:space="preserve">Cloud compute for a 240-day season, 10 plots</w:t>
            </w:r>
          </w:p>
        </w:tc>
        <w:tc>
          <w:tcPr>
            <w:tcW w:type="dxa" w:w="2340"/>
          </w:tcPr>
          <w:p>
            <w:pPr>
              <w:spacing w:after="60"/>
            </w:pPr>
            <w:r>
              <w:rPr>
                <w:b w:val="false"/>
                <w:bCs w:val="false"/>
                <w:sz w:val="20"/>
                <w:szCs w:val="20"/>
              </w:rPr>
              <w:t xml:space="preserve">in Google Earth Engine non-commercial</w:t>
            </w:r>
          </w:p>
        </w:tc>
        <w:tc>
          <w:tcPr>
            <w:tcW w:type="dxa" w:w="2680"/>
          </w:tcPr>
          <w:p>
            <w:pPr>
              <w:spacing w:after="60"/>
            </w:pPr>
            <w:r>
              <w:rPr>
                <w:b w:val="false"/>
                <w:bCs w:val="false"/>
                <w:sz w:val="20"/>
                <w:szCs w:val="20"/>
              </w:rPr>
              <w:t xml:space="preserve">0 pilot / ~₹3000 commercial</w:t>
            </w:r>
          </w:p>
        </w:tc>
      </w:tr>
      <w:tr>
        <w:tc>
          <w:tcPr>
            <w:tcW w:type="dxa" w:w="4340"/>
          </w:tcPr>
          <w:p>
            <w:pPr>
              <w:spacing w:after="60"/>
            </w:pPr>
            <w:r>
              <w:rPr>
                <w:b w:val="false"/>
                <w:bCs w:val="false"/>
                <w:sz w:val="20"/>
                <w:szCs w:val="20"/>
              </w:rPr>
              <w:t xml:space="preserve">Sentinel Hub processing (as alternative)</w:t>
            </w:r>
          </w:p>
        </w:tc>
        <w:tc>
          <w:tcPr>
            <w:tcW w:type="dxa" w:w="2340"/>
          </w:tcPr>
          <w:p>
            <w:pPr>
              <w:spacing w:after="60"/>
            </w:pPr>
            <w:r>
              <w:rPr>
                <w:b w:val="false"/>
                <w:bCs w:val="false"/>
                <w:sz w:val="20"/>
                <w:szCs w:val="20"/>
              </w:rPr>
              <w:t xml:space="preserve">partial</w:t>
            </w:r>
          </w:p>
        </w:tc>
        <w:tc>
          <w:tcPr>
            <w:tcW w:type="dxa" w:w="2680"/>
          </w:tcPr>
          <w:p>
            <w:pPr>
              <w:spacing w:after="60"/>
            </w:pPr>
            <w:r>
              <w:rPr>
                <w:b w:val="false"/>
                <w:bCs w:val="false"/>
                <w:sz w:val="20"/>
                <w:szCs w:val="20"/>
              </w:rPr>
              <w:t xml:space="preserve">~₹6000 for a 10-plot cluster season</w:t>
            </w:r>
          </w:p>
        </w:tc>
      </w:tr>
      <w:tr>
        <w:tc>
          <w:tcPr>
            <w:tcW w:type="dxa" w:w="4340"/>
          </w:tcPr>
          <w:p>
            <w:pPr>
              <w:spacing w:after="60"/>
            </w:pPr>
            <w:r>
              <w:rPr>
                <w:b w:val="false"/>
                <w:bCs w:val="false"/>
                <w:sz w:val="20"/>
                <w:szCs w:val="20"/>
              </w:rPr>
              <w:t xml:space="preserve">Storage for a season of NDVI/NDRE/NDMI/SAR</w:t>
            </w:r>
          </w:p>
        </w:tc>
        <w:tc>
          <w:tcPr>
            <w:tcW w:type="dxa" w:w="2340"/>
          </w:tcPr>
          <w:p>
            <w:pPr>
              <w:spacing w:after="60"/>
            </w:pPr>
            <w:r>
              <w:rPr>
                <w:b w:val="false"/>
                <w:bCs w:val="false"/>
                <w:sz w:val="20"/>
                <w:szCs w:val="20"/>
              </w:rPr>
              <w:t xml:space="preserve">no</w:t>
            </w:r>
          </w:p>
        </w:tc>
        <w:tc>
          <w:tcPr>
            <w:tcW w:type="dxa" w:w="2680"/>
          </w:tcPr>
          <w:p>
            <w:pPr>
              <w:spacing w:after="60"/>
            </w:pPr>
            <w:r>
              <w:rPr>
                <w:b w:val="false"/>
                <w:bCs w:val="false"/>
                <w:sz w:val="20"/>
                <w:szCs w:val="20"/>
              </w:rPr>
              <w:t xml:space="preserve">negligible (&lt;1 GB per cluster)</w:t>
            </w:r>
          </w:p>
        </w:tc>
      </w:tr>
      <w:tr>
        <w:tc>
          <w:tcPr>
            <w:tcW w:type="dxa" w:w="4340"/>
          </w:tcPr>
          <w:p>
            <w:pPr>
              <w:spacing w:after="60"/>
            </w:pPr>
            <w:r>
              <w:rPr>
                <w:b w:val="false"/>
                <w:bCs w:val="false"/>
                <w:sz w:val="20"/>
                <w:szCs w:val="20"/>
              </w:rPr>
              <w:t xml:space="preserve">Master unit compute for on-device fallback</w:t>
            </w:r>
          </w:p>
        </w:tc>
        <w:tc>
          <w:tcPr>
            <w:tcW w:type="dxa" w:w="2340"/>
          </w:tcPr>
          <w:p>
            <w:pPr>
              <w:spacing w:after="60"/>
            </w:pPr>
            <w:r>
              <w:rPr>
                <w:b w:val="false"/>
                <w:bCs w:val="false"/>
                <w:sz w:val="20"/>
                <w:szCs w:val="20"/>
              </w:rPr>
              <w:t xml:space="preserve">assumed present for weather</w:t>
            </w:r>
          </w:p>
        </w:tc>
        <w:tc>
          <w:tcPr>
            <w:tcW w:type="dxa" w:w="2680"/>
          </w:tcPr>
          <w:p>
            <w:pPr>
              <w:spacing w:after="60"/>
            </w:pPr>
            <w:r>
              <w:rPr>
                <w:b w:val="false"/>
                <w:bCs w:val="false"/>
                <w:sz w:val="20"/>
                <w:szCs w:val="20"/>
              </w:rPr>
              <w:t xml:space="preserve">0 marginal</w:t>
            </w:r>
          </w:p>
        </w:tc>
      </w:tr>
    </w:tbl>
    <w:p>
      <w:pPr>
        <w:spacing w:after="200" w:before="100"/>
      </w:pPr>
      <w:r>
        <w:rPr>
          <w:i/>
          <w:iCs/>
          <w:color w:val="444444"/>
        </w:rPr>
        <w:t xml:space="preserve">Costs above assume the cluster master runs the pipeline. If per-farmer subscriptions are used instead of a cluster share, all figures multiply by farmer count.</w:t>
      </w:r>
    </w:p>
    <w:p>
      <w:pPr>
        <w:pStyle w:val="Heading2"/>
        <w:spacing w:after="150" w:before="300"/>
      </w:pPr>
      <w:r>
        <w:rPr>
          <w:b/>
          <w:bCs/>
          <w:sz w:val="26"/>
          <w:szCs w:val="26"/>
        </w:rPr>
        <w:t xml:space="preserve">11.4 Break-even against per-farmer procurement — प्रति शेतकरी विरुद्ध क्लस्टर</w:t>
      </w:r>
    </w:p>
    <w:p>
      <w:pPr>
        <w:spacing w:after="120"/>
      </w:pPr>
      <w:r>
        <w:t xml:space="preserve">At current Sentinel Hub processing prices and typical Kannad plot sizes, the shared-master model is between five and twelve times cheaper per farmer than a per-farmer commercial procurement. This preserves the same economics logic used by the D07 cluster weather station and by the master-plus-sub-node hardware model in D14 — the shared unit does the expensive part once for everyone.</w:t>
      </w:r>
    </w:p>
    <w:p>
      <w:pPr>
        <w:spacing w:after="300" w:before="200"/>
      </w:pPr>
      <w:r>
        <w:rPr>
          <w:i/>
          <w:iCs/>
          <w:sz w:val="20"/>
          <w:szCs w:val="20"/>
        </w:rPr>
        <w:t xml:space="preserve">Sources: Copernicus Data Space Ecosystem published pricing; Sentinel Hub public price sheet; Google Earth Engine terms; Agro-Guardian cluster economics work (June–July 2026); ICAR-CRIDA precision agriculture cost studies.</w:t>
      </w:r>
    </w:p>
    <w:p>
      <w:r>
        <w:br w:type="page"/>
      </w:r>
    </w:p>
    <w:p>
      <w:pPr>
        <w:pStyle w:val="Heading1"/>
        <w:spacing w:after="200" w:before="400"/>
      </w:pPr>
      <w:r>
        <w:rPr>
          <w:b/>
          <w:bCs/>
          <w:sz w:val="32"/>
          <w:szCs w:val="32"/>
        </w:rPr>
        <w:t xml:space="preserve">SECTION 12. Data pipeline and technical stack — डेटा पाइपलाइन</w:t>
      </w:r>
    </w:p>
    <w:p>
      <w:pPr>
        <w:pStyle w:val="Heading2"/>
        <w:spacing w:after="150" w:before="300"/>
      </w:pPr>
      <w:r>
        <w:rPr>
          <w:b/>
          <w:bCs/>
          <w:sz w:val="26"/>
          <w:szCs w:val="26"/>
        </w:rPr>
        <w:t xml:space="preserve">12.1 Pipeline stages — पाइपलाइन टप्पे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200"/>
        <w:gridCol w:w="3460"/>
      </w:tblGrid>
      <w:tr>
        <w:trPr>
          <w:tblHeader/>
        </w:trPr>
        <w:tc>
          <w:tcPr>
            <w:tcW w:type="dxa" w:w="1500"/>
            <w:shd w:fill="DCE6F1" w:color="auto" w:val="clear"/>
          </w:tcPr>
          <w:p>
            <w:pPr>
              <w:spacing w:after="60"/>
            </w:pPr>
            <w:r>
              <w:rPr>
                <w:b/>
                <w:bCs/>
                <w:sz w:val="20"/>
                <w:szCs w:val="20"/>
              </w:rPr>
              <w:t xml:space="preserve">Stage</w:t>
            </w:r>
          </w:p>
        </w:tc>
        <w:tc>
          <w:tcPr>
            <w:tcW w:type="dxa" w:w="2200"/>
            <w:shd w:fill="DCE6F1" w:color="auto" w:val="clear"/>
          </w:tcPr>
          <w:p>
            <w:pPr>
              <w:spacing w:after="60"/>
            </w:pPr>
            <w:r>
              <w:rPr>
                <w:b/>
                <w:bCs/>
                <w:sz w:val="20"/>
                <w:szCs w:val="20"/>
              </w:rPr>
              <w:t xml:space="preserve">Purpose</w:t>
            </w:r>
          </w:p>
        </w:tc>
        <w:tc>
          <w:tcPr>
            <w:tcW w:type="dxa" w:w="2200"/>
            <w:shd w:fill="DCE6F1" w:color="auto" w:val="clear"/>
          </w:tcPr>
          <w:p>
            <w:pPr>
              <w:spacing w:after="60"/>
            </w:pPr>
            <w:r>
              <w:rPr>
                <w:b/>
                <w:bCs/>
                <w:sz w:val="20"/>
                <w:szCs w:val="20"/>
              </w:rPr>
              <w:t xml:space="preserve">Tools</w:t>
            </w:r>
          </w:p>
        </w:tc>
        <w:tc>
          <w:tcPr>
            <w:tcW w:type="dxa" w:w="3460"/>
            <w:shd w:fill="DCE6F1" w:color="auto" w:val="clear"/>
          </w:tcPr>
          <w:p>
            <w:pPr>
              <w:spacing w:after="60"/>
            </w:pPr>
            <w:r>
              <w:rPr>
                <w:b/>
                <w:bCs/>
                <w:sz w:val="20"/>
                <w:szCs w:val="20"/>
              </w:rPr>
              <w:t xml:space="preserve">Output to Farm Brain</w:t>
            </w:r>
          </w:p>
        </w:tc>
      </w:tr>
      <w:tr>
        <w:tc>
          <w:tcPr>
            <w:tcW w:type="dxa" w:w="1500"/>
          </w:tcPr>
          <w:p>
            <w:pPr>
              <w:spacing w:after="60"/>
            </w:pPr>
            <w:r>
              <w:rPr>
                <w:b w:val="false"/>
                <w:bCs w:val="false"/>
                <w:sz w:val="20"/>
                <w:szCs w:val="20"/>
              </w:rPr>
              <w:t xml:space="preserve">1. Plot registration</w:t>
            </w:r>
          </w:p>
        </w:tc>
        <w:tc>
          <w:tcPr>
            <w:tcW w:type="dxa" w:w="2200"/>
          </w:tcPr>
          <w:p>
            <w:pPr>
              <w:spacing w:after="60"/>
            </w:pPr>
            <w:r>
              <w:rPr>
                <w:b w:val="false"/>
                <w:bCs w:val="false"/>
                <w:sz w:val="20"/>
                <w:szCs w:val="20"/>
              </w:rPr>
              <w:t xml:space="preserve">polygon geometry + centroid</w:t>
            </w:r>
          </w:p>
        </w:tc>
        <w:tc>
          <w:tcPr>
            <w:tcW w:type="dxa" w:w="2200"/>
          </w:tcPr>
          <w:p>
            <w:pPr>
              <w:spacing w:after="60"/>
            </w:pPr>
            <w:r>
              <w:rPr>
                <w:b w:val="false"/>
                <w:bCs w:val="false"/>
                <w:sz w:val="20"/>
                <w:szCs w:val="20"/>
              </w:rPr>
              <w:t xml:space="preserve">farmer app draw tool; validate with Bhuvan plot boundary if available</w:t>
            </w:r>
          </w:p>
        </w:tc>
        <w:tc>
          <w:tcPr>
            <w:tcW w:type="dxa" w:w="3460"/>
          </w:tcPr>
          <w:p>
            <w:pPr>
              <w:spacing w:after="60"/>
            </w:pPr>
            <w:r>
              <w:rPr>
                <w:b w:val="false"/>
                <w:bCs w:val="false"/>
                <w:sz w:val="20"/>
                <w:szCs w:val="20"/>
              </w:rPr>
              <w:t xml:space="preserve">plot_polygon_wkt, plot_area_ha</w:t>
            </w:r>
          </w:p>
        </w:tc>
      </w:tr>
      <w:tr>
        <w:tc>
          <w:tcPr>
            <w:tcW w:type="dxa" w:w="1500"/>
          </w:tcPr>
          <w:p>
            <w:pPr>
              <w:spacing w:after="60"/>
            </w:pPr>
            <w:r>
              <w:rPr>
                <w:b w:val="false"/>
                <w:bCs w:val="false"/>
                <w:sz w:val="20"/>
                <w:szCs w:val="20"/>
              </w:rPr>
              <w:t xml:space="preserve">2. Scene discovery</w:t>
            </w:r>
          </w:p>
        </w:tc>
        <w:tc>
          <w:tcPr>
            <w:tcW w:type="dxa" w:w="2200"/>
          </w:tcPr>
          <w:p>
            <w:pPr>
              <w:spacing w:after="60"/>
            </w:pPr>
            <w:r>
              <w:rPr>
                <w:b w:val="false"/>
                <w:bCs w:val="false"/>
                <w:sz w:val="20"/>
                <w:szCs w:val="20"/>
              </w:rPr>
              <w:t xml:space="preserve">find scenes intersecting the plot polygon in the target date range</w:t>
            </w:r>
          </w:p>
        </w:tc>
        <w:tc>
          <w:tcPr>
            <w:tcW w:type="dxa" w:w="2200"/>
          </w:tcPr>
          <w:p>
            <w:pPr>
              <w:spacing w:after="60"/>
            </w:pPr>
            <w:r>
              <w:rPr>
                <w:b w:val="false"/>
                <w:bCs w:val="false"/>
                <w:sz w:val="20"/>
                <w:szCs w:val="20"/>
              </w:rPr>
              <w:t xml:space="preserve">Copernicus Data Space STAC API; USGS M2M API</w:t>
            </w:r>
          </w:p>
        </w:tc>
        <w:tc>
          <w:tcPr>
            <w:tcW w:type="dxa" w:w="3460"/>
          </w:tcPr>
          <w:p>
            <w:pPr>
              <w:spacing w:after="60"/>
            </w:pPr>
            <w:r>
              <w:rPr>
                <w:b w:val="false"/>
                <w:bCs w:val="false"/>
                <w:sz w:val="20"/>
                <w:szCs w:val="20"/>
              </w:rPr>
              <w:t xml:space="preserve">scene manifest per plot</w:t>
            </w:r>
          </w:p>
        </w:tc>
      </w:tr>
      <w:tr>
        <w:tc>
          <w:tcPr>
            <w:tcW w:type="dxa" w:w="1500"/>
          </w:tcPr>
          <w:p>
            <w:pPr>
              <w:spacing w:after="60"/>
            </w:pPr>
            <w:r>
              <w:rPr>
                <w:b w:val="false"/>
                <w:bCs w:val="false"/>
                <w:sz w:val="20"/>
                <w:szCs w:val="20"/>
              </w:rPr>
              <w:t xml:space="preserve">3. Download or on-cloud</w:t>
            </w:r>
          </w:p>
        </w:tc>
        <w:tc>
          <w:tcPr>
            <w:tcW w:type="dxa" w:w="2200"/>
          </w:tcPr>
          <w:p>
            <w:pPr>
              <w:spacing w:after="60"/>
            </w:pPr>
            <w:r>
              <w:rPr>
                <w:b w:val="false"/>
                <w:bCs w:val="false"/>
                <w:sz w:val="20"/>
                <w:szCs w:val="20"/>
              </w:rPr>
              <w:t xml:space="preserve">pull L2A tiles OR run the analysis on GEE without local copy</w:t>
            </w:r>
          </w:p>
        </w:tc>
        <w:tc>
          <w:tcPr>
            <w:tcW w:type="dxa" w:w="2200"/>
          </w:tcPr>
          <w:p>
            <w:pPr>
              <w:spacing w:after="60"/>
            </w:pPr>
            <w:r>
              <w:rPr>
                <w:b w:val="false"/>
                <w:bCs w:val="false"/>
                <w:sz w:val="20"/>
                <w:szCs w:val="20"/>
              </w:rPr>
              <w:t xml:space="preserve">Copernicus S3, Sentinel Hub, or GEE</w:t>
            </w:r>
          </w:p>
        </w:tc>
        <w:tc>
          <w:tcPr>
            <w:tcW w:type="dxa" w:w="3460"/>
          </w:tcPr>
          <w:p>
            <w:pPr>
              <w:spacing w:after="60"/>
            </w:pPr>
            <w:r>
              <w:rPr>
                <w:b w:val="false"/>
                <w:bCs w:val="false"/>
                <w:sz w:val="20"/>
                <w:szCs w:val="20"/>
              </w:rPr>
              <w:t xml:space="preserve">raster clip per plot</w:t>
            </w:r>
          </w:p>
        </w:tc>
      </w:tr>
      <w:tr>
        <w:tc>
          <w:tcPr>
            <w:tcW w:type="dxa" w:w="1500"/>
          </w:tcPr>
          <w:p>
            <w:pPr>
              <w:spacing w:after="60"/>
            </w:pPr>
            <w:r>
              <w:rPr>
                <w:b w:val="false"/>
                <w:bCs w:val="false"/>
                <w:sz w:val="20"/>
                <w:szCs w:val="20"/>
              </w:rPr>
              <w:t xml:space="preserve">4. Quality filter</w:t>
            </w:r>
          </w:p>
        </w:tc>
        <w:tc>
          <w:tcPr>
            <w:tcW w:type="dxa" w:w="2200"/>
          </w:tcPr>
          <w:p>
            <w:pPr>
              <w:spacing w:after="60"/>
            </w:pPr>
            <w:r>
              <w:rPr>
                <w:b w:val="false"/>
                <w:bCs w:val="false"/>
                <w:sz w:val="20"/>
                <w:szCs w:val="20"/>
              </w:rPr>
              <w:t xml:space="preserve">reject pixels flagged cloud, shadow, snow, water, saturated</w:t>
            </w:r>
          </w:p>
        </w:tc>
        <w:tc>
          <w:tcPr>
            <w:tcW w:type="dxa" w:w="2200"/>
          </w:tcPr>
          <w:p>
            <w:pPr>
              <w:spacing w:after="60"/>
            </w:pPr>
            <w:r>
              <w:rPr>
                <w:b w:val="false"/>
                <w:bCs w:val="false"/>
                <w:sz w:val="20"/>
                <w:szCs w:val="20"/>
              </w:rPr>
              <w:t xml:space="preserve">Sentinel-2 SCL layer; Landsat QA_PIXEL</w:t>
            </w:r>
          </w:p>
        </w:tc>
        <w:tc>
          <w:tcPr>
            <w:tcW w:type="dxa" w:w="3460"/>
          </w:tcPr>
          <w:p>
            <w:pPr>
              <w:spacing w:after="60"/>
            </w:pPr>
            <w:r>
              <w:rPr>
                <w:b w:val="false"/>
                <w:bCs w:val="false"/>
                <w:sz w:val="20"/>
                <w:szCs w:val="20"/>
              </w:rPr>
              <w:t xml:space="preserve">valid pixel mask</w:t>
            </w:r>
          </w:p>
        </w:tc>
      </w:tr>
      <w:tr>
        <w:tc>
          <w:tcPr>
            <w:tcW w:type="dxa" w:w="1500"/>
          </w:tcPr>
          <w:p>
            <w:pPr>
              <w:spacing w:after="60"/>
            </w:pPr>
            <w:r>
              <w:rPr>
                <w:b w:val="false"/>
                <w:bCs w:val="false"/>
                <w:sz w:val="20"/>
                <w:szCs w:val="20"/>
              </w:rPr>
              <w:t xml:space="preserve">5. Index computation</w:t>
            </w:r>
          </w:p>
        </w:tc>
        <w:tc>
          <w:tcPr>
            <w:tcW w:type="dxa" w:w="2200"/>
          </w:tcPr>
          <w:p>
            <w:pPr>
              <w:spacing w:after="60"/>
            </w:pPr>
            <w:r>
              <w:rPr>
                <w:b w:val="false"/>
                <w:bCs w:val="false"/>
                <w:sz w:val="20"/>
                <w:szCs w:val="20"/>
              </w:rPr>
              <w:t xml:space="preserve">NDVI, NDRE, NDMI, EVI, SAVI, NBR, and their statistics over the plot</w:t>
            </w:r>
          </w:p>
        </w:tc>
        <w:tc>
          <w:tcPr>
            <w:tcW w:type="dxa" w:w="2200"/>
          </w:tcPr>
          <w:p>
            <w:pPr>
              <w:spacing w:after="60"/>
            </w:pPr>
            <w:r>
              <w:rPr>
                <w:b w:val="false"/>
                <w:bCs w:val="false"/>
                <w:sz w:val="20"/>
                <w:szCs w:val="20"/>
              </w:rPr>
              <w:t xml:space="preserve">band arithmetic, chosen platform</w:t>
            </w:r>
          </w:p>
        </w:tc>
        <w:tc>
          <w:tcPr>
            <w:tcW w:type="dxa" w:w="3460"/>
          </w:tcPr>
          <w:p>
            <w:pPr>
              <w:spacing w:after="60"/>
            </w:pPr>
            <w:r>
              <w:rPr>
                <w:b w:val="false"/>
                <w:bCs w:val="false"/>
                <w:sz w:val="20"/>
                <w:szCs w:val="20"/>
              </w:rPr>
              <w:t xml:space="preserve">ndvi_mean, ndvi_std, ndre_mean, ndmi_mean, evi_mean</w:t>
            </w:r>
          </w:p>
        </w:tc>
      </w:tr>
      <w:tr>
        <w:tc>
          <w:tcPr>
            <w:tcW w:type="dxa" w:w="1500"/>
          </w:tcPr>
          <w:p>
            <w:pPr>
              <w:spacing w:after="60"/>
            </w:pPr>
            <w:r>
              <w:rPr>
                <w:b w:val="false"/>
                <w:bCs w:val="false"/>
                <w:sz w:val="20"/>
                <w:szCs w:val="20"/>
              </w:rPr>
              <w:t xml:space="preserve">6. SAR processing</w:t>
            </w:r>
          </w:p>
        </w:tc>
        <w:tc>
          <w:tcPr>
            <w:tcW w:type="dxa" w:w="2200"/>
          </w:tcPr>
          <w:p>
            <w:pPr>
              <w:spacing w:after="60"/>
            </w:pPr>
            <w:r>
              <w:rPr>
                <w:b w:val="false"/>
                <w:bCs w:val="false"/>
                <w:sz w:val="20"/>
                <w:szCs w:val="20"/>
              </w:rPr>
              <w:t xml:space="preserve">σ⁰ VV, σ⁰ VH, RVI, coherence between successive dates</w:t>
            </w:r>
          </w:p>
        </w:tc>
        <w:tc>
          <w:tcPr>
            <w:tcW w:type="dxa" w:w="2200"/>
          </w:tcPr>
          <w:p>
            <w:pPr>
              <w:spacing w:after="60"/>
            </w:pPr>
            <w:r>
              <w:rPr>
                <w:b w:val="false"/>
                <w:bCs w:val="false"/>
                <w:sz w:val="20"/>
                <w:szCs w:val="20"/>
              </w:rPr>
              <w:t xml:space="preserve">SNAP graph, GEE, or Sentinel Hub</w:t>
            </w:r>
          </w:p>
        </w:tc>
        <w:tc>
          <w:tcPr>
            <w:tcW w:type="dxa" w:w="3460"/>
          </w:tcPr>
          <w:p>
            <w:pPr>
              <w:spacing w:after="60"/>
            </w:pPr>
            <w:r>
              <w:rPr>
                <w:b w:val="false"/>
                <w:bCs w:val="false"/>
                <w:sz w:val="20"/>
                <w:szCs w:val="20"/>
              </w:rPr>
              <w:t xml:space="preserve">sar_vv_db, sar_vh_db, sar_rvi, sar_coherence</w:t>
            </w:r>
          </w:p>
        </w:tc>
      </w:tr>
      <w:tr>
        <w:tc>
          <w:tcPr>
            <w:tcW w:type="dxa" w:w="1500"/>
          </w:tcPr>
          <w:p>
            <w:pPr>
              <w:spacing w:after="60"/>
            </w:pPr>
            <w:r>
              <w:rPr>
                <w:b w:val="false"/>
                <w:bCs w:val="false"/>
                <w:sz w:val="20"/>
                <w:szCs w:val="20"/>
              </w:rPr>
              <w:t xml:space="preserve">7. Thermal processing</w:t>
            </w:r>
          </w:p>
        </w:tc>
        <w:tc>
          <w:tcPr>
            <w:tcW w:type="dxa" w:w="2200"/>
          </w:tcPr>
          <w:p>
            <w:pPr>
              <w:spacing w:after="60"/>
            </w:pPr>
            <w:r>
              <w:rPr>
                <w:b w:val="false"/>
                <w:bCs w:val="false"/>
                <w:sz w:val="20"/>
                <w:szCs w:val="20"/>
              </w:rPr>
              <w:t xml:space="preserve">LST retrieval and CWSI computation using cluster T_air</w:t>
            </w:r>
          </w:p>
        </w:tc>
        <w:tc>
          <w:tcPr>
            <w:tcW w:type="dxa" w:w="2200"/>
          </w:tcPr>
          <w:p>
            <w:pPr>
              <w:spacing w:after="60"/>
            </w:pPr>
            <w:r>
              <w:rPr>
                <w:b w:val="false"/>
                <w:bCs w:val="false"/>
                <w:sz w:val="20"/>
                <w:szCs w:val="20"/>
              </w:rPr>
              <w:t xml:space="preserve">Landsat Collection-2 Level-2 ST band</w:t>
            </w:r>
          </w:p>
        </w:tc>
        <w:tc>
          <w:tcPr>
            <w:tcW w:type="dxa" w:w="3460"/>
          </w:tcPr>
          <w:p>
            <w:pPr>
              <w:spacing w:after="60"/>
            </w:pPr>
            <w:r>
              <w:rPr>
                <w:b w:val="false"/>
                <w:bCs w:val="false"/>
                <w:sz w:val="20"/>
                <w:szCs w:val="20"/>
              </w:rPr>
              <w:t xml:space="preserve">lst_c, cwsi</w:t>
            </w:r>
          </w:p>
        </w:tc>
      </w:tr>
      <w:tr>
        <w:tc>
          <w:tcPr>
            <w:tcW w:type="dxa" w:w="1500"/>
          </w:tcPr>
          <w:p>
            <w:pPr>
              <w:spacing w:after="60"/>
            </w:pPr>
            <w:r>
              <w:rPr>
                <w:b w:val="false"/>
                <w:bCs w:val="false"/>
                <w:sz w:val="20"/>
                <w:szCs w:val="20"/>
              </w:rPr>
              <w:t xml:space="preserve">8. Time-series smoothing</w:t>
            </w:r>
          </w:p>
        </w:tc>
        <w:tc>
          <w:tcPr>
            <w:tcW w:type="dxa" w:w="2200"/>
          </w:tcPr>
          <w:p>
            <w:pPr>
              <w:spacing w:after="60"/>
            </w:pPr>
            <w:r>
              <w:rPr>
                <w:b w:val="false"/>
                <w:bCs w:val="false"/>
                <w:sz w:val="20"/>
                <w:szCs w:val="20"/>
              </w:rPr>
              <w:t xml:space="preserve">Whittaker or Savitzky-Golay to suppress single-scene noise</w:t>
            </w:r>
          </w:p>
        </w:tc>
        <w:tc>
          <w:tcPr>
            <w:tcW w:type="dxa" w:w="2200"/>
          </w:tcPr>
          <w:p>
            <w:pPr>
              <w:spacing w:after="60"/>
            </w:pPr>
            <w:r>
              <w:rPr>
                <w:b w:val="false"/>
                <w:bCs w:val="false"/>
                <w:sz w:val="20"/>
                <w:szCs w:val="20"/>
              </w:rPr>
              <w:t xml:space="preserve">per platform</w:t>
            </w:r>
          </w:p>
        </w:tc>
        <w:tc>
          <w:tcPr>
            <w:tcW w:type="dxa" w:w="3460"/>
          </w:tcPr>
          <w:p>
            <w:pPr>
              <w:spacing w:after="60"/>
            </w:pPr>
            <w:r>
              <w:rPr>
                <w:b w:val="false"/>
                <w:bCs w:val="false"/>
                <w:sz w:val="20"/>
                <w:szCs w:val="20"/>
              </w:rPr>
              <w:t xml:space="preserve">ndvi_smoothed, ndre_smoothed</w:t>
            </w:r>
          </w:p>
        </w:tc>
      </w:tr>
      <w:tr>
        <w:tc>
          <w:tcPr>
            <w:tcW w:type="dxa" w:w="1500"/>
          </w:tcPr>
          <w:p>
            <w:pPr>
              <w:spacing w:after="60"/>
            </w:pPr>
            <w:r>
              <w:rPr>
                <w:b w:val="false"/>
                <w:bCs w:val="false"/>
                <w:sz w:val="20"/>
                <w:szCs w:val="20"/>
              </w:rPr>
              <w:t xml:space="preserve">9. Anomaly evaluation</w:t>
            </w:r>
          </w:p>
        </w:tc>
        <w:tc>
          <w:tcPr>
            <w:tcW w:type="dxa" w:w="2200"/>
          </w:tcPr>
          <w:p>
            <w:pPr>
              <w:spacing w:after="60"/>
            </w:pPr>
            <w:r>
              <w:rPr>
                <w:b w:val="false"/>
                <w:bCs w:val="false"/>
                <w:sz w:val="20"/>
                <w:szCs w:val="20"/>
              </w:rPr>
              <w:t xml:space="preserve">compare to baseline (regional, plot, peer) per Section 9</w:t>
            </w:r>
          </w:p>
        </w:tc>
        <w:tc>
          <w:tcPr>
            <w:tcW w:type="dxa" w:w="2200"/>
          </w:tcPr>
          <w:p>
            <w:pPr>
              <w:spacing w:after="60"/>
            </w:pPr>
            <w:r>
              <w:rPr>
                <w:b w:val="false"/>
                <w:bCs w:val="false"/>
                <w:sz w:val="20"/>
                <w:szCs w:val="20"/>
              </w:rPr>
              <w:t xml:space="preserve">rule DSL</w:t>
            </w:r>
          </w:p>
        </w:tc>
        <w:tc>
          <w:tcPr>
            <w:tcW w:type="dxa" w:w="3460"/>
          </w:tcPr>
          <w:p>
            <w:pPr>
              <w:spacing w:after="60"/>
            </w:pPr>
            <w:r>
              <w:rPr>
                <w:b w:val="false"/>
                <w:bCs w:val="false"/>
                <w:sz w:val="20"/>
                <w:szCs w:val="20"/>
              </w:rPr>
              <w:t xml:space="preserve">anomaly flags with confidence</w:t>
            </w:r>
          </w:p>
        </w:tc>
      </w:tr>
      <w:tr>
        <w:tc>
          <w:tcPr>
            <w:tcW w:type="dxa" w:w="1500"/>
          </w:tcPr>
          <w:p>
            <w:pPr>
              <w:spacing w:after="60"/>
            </w:pPr>
            <w:r>
              <w:rPr>
                <w:b w:val="false"/>
                <w:bCs w:val="false"/>
                <w:sz w:val="20"/>
                <w:szCs w:val="20"/>
              </w:rPr>
              <w:t xml:space="preserve">10. Rule engine feed</w:t>
            </w:r>
          </w:p>
        </w:tc>
        <w:tc>
          <w:tcPr>
            <w:tcW w:type="dxa" w:w="2200"/>
          </w:tcPr>
          <w:p>
            <w:pPr>
              <w:spacing w:after="60"/>
            </w:pPr>
            <w:r>
              <w:rPr>
                <w:b w:val="false"/>
                <w:bCs w:val="false"/>
                <w:sz w:val="20"/>
                <w:szCs w:val="20"/>
              </w:rPr>
              <w:t xml:space="preserve">satellite variables become Farm Brain fields</w:t>
            </w:r>
          </w:p>
        </w:tc>
        <w:tc>
          <w:tcPr>
            <w:tcW w:type="dxa" w:w="2200"/>
          </w:tcPr>
          <w:p>
            <w:pPr>
              <w:spacing w:after="60"/>
            </w:pPr>
            <w:r>
              <w:rPr>
                <w:b w:val="false"/>
                <w:bCs w:val="false"/>
                <w:sz w:val="20"/>
                <w:szCs w:val="20"/>
              </w:rPr>
              <w:t xml:space="preserve">runtime_loader</w:t>
            </w:r>
          </w:p>
        </w:tc>
        <w:tc>
          <w:tcPr>
            <w:tcW w:type="dxa" w:w="3460"/>
          </w:tcPr>
          <w:p>
            <w:pPr>
              <w:spacing w:after="60"/>
            </w:pPr>
            <w:r>
              <w:rPr>
                <w:b w:val="false"/>
                <w:bCs w:val="false"/>
                <w:sz w:val="20"/>
                <w:szCs w:val="20"/>
              </w:rPr>
              <w:t xml:space="preserve">consumed by D14 and downstream rules</w:t>
            </w:r>
          </w:p>
        </w:tc>
      </w:tr>
      <w:tr>
        <w:tc>
          <w:tcPr>
            <w:tcW w:type="dxa" w:w="1500"/>
          </w:tcPr>
          <w:p>
            <w:pPr>
              <w:spacing w:after="60"/>
            </w:pPr>
            <w:r>
              <w:rPr>
                <w:b w:val="false"/>
                <w:bCs w:val="false"/>
                <w:sz w:val="20"/>
                <w:szCs w:val="20"/>
              </w:rPr>
              <w:t xml:space="preserve">11. Logging</w:t>
            </w:r>
          </w:p>
        </w:tc>
        <w:tc>
          <w:tcPr>
            <w:tcW w:type="dxa" w:w="2200"/>
          </w:tcPr>
          <w:p>
            <w:pPr>
              <w:spacing w:after="60"/>
            </w:pPr>
            <w:r>
              <w:rPr>
                <w:b w:val="false"/>
                <w:bCs w:val="false"/>
                <w:sz w:val="20"/>
                <w:szCs w:val="20"/>
              </w:rPr>
              <w:t xml:space="preserve">preserve every scene id, cloud pct, timestamp, and pipeline version</w:t>
            </w:r>
          </w:p>
        </w:tc>
        <w:tc>
          <w:tcPr>
            <w:tcW w:type="dxa" w:w="2200"/>
          </w:tcPr>
          <w:p>
            <w:pPr>
              <w:spacing w:after="60"/>
            </w:pPr>
            <w:r>
              <w:rPr>
                <w:b w:val="false"/>
                <w:bCs w:val="false"/>
                <w:sz w:val="20"/>
                <w:szCs w:val="20"/>
              </w:rPr>
              <w:t xml:space="preserve">PostgreSQL</w:t>
            </w:r>
          </w:p>
        </w:tc>
        <w:tc>
          <w:tcPr>
            <w:tcW w:type="dxa" w:w="3460"/>
          </w:tcPr>
          <w:p>
            <w:pPr>
              <w:spacing w:after="60"/>
            </w:pPr>
            <w:r>
              <w:rPr>
                <w:b w:val="false"/>
                <w:bCs w:val="false"/>
                <w:sz w:val="20"/>
                <w:szCs w:val="20"/>
              </w:rPr>
              <w:t xml:space="preserve">sat_scene_log</w:t>
            </w:r>
          </w:p>
        </w:tc>
      </w:tr>
    </w:tbl>
    <w:p>
      <w:pPr>
        <w:pStyle w:val="Heading2"/>
        <w:spacing w:after="150" w:before="300"/>
      </w:pPr>
      <w:r>
        <w:rPr>
          <w:b/>
          <w:bCs/>
          <w:sz w:val="26"/>
          <w:szCs w:val="26"/>
        </w:rPr>
        <w:t xml:space="preserve">12.2 Recommended stack — शिफारशीत तांत्रिक संच</w:t>
      </w:r>
    </w:p>
    <w:p>
      <w:pPr>
        <w:pStyle w:val="ListParagraph"/>
        <w:numPr>
          <w:ilvl w:val="0"/>
          <w:numId w:val="1"/>
        </w:numPr>
        <w:spacing w:after="80"/>
      </w:pPr>
      <w:r>
        <w:t xml:space="preserve">Prototype and research: Google Earth Engine (Python API). Free for non-commercial; the fastest way to iterate on a new index or a baseline.</w:t>
      </w:r>
    </w:p>
    <w:p>
      <w:pPr>
        <w:pStyle w:val="ListParagraph"/>
        <w:numPr>
          <w:ilvl w:val="0"/>
          <w:numId w:val="1"/>
        </w:numPr>
        <w:spacing w:after="80"/>
      </w:pPr>
      <w:r>
        <w:t xml:space="preserve">Production for Indian users: Copernicus Data Space Ecosystem + Sentinel Hub statistical API for on-demand plot-level indices. Add ISRO Bhuvan and MOSDAC for Indian government products.</w:t>
      </w:r>
    </w:p>
    <w:p>
      <w:pPr>
        <w:pStyle w:val="ListParagraph"/>
        <w:numPr>
          <w:ilvl w:val="0"/>
          <w:numId w:val="1"/>
        </w:numPr>
        <w:spacing w:after="80"/>
      </w:pPr>
      <w:r>
        <w:t xml:space="preserve">SAR processing: Sentinel Hub `SAR_IW_VV_dB` and `SAR_IW_VH_dB` templates work well for common cases; move to ESA SNAP graphs only when a custom chain is required.</w:t>
      </w:r>
    </w:p>
    <w:p>
      <w:pPr>
        <w:pStyle w:val="ListParagraph"/>
        <w:numPr>
          <w:ilvl w:val="0"/>
          <w:numId w:val="1"/>
        </w:numPr>
        <w:spacing w:after="80"/>
      </w:pPr>
      <w:r>
        <w:t xml:space="preserve">Storage: PostGIS extension of the same PostgreSQL that already holds `kb_rules` and `engine_state`. One `sat_scene_log` table, one `sat_indices_daily` materialised view.</w:t>
      </w:r>
    </w:p>
    <w:p>
      <w:pPr>
        <w:pStyle w:val="ListParagraph"/>
        <w:numPr>
          <w:ilvl w:val="0"/>
          <w:numId w:val="1"/>
        </w:numPr>
        <w:spacing w:after="80"/>
      </w:pPr>
      <w:r>
        <w:t xml:space="preserve">Compute: whichever the cluster master unit can run without exceeding the power budget. Where power permits, the master runs the whole pipeline; where it does not, the pipeline runs on a small cloud VM and the master only consumes the indices.</w:t>
      </w:r>
    </w:p>
    <w:p>
      <w:pPr>
        <w:pStyle w:val="Heading2"/>
        <w:spacing w:after="150" w:before="300"/>
      </w:pPr>
      <w:r>
        <w:rPr>
          <w:b/>
          <w:bCs/>
          <w:sz w:val="26"/>
          <w:szCs w:val="26"/>
        </w:rPr>
        <w:t xml:space="preserve">12.3 New farm_brain fields — नवीन Farm Brain क्षेत्रे (Phase 1 candidates)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shd w:fill="DCE6F1" w:color="auto" w:val="clear"/>
          </w:tcPr>
          <w:p>
            <w:pPr>
              <w:spacing w:after="60"/>
            </w:pPr>
            <w:r>
              <w:rPr>
                <w:b/>
                <w:bCs/>
                <w:sz w:val="20"/>
                <w:szCs w:val="20"/>
              </w:rPr>
              <w:t xml:space="preserve">Field name</w:t>
            </w:r>
          </w:p>
        </w:tc>
        <w:tc>
          <w:tcPr>
            <w:tcW w:type="dxa" w:w="1200"/>
            <w:shd w:fill="DCE6F1" w:color="auto" w:val="clear"/>
          </w:tcPr>
          <w:p>
            <w:pPr>
              <w:spacing w:after="60"/>
            </w:pPr>
            <w:r>
              <w:rPr>
                <w:b/>
                <w:bCs/>
                <w:sz w:val="20"/>
                <w:szCs w:val="20"/>
              </w:rPr>
              <w:t xml:space="preserve">Type</w:t>
            </w:r>
          </w:p>
        </w:tc>
        <w:tc>
          <w:tcPr>
            <w:tcW w:type="dxa" w:w="4960"/>
            <w:shd w:fill="DCE6F1" w:color="auto" w:val="clear"/>
          </w:tcPr>
          <w:p>
            <w:pPr>
              <w:spacing w:after="60"/>
            </w:pPr>
            <w:r>
              <w:rPr>
                <w:b/>
                <w:bCs/>
                <w:sz w:val="20"/>
                <w:szCs w:val="20"/>
              </w:rPr>
              <w:t xml:space="preserve">Meaning</w:t>
            </w:r>
          </w:p>
        </w:tc>
      </w:tr>
      <w:tr>
        <w:tc>
          <w:tcPr>
            <w:tcW w:type="dxa" w:w="3200"/>
          </w:tcPr>
          <w:p>
            <w:pPr>
              <w:spacing w:after="60"/>
            </w:pPr>
            <w:r>
              <w:rPr>
                <w:b w:val="false"/>
                <w:bCs w:val="false"/>
                <w:sz w:val="20"/>
                <w:szCs w:val="20"/>
              </w:rPr>
              <w:t xml:space="preserve">plot_polygon_wkt</w:t>
            </w:r>
          </w:p>
        </w:tc>
        <w:tc>
          <w:tcPr>
            <w:tcW w:type="dxa" w:w="1200"/>
          </w:tcPr>
          <w:p>
            <w:pPr>
              <w:spacing w:after="60"/>
            </w:pPr>
            <w:r>
              <w:rPr>
                <w:b w:val="false"/>
                <w:bCs w:val="false"/>
                <w:sz w:val="20"/>
                <w:szCs w:val="20"/>
              </w:rPr>
              <w:t xml:space="preserve">text</w:t>
            </w:r>
          </w:p>
        </w:tc>
        <w:tc>
          <w:tcPr>
            <w:tcW w:type="dxa" w:w="4960"/>
          </w:tcPr>
          <w:p>
            <w:pPr>
              <w:spacing w:after="60"/>
            </w:pPr>
            <w:r>
              <w:rPr>
                <w:b w:val="false"/>
                <w:bCs w:val="false"/>
                <w:sz w:val="20"/>
                <w:szCs w:val="20"/>
              </w:rPr>
              <w:t xml:space="preserve">plot boundary as Well-Known Text; source of every pixel-level extract</w:t>
            </w:r>
          </w:p>
        </w:tc>
      </w:tr>
      <w:tr>
        <w:tc>
          <w:tcPr>
            <w:tcW w:type="dxa" w:w="3200"/>
          </w:tcPr>
          <w:p>
            <w:pPr>
              <w:spacing w:after="60"/>
            </w:pPr>
            <w:r>
              <w:rPr>
                <w:b w:val="false"/>
                <w:bCs w:val="false"/>
                <w:sz w:val="20"/>
                <w:szCs w:val="20"/>
              </w:rPr>
              <w:t xml:space="preserve">ndvi_mean</w:t>
            </w:r>
          </w:p>
        </w:tc>
        <w:tc>
          <w:tcPr>
            <w:tcW w:type="dxa" w:w="1200"/>
          </w:tcPr>
          <w:p>
            <w:pPr>
              <w:spacing w:after="60"/>
            </w:pPr>
            <w:r>
              <w:rPr>
                <w:b w:val="false"/>
                <w:bCs w:val="false"/>
                <w:sz w:val="20"/>
                <w:szCs w:val="20"/>
              </w:rPr>
              <w:t xml:space="preserve">number</w:t>
            </w:r>
          </w:p>
        </w:tc>
        <w:tc>
          <w:tcPr>
            <w:tcW w:type="dxa" w:w="4960"/>
          </w:tcPr>
          <w:p>
            <w:pPr>
              <w:spacing w:after="60"/>
            </w:pPr>
            <w:r>
              <w:rPr>
                <w:b w:val="false"/>
                <w:bCs w:val="false"/>
                <w:sz w:val="20"/>
                <w:szCs w:val="20"/>
              </w:rPr>
              <w:t xml:space="preserve">mean NDVI over valid pixels in the most recent cloud-clear scene</w:t>
            </w:r>
          </w:p>
        </w:tc>
      </w:tr>
      <w:tr>
        <w:tc>
          <w:tcPr>
            <w:tcW w:type="dxa" w:w="3200"/>
          </w:tcPr>
          <w:p>
            <w:pPr>
              <w:spacing w:after="60"/>
            </w:pPr>
            <w:r>
              <w:rPr>
                <w:b w:val="false"/>
                <w:bCs w:val="false"/>
                <w:sz w:val="20"/>
                <w:szCs w:val="20"/>
              </w:rPr>
              <w:t xml:space="preserve">ndvi_std</w:t>
            </w:r>
          </w:p>
        </w:tc>
        <w:tc>
          <w:tcPr>
            <w:tcW w:type="dxa" w:w="1200"/>
          </w:tcPr>
          <w:p>
            <w:pPr>
              <w:spacing w:after="60"/>
            </w:pPr>
            <w:r>
              <w:rPr>
                <w:b w:val="false"/>
                <w:bCs w:val="false"/>
                <w:sz w:val="20"/>
                <w:szCs w:val="20"/>
              </w:rPr>
              <w:t xml:space="preserve">number</w:t>
            </w:r>
          </w:p>
        </w:tc>
        <w:tc>
          <w:tcPr>
            <w:tcW w:type="dxa" w:w="4960"/>
          </w:tcPr>
          <w:p>
            <w:pPr>
              <w:spacing w:after="60"/>
            </w:pPr>
            <w:r>
              <w:rPr>
                <w:b w:val="false"/>
                <w:bCs w:val="false"/>
                <w:sz w:val="20"/>
                <w:szCs w:val="20"/>
              </w:rPr>
              <w:t xml:space="preserve">standard deviation of NDVI across the plot; a high value in a supposedly uniform plot means confounder</w:t>
            </w:r>
          </w:p>
        </w:tc>
      </w:tr>
      <w:tr>
        <w:tc>
          <w:tcPr>
            <w:tcW w:type="dxa" w:w="3200"/>
          </w:tcPr>
          <w:p>
            <w:pPr>
              <w:spacing w:after="60"/>
            </w:pPr>
            <w:r>
              <w:rPr>
                <w:b w:val="false"/>
                <w:bCs w:val="false"/>
                <w:sz w:val="20"/>
                <w:szCs w:val="20"/>
              </w:rPr>
              <w:t xml:space="preserve">ndvi_smoothed</w:t>
            </w:r>
          </w:p>
        </w:tc>
        <w:tc>
          <w:tcPr>
            <w:tcW w:type="dxa" w:w="1200"/>
          </w:tcPr>
          <w:p>
            <w:pPr>
              <w:spacing w:after="60"/>
            </w:pPr>
            <w:r>
              <w:rPr>
                <w:b w:val="false"/>
                <w:bCs w:val="false"/>
                <w:sz w:val="20"/>
                <w:szCs w:val="20"/>
              </w:rPr>
              <w:t xml:space="preserve">number</w:t>
            </w:r>
          </w:p>
        </w:tc>
        <w:tc>
          <w:tcPr>
            <w:tcW w:type="dxa" w:w="4960"/>
          </w:tcPr>
          <w:p>
            <w:pPr>
              <w:spacing w:after="60"/>
            </w:pPr>
            <w:r>
              <w:rPr>
                <w:b w:val="false"/>
                <w:bCs w:val="false"/>
                <w:sz w:val="20"/>
                <w:szCs w:val="20"/>
              </w:rPr>
              <w:t xml:space="preserve">Whittaker-smoothed NDVI value at today's date interpolating between scenes</w:t>
            </w:r>
          </w:p>
        </w:tc>
      </w:tr>
      <w:tr>
        <w:tc>
          <w:tcPr>
            <w:tcW w:type="dxa" w:w="3200"/>
          </w:tcPr>
          <w:p>
            <w:pPr>
              <w:spacing w:after="60"/>
            </w:pPr>
            <w:r>
              <w:rPr>
                <w:b w:val="false"/>
                <w:bCs w:val="false"/>
                <w:sz w:val="20"/>
                <w:szCs w:val="20"/>
              </w:rPr>
              <w:t xml:space="preserve">ndre_mean</w:t>
            </w:r>
          </w:p>
        </w:tc>
        <w:tc>
          <w:tcPr>
            <w:tcW w:type="dxa" w:w="1200"/>
          </w:tcPr>
          <w:p>
            <w:pPr>
              <w:spacing w:after="60"/>
            </w:pPr>
            <w:r>
              <w:rPr>
                <w:b w:val="false"/>
                <w:bCs w:val="false"/>
                <w:sz w:val="20"/>
                <w:szCs w:val="20"/>
              </w:rPr>
              <w:t xml:space="preserve">number</w:t>
            </w:r>
          </w:p>
        </w:tc>
        <w:tc>
          <w:tcPr>
            <w:tcW w:type="dxa" w:w="4960"/>
          </w:tcPr>
          <w:p>
            <w:pPr>
              <w:spacing w:after="60"/>
            </w:pPr>
            <w:r>
              <w:rPr>
                <w:b w:val="false"/>
                <w:bCs w:val="false"/>
                <w:sz w:val="20"/>
                <w:szCs w:val="20"/>
              </w:rPr>
              <w:t xml:space="preserve">mean red-edge index; nitrogen sensitivity</w:t>
            </w:r>
          </w:p>
        </w:tc>
      </w:tr>
      <w:tr>
        <w:tc>
          <w:tcPr>
            <w:tcW w:type="dxa" w:w="3200"/>
          </w:tcPr>
          <w:p>
            <w:pPr>
              <w:spacing w:after="60"/>
            </w:pPr>
            <w:r>
              <w:rPr>
                <w:b w:val="false"/>
                <w:bCs w:val="false"/>
                <w:sz w:val="20"/>
                <w:szCs w:val="20"/>
              </w:rPr>
              <w:t xml:space="preserve">ndmi_mean</w:t>
            </w:r>
          </w:p>
        </w:tc>
        <w:tc>
          <w:tcPr>
            <w:tcW w:type="dxa" w:w="1200"/>
          </w:tcPr>
          <w:p>
            <w:pPr>
              <w:spacing w:after="60"/>
            </w:pPr>
            <w:r>
              <w:rPr>
                <w:b w:val="false"/>
                <w:bCs w:val="false"/>
                <w:sz w:val="20"/>
                <w:szCs w:val="20"/>
              </w:rPr>
              <w:t xml:space="preserve">number</w:t>
            </w:r>
          </w:p>
        </w:tc>
        <w:tc>
          <w:tcPr>
            <w:tcW w:type="dxa" w:w="4960"/>
          </w:tcPr>
          <w:p>
            <w:pPr>
              <w:spacing w:after="60"/>
            </w:pPr>
            <w:r>
              <w:rPr>
                <w:b w:val="false"/>
                <w:bCs w:val="false"/>
                <w:sz w:val="20"/>
                <w:szCs w:val="20"/>
              </w:rPr>
              <w:t xml:space="preserve">mean canopy moisture index</w:t>
            </w:r>
          </w:p>
        </w:tc>
      </w:tr>
      <w:tr>
        <w:tc>
          <w:tcPr>
            <w:tcW w:type="dxa" w:w="3200"/>
          </w:tcPr>
          <w:p>
            <w:pPr>
              <w:spacing w:after="60"/>
            </w:pPr>
            <w:r>
              <w:rPr>
                <w:b w:val="false"/>
                <w:bCs w:val="false"/>
                <w:sz w:val="20"/>
                <w:szCs w:val="20"/>
              </w:rPr>
              <w:t xml:space="preserve">evi_mean</w:t>
            </w:r>
          </w:p>
        </w:tc>
        <w:tc>
          <w:tcPr>
            <w:tcW w:type="dxa" w:w="1200"/>
          </w:tcPr>
          <w:p>
            <w:pPr>
              <w:spacing w:after="60"/>
            </w:pPr>
            <w:r>
              <w:rPr>
                <w:b w:val="false"/>
                <w:bCs w:val="false"/>
                <w:sz w:val="20"/>
                <w:szCs w:val="20"/>
              </w:rPr>
              <w:t xml:space="preserve">number</w:t>
            </w:r>
          </w:p>
        </w:tc>
        <w:tc>
          <w:tcPr>
            <w:tcW w:type="dxa" w:w="4960"/>
          </w:tcPr>
          <w:p>
            <w:pPr>
              <w:spacing w:after="60"/>
            </w:pPr>
            <w:r>
              <w:rPr>
                <w:b w:val="false"/>
                <w:bCs w:val="false"/>
                <w:sz w:val="20"/>
                <w:szCs w:val="20"/>
              </w:rPr>
              <w:t xml:space="preserve">enhanced vegetation index; use where NDVI saturates</w:t>
            </w:r>
          </w:p>
        </w:tc>
      </w:tr>
      <w:tr>
        <w:tc>
          <w:tcPr>
            <w:tcW w:type="dxa" w:w="3200"/>
          </w:tcPr>
          <w:p>
            <w:pPr>
              <w:spacing w:after="60"/>
            </w:pPr>
            <w:r>
              <w:rPr>
                <w:b w:val="false"/>
                <w:bCs w:val="false"/>
                <w:sz w:val="20"/>
                <w:szCs w:val="20"/>
              </w:rPr>
              <w:t xml:space="preserve">savi_mean</w:t>
            </w:r>
          </w:p>
        </w:tc>
        <w:tc>
          <w:tcPr>
            <w:tcW w:type="dxa" w:w="1200"/>
          </w:tcPr>
          <w:p>
            <w:pPr>
              <w:spacing w:after="60"/>
            </w:pPr>
            <w:r>
              <w:rPr>
                <w:b w:val="false"/>
                <w:bCs w:val="false"/>
                <w:sz w:val="20"/>
                <w:szCs w:val="20"/>
              </w:rPr>
              <w:t xml:space="preserve">number</w:t>
            </w:r>
          </w:p>
        </w:tc>
        <w:tc>
          <w:tcPr>
            <w:tcW w:type="dxa" w:w="4960"/>
          </w:tcPr>
          <w:p>
            <w:pPr>
              <w:spacing w:after="60"/>
            </w:pPr>
            <w:r>
              <w:rPr>
                <w:b w:val="false"/>
                <w:bCs w:val="false"/>
                <w:sz w:val="20"/>
                <w:szCs w:val="20"/>
              </w:rPr>
              <w:t xml:space="preserve">soil-adjusted NDVI; use in G0–G1</w:t>
            </w:r>
          </w:p>
        </w:tc>
      </w:tr>
      <w:tr>
        <w:tc>
          <w:tcPr>
            <w:tcW w:type="dxa" w:w="3200"/>
          </w:tcPr>
          <w:p>
            <w:pPr>
              <w:spacing w:after="60"/>
            </w:pPr>
            <w:r>
              <w:rPr>
                <w:b w:val="false"/>
                <w:bCs w:val="false"/>
                <w:sz w:val="20"/>
                <w:szCs w:val="20"/>
              </w:rPr>
              <w:t xml:space="preserve">nbr_mean</w:t>
            </w:r>
          </w:p>
        </w:tc>
        <w:tc>
          <w:tcPr>
            <w:tcW w:type="dxa" w:w="1200"/>
          </w:tcPr>
          <w:p>
            <w:pPr>
              <w:spacing w:after="60"/>
            </w:pPr>
            <w:r>
              <w:rPr>
                <w:b w:val="false"/>
                <w:bCs w:val="false"/>
                <w:sz w:val="20"/>
                <w:szCs w:val="20"/>
              </w:rPr>
              <w:t xml:space="preserve">number</w:t>
            </w:r>
          </w:p>
        </w:tc>
        <w:tc>
          <w:tcPr>
            <w:tcW w:type="dxa" w:w="4960"/>
          </w:tcPr>
          <w:p>
            <w:pPr>
              <w:spacing w:after="60"/>
            </w:pPr>
            <w:r>
              <w:rPr>
                <w:b w:val="false"/>
                <w:bCs w:val="false"/>
                <w:sz w:val="20"/>
                <w:szCs w:val="20"/>
              </w:rPr>
              <w:t xml:space="preserve">burn ratio; residue burning detection</w:t>
            </w:r>
          </w:p>
        </w:tc>
      </w:tr>
      <w:tr>
        <w:tc>
          <w:tcPr>
            <w:tcW w:type="dxa" w:w="3200"/>
          </w:tcPr>
          <w:p>
            <w:pPr>
              <w:spacing w:after="60"/>
            </w:pPr>
            <w:r>
              <w:rPr>
                <w:b w:val="false"/>
                <w:bCs w:val="false"/>
                <w:sz w:val="20"/>
                <w:szCs w:val="20"/>
              </w:rPr>
              <w:t xml:space="preserve">sar_vv_db</w:t>
            </w:r>
          </w:p>
        </w:tc>
        <w:tc>
          <w:tcPr>
            <w:tcW w:type="dxa" w:w="1200"/>
          </w:tcPr>
          <w:p>
            <w:pPr>
              <w:spacing w:after="60"/>
            </w:pPr>
            <w:r>
              <w:rPr>
                <w:b w:val="false"/>
                <w:bCs w:val="false"/>
                <w:sz w:val="20"/>
                <w:szCs w:val="20"/>
              </w:rPr>
              <w:t xml:space="preserve">number</w:t>
            </w:r>
          </w:p>
        </w:tc>
        <w:tc>
          <w:tcPr>
            <w:tcW w:type="dxa" w:w="4960"/>
          </w:tcPr>
          <w:p>
            <w:pPr>
              <w:spacing w:after="60"/>
            </w:pPr>
            <w:r>
              <w:rPr>
                <w:b w:val="false"/>
                <w:bCs w:val="false"/>
                <w:sz w:val="20"/>
                <w:szCs w:val="20"/>
              </w:rPr>
              <w:t xml:space="preserve">Sentinel-1 σ⁰ VV in dB</w:t>
            </w:r>
          </w:p>
        </w:tc>
      </w:tr>
      <w:tr>
        <w:tc>
          <w:tcPr>
            <w:tcW w:type="dxa" w:w="3200"/>
          </w:tcPr>
          <w:p>
            <w:pPr>
              <w:spacing w:after="60"/>
            </w:pPr>
            <w:r>
              <w:rPr>
                <w:b w:val="false"/>
                <w:bCs w:val="false"/>
                <w:sz w:val="20"/>
                <w:szCs w:val="20"/>
              </w:rPr>
              <w:t xml:space="preserve">sar_vh_db</w:t>
            </w:r>
          </w:p>
        </w:tc>
        <w:tc>
          <w:tcPr>
            <w:tcW w:type="dxa" w:w="1200"/>
          </w:tcPr>
          <w:p>
            <w:pPr>
              <w:spacing w:after="60"/>
            </w:pPr>
            <w:r>
              <w:rPr>
                <w:b w:val="false"/>
                <w:bCs w:val="false"/>
                <w:sz w:val="20"/>
                <w:szCs w:val="20"/>
              </w:rPr>
              <w:t xml:space="preserve">number</w:t>
            </w:r>
          </w:p>
        </w:tc>
        <w:tc>
          <w:tcPr>
            <w:tcW w:type="dxa" w:w="4960"/>
          </w:tcPr>
          <w:p>
            <w:pPr>
              <w:spacing w:after="60"/>
            </w:pPr>
            <w:r>
              <w:rPr>
                <w:b w:val="false"/>
                <w:bCs w:val="false"/>
                <w:sz w:val="20"/>
                <w:szCs w:val="20"/>
              </w:rPr>
              <w:t xml:space="preserve">Sentinel-1 σ⁰ VH in dB</w:t>
            </w:r>
          </w:p>
        </w:tc>
      </w:tr>
      <w:tr>
        <w:tc>
          <w:tcPr>
            <w:tcW w:type="dxa" w:w="3200"/>
          </w:tcPr>
          <w:p>
            <w:pPr>
              <w:spacing w:after="60"/>
            </w:pPr>
            <w:r>
              <w:rPr>
                <w:b w:val="false"/>
                <w:bCs w:val="false"/>
                <w:sz w:val="20"/>
                <w:szCs w:val="20"/>
              </w:rPr>
              <w:t xml:space="preserve">sar_rvi</w:t>
            </w:r>
          </w:p>
        </w:tc>
        <w:tc>
          <w:tcPr>
            <w:tcW w:type="dxa" w:w="1200"/>
          </w:tcPr>
          <w:p>
            <w:pPr>
              <w:spacing w:after="60"/>
            </w:pPr>
            <w:r>
              <w:rPr>
                <w:b w:val="false"/>
                <w:bCs w:val="false"/>
                <w:sz w:val="20"/>
                <w:szCs w:val="20"/>
              </w:rPr>
              <w:t xml:space="preserve">number</w:t>
            </w:r>
          </w:p>
        </w:tc>
        <w:tc>
          <w:tcPr>
            <w:tcW w:type="dxa" w:w="4960"/>
          </w:tcPr>
          <w:p>
            <w:pPr>
              <w:spacing w:after="60"/>
            </w:pPr>
            <w:r>
              <w:rPr>
                <w:b w:val="false"/>
                <w:bCs w:val="false"/>
                <w:sz w:val="20"/>
                <w:szCs w:val="20"/>
              </w:rPr>
              <w:t xml:space="preserve">radar vegetation index</w:t>
            </w:r>
          </w:p>
        </w:tc>
      </w:tr>
      <w:tr>
        <w:tc>
          <w:tcPr>
            <w:tcW w:type="dxa" w:w="3200"/>
          </w:tcPr>
          <w:p>
            <w:pPr>
              <w:spacing w:after="60"/>
            </w:pPr>
            <w:r>
              <w:rPr>
                <w:b w:val="false"/>
                <w:bCs w:val="false"/>
                <w:sz w:val="20"/>
                <w:szCs w:val="20"/>
              </w:rPr>
              <w:t xml:space="preserve">sar_coherence</w:t>
            </w:r>
          </w:p>
        </w:tc>
        <w:tc>
          <w:tcPr>
            <w:tcW w:type="dxa" w:w="1200"/>
          </w:tcPr>
          <w:p>
            <w:pPr>
              <w:spacing w:after="60"/>
            </w:pPr>
            <w:r>
              <w:rPr>
                <w:b w:val="false"/>
                <w:bCs w:val="false"/>
                <w:sz w:val="20"/>
                <w:szCs w:val="20"/>
              </w:rPr>
              <w:t xml:space="preserve">number</w:t>
            </w:r>
          </w:p>
        </w:tc>
        <w:tc>
          <w:tcPr>
            <w:tcW w:type="dxa" w:w="4960"/>
          </w:tcPr>
          <w:p>
            <w:pPr>
              <w:spacing w:after="60"/>
            </w:pPr>
            <w:r>
              <w:rPr>
                <w:b w:val="false"/>
                <w:bCs w:val="false"/>
                <w:sz w:val="20"/>
                <w:szCs w:val="20"/>
              </w:rPr>
              <w:t xml:space="preserve">coherence between last two acquisitions from the same orbit; 0–1</w:t>
            </w:r>
          </w:p>
        </w:tc>
      </w:tr>
      <w:tr>
        <w:tc>
          <w:tcPr>
            <w:tcW w:type="dxa" w:w="3200"/>
          </w:tcPr>
          <w:p>
            <w:pPr>
              <w:spacing w:after="60"/>
            </w:pPr>
            <w:r>
              <w:rPr>
                <w:b w:val="false"/>
                <w:bCs w:val="false"/>
                <w:sz w:val="20"/>
                <w:szCs w:val="20"/>
              </w:rPr>
              <w:t xml:space="preserve">lst_c</w:t>
            </w:r>
          </w:p>
        </w:tc>
        <w:tc>
          <w:tcPr>
            <w:tcW w:type="dxa" w:w="1200"/>
          </w:tcPr>
          <w:p>
            <w:pPr>
              <w:spacing w:after="60"/>
            </w:pPr>
            <w:r>
              <w:rPr>
                <w:b w:val="false"/>
                <w:bCs w:val="false"/>
                <w:sz w:val="20"/>
                <w:szCs w:val="20"/>
              </w:rPr>
              <w:t xml:space="preserve">number</w:t>
            </w:r>
          </w:p>
        </w:tc>
        <w:tc>
          <w:tcPr>
            <w:tcW w:type="dxa" w:w="4960"/>
          </w:tcPr>
          <w:p>
            <w:pPr>
              <w:spacing w:after="60"/>
            </w:pPr>
            <w:r>
              <w:rPr>
                <w:b w:val="false"/>
                <w:bCs w:val="false"/>
                <w:sz w:val="20"/>
                <w:szCs w:val="20"/>
              </w:rPr>
              <w:t xml:space="preserve">land surface temperature in Celsius, most recent Landsat overpass</w:t>
            </w:r>
          </w:p>
        </w:tc>
      </w:tr>
      <w:tr>
        <w:tc>
          <w:tcPr>
            <w:tcW w:type="dxa" w:w="3200"/>
          </w:tcPr>
          <w:p>
            <w:pPr>
              <w:spacing w:after="60"/>
            </w:pPr>
            <w:r>
              <w:rPr>
                <w:b w:val="false"/>
                <w:bCs w:val="false"/>
                <w:sz w:val="20"/>
                <w:szCs w:val="20"/>
              </w:rPr>
              <w:t xml:space="preserve">cwsi</w:t>
            </w:r>
          </w:p>
        </w:tc>
        <w:tc>
          <w:tcPr>
            <w:tcW w:type="dxa" w:w="1200"/>
          </w:tcPr>
          <w:p>
            <w:pPr>
              <w:spacing w:after="60"/>
            </w:pPr>
            <w:r>
              <w:rPr>
                <w:b w:val="false"/>
                <w:bCs w:val="false"/>
                <w:sz w:val="20"/>
                <w:szCs w:val="20"/>
              </w:rPr>
              <w:t xml:space="preserve">number</w:t>
            </w:r>
          </w:p>
        </w:tc>
        <w:tc>
          <w:tcPr>
            <w:tcW w:type="dxa" w:w="4960"/>
          </w:tcPr>
          <w:p>
            <w:pPr>
              <w:spacing w:after="60"/>
            </w:pPr>
            <w:r>
              <w:rPr>
                <w:b w:val="false"/>
                <w:bCs w:val="false"/>
                <w:sz w:val="20"/>
                <w:szCs w:val="20"/>
              </w:rPr>
              <w:t xml:space="preserve">crop water stress index in [0, 1]</w:t>
            </w:r>
          </w:p>
        </w:tc>
      </w:tr>
      <w:tr>
        <w:tc>
          <w:tcPr>
            <w:tcW w:type="dxa" w:w="3200"/>
          </w:tcPr>
          <w:p>
            <w:pPr>
              <w:spacing w:after="60"/>
            </w:pPr>
            <w:r>
              <w:rPr>
                <w:b w:val="false"/>
                <w:bCs w:val="false"/>
                <w:sz w:val="20"/>
                <w:szCs w:val="20"/>
              </w:rPr>
              <w:t xml:space="preserve">plot_cloud_pct</w:t>
            </w:r>
          </w:p>
        </w:tc>
        <w:tc>
          <w:tcPr>
            <w:tcW w:type="dxa" w:w="1200"/>
          </w:tcPr>
          <w:p>
            <w:pPr>
              <w:spacing w:after="60"/>
            </w:pPr>
            <w:r>
              <w:rPr>
                <w:b w:val="false"/>
                <w:bCs w:val="false"/>
                <w:sz w:val="20"/>
                <w:szCs w:val="20"/>
              </w:rPr>
              <w:t xml:space="preserve">number</w:t>
            </w:r>
          </w:p>
        </w:tc>
        <w:tc>
          <w:tcPr>
            <w:tcW w:type="dxa" w:w="4960"/>
          </w:tcPr>
          <w:p>
            <w:pPr>
              <w:spacing w:after="60"/>
            </w:pPr>
            <w:r>
              <w:rPr>
                <w:b w:val="false"/>
                <w:bCs w:val="false"/>
                <w:sz w:val="20"/>
                <w:szCs w:val="20"/>
              </w:rPr>
              <w:t xml:space="preserve">cloud percentage over the plot polygon in the most recent Sentinel-2 scene</w:t>
            </w:r>
          </w:p>
        </w:tc>
      </w:tr>
      <w:tr>
        <w:tc>
          <w:tcPr>
            <w:tcW w:type="dxa" w:w="3200"/>
          </w:tcPr>
          <w:p>
            <w:pPr>
              <w:spacing w:after="60"/>
            </w:pPr>
            <w:r>
              <w:rPr>
                <w:b w:val="false"/>
                <w:bCs w:val="false"/>
                <w:sz w:val="20"/>
                <w:szCs w:val="20"/>
              </w:rPr>
              <w:t xml:space="preserve">scene_valid_pixel_pct</w:t>
            </w:r>
          </w:p>
        </w:tc>
        <w:tc>
          <w:tcPr>
            <w:tcW w:type="dxa" w:w="1200"/>
          </w:tcPr>
          <w:p>
            <w:pPr>
              <w:spacing w:after="60"/>
            </w:pPr>
            <w:r>
              <w:rPr>
                <w:b w:val="false"/>
                <w:bCs w:val="false"/>
                <w:sz w:val="20"/>
                <w:szCs w:val="20"/>
              </w:rPr>
              <w:t xml:space="preserve">number</w:t>
            </w:r>
          </w:p>
        </w:tc>
        <w:tc>
          <w:tcPr>
            <w:tcW w:type="dxa" w:w="4960"/>
          </w:tcPr>
          <w:p>
            <w:pPr>
              <w:spacing w:after="60"/>
            </w:pPr>
            <w:r>
              <w:rPr>
                <w:b w:val="false"/>
                <w:bCs w:val="false"/>
                <w:sz w:val="20"/>
                <w:szCs w:val="20"/>
              </w:rPr>
              <w:t xml:space="preserve">fraction of plot pixels that are neither cloud nor shadow nor water nor saturated</w:t>
            </w:r>
          </w:p>
        </w:tc>
      </w:tr>
      <w:tr>
        <w:tc>
          <w:tcPr>
            <w:tcW w:type="dxa" w:w="3200"/>
          </w:tcPr>
          <w:p>
            <w:pPr>
              <w:spacing w:after="60"/>
            </w:pPr>
            <w:r>
              <w:rPr>
                <w:b w:val="false"/>
                <w:bCs w:val="false"/>
                <w:sz w:val="20"/>
                <w:szCs w:val="20"/>
              </w:rPr>
              <w:t xml:space="preserve">optical_gap_days</w:t>
            </w:r>
          </w:p>
        </w:tc>
        <w:tc>
          <w:tcPr>
            <w:tcW w:type="dxa" w:w="1200"/>
          </w:tcPr>
          <w:p>
            <w:pPr>
              <w:spacing w:after="60"/>
            </w:pPr>
            <w:r>
              <w:rPr>
                <w:b w:val="false"/>
                <w:bCs w:val="false"/>
                <w:sz w:val="20"/>
                <w:szCs w:val="20"/>
              </w:rPr>
              <w:t xml:space="preserve">integer</w:t>
            </w:r>
          </w:p>
        </w:tc>
        <w:tc>
          <w:tcPr>
            <w:tcW w:type="dxa" w:w="4960"/>
          </w:tcPr>
          <w:p>
            <w:pPr>
              <w:spacing w:after="60"/>
            </w:pPr>
            <w:r>
              <w:rPr>
                <w:b w:val="false"/>
                <w:bCs w:val="false"/>
                <w:sz w:val="20"/>
                <w:szCs w:val="20"/>
              </w:rPr>
              <w:t xml:space="preserve">days since the last cloud-clear Sentinel-2 scene at the plot</w:t>
            </w:r>
          </w:p>
        </w:tc>
      </w:tr>
      <w:tr>
        <w:tc>
          <w:tcPr>
            <w:tcW w:type="dxa" w:w="3200"/>
          </w:tcPr>
          <w:p>
            <w:pPr>
              <w:spacing w:after="60"/>
            </w:pPr>
            <w:r>
              <w:rPr>
                <w:b w:val="false"/>
                <w:bCs w:val="false"/>
                <w:sz w:val="20"/>
                <w:szCs w:val="20"/>
              </w:rPr>
              <w:t xml:space="preserve">sar_gap_days</w:t>
            </w:r>
          </w:p>
        </w:tc>
        <w:tc>
          <w:tcPr>
            <w:tcW w:type="dxa" w:w="1200"/>
          </w:tcPr>
          <w:p>
            <w:pPr>
              <w:spacing w:after="60"/>
            </w:pPr>
            <w:r>
              <w:rPr>
                <w:b w:val="false"/>
                <w:bCs w:val="false"/>
                <w:sz w:val="20"/>
                <w:szCs w:val="20"/>
              </w:rPr>
              <w:t xml:space="preserve">integer</w:t>
            </w:r>
          </w:p>
        </w:tc>
        <w:tc>
          <w:tcPr>
            <w:tcW w:type="dxa" w:w="4960"/>
          </w:tcPr>
          <w:p>
            <w:pPr>
              <w:spacing w:after="60"/>
            </w:pPr>
            <w:r>
              <w:rPr>
                <w:b w:val="false"/>
                <w:bCs w:val="false"/>
                <w:sz w:val="20"/>
                <w:szCs w:val="20"/>
              </w:rPr>
              <w:t xml:space="preserve">days since the last Sentinel-1 acquisition at the plot</w:t>
            </w:r>
          </w:p>
        </w:tc>
      </w:tr>
      <w:tr>
        <w:tc>
          <w:tcPr>
            <w:tcW w:type="dxa" w:w="3200"/>
          </w:tcPr>
          <w:p>
            <w:pPr>
              <w:spacing w:after="60"/>
            </w:pPr>
            <w:r>
              <w:rPr>
                <w:b w:val="false"/>
                <w:bCs w:val="false"/>
                <w:sz w:val="20"/>
                <w:szCs w:val="20"/>
              </w:rPr>
              <w:t xml:space="preserve">ndvi_freshness_days</w:t>
            </w:r>
          </w:p>
        </w:tc>
        <w:tc>
          <w:tcPr>
            <w:tcW w:type="dxa" w:w="1200"/>
          </w:tcPr>
          <w:p>
            <w:pPr>
              <w:spacing w:after="60"/>
            </w:pPr>
            <w:r>
              <w:rPr>
                <w:b w:val="false"/>
                <w:bCs w:val="false"/>
                <w:sz w:val="20"/>
                <w:szCs w:val="20"/>
              </w:rPr>
              <w:t xml:space="preserve">integer</w:t>
            </w:r>
          </w:p>
        </w:tc>
        <w:tc>
          <w:tcPr>
            <w:tcW w:type="dxa" w:w="4960"/>
          </w:tcPr>
          <w:p>
            <w:pPr>
              <w:spacing w:after="60"/>
            </w:pPr>
            <w:r>
              <w:rPr>
                <w:b w:val="false"/>
                <w:bCs w:val="false"/>
                <w:sz w:val="20"/>
                <w:szCs w:val="20"/>
              </w:rPr>
              <w:t xml:space="preserve">age of ndvi_mean; used to degrade confidence linearly</w:t>
            </w:r>
          </w:p>
        </w:tc>
      </w:tr>
      <w:tr>
        <w:tc>
          <w:tcPr>
            <w:tcW w:type="dxa" w:w="3200"/>
          </w:tcPr>
          <w:p>
            <w:pPr>
              <w:spacing w:after="60"/>
            </w:pPr>
            <w:r>
              <w:rPr>
                <w:b w:val="false"/>
                <w:bCs w:val="false"/>
                <w:sz w:val="20"/>
                <w:szCs w:val="20"/>
              </w:rPr>
              <w:t xml:space="preserve">sat_pipeline_version</w:t>
            </w:r>
          </w:p>
        </w:tc>
        <w:tc>
          <w:tcPr>
            <w:tcW w:type="dxa" w:w="1200"/>
          </w:tcPr>
          <w:p>
            <w:pPr>
              <w:spacing w:after="60"/>
            </w:pPr>
            <w:r>
              <w:rPr>
                <w:b w:val="false"/>
                <w:bCs w:val="false"/>
                <w:sz w:val="20"/>
                <w:szCs w:val="20"/>
              </w:rPr>
              <w:t xml:space="preserve">text</w:t>
            </w:r>
          </w:p>
        </w:tc>
        <w:tc>
          <w:tcPr>
            <w:tcW w:type="dxa" w:w="4960"/>
          </w:tcPr>
          <w:p>
            <w:pPr>
              <w:spacing w:after="60"/>
            </w:pPr>
            <w:r>
              <w:rPr>
                <w:b w:val="false"/>
                <w:bCs w:val="false"/>
                <w:sz w:val="20"/>
                <w:szCs w:val="20"/>
              </w:rPr>
              <w:t xml:space="preserve">version tag of the processing chain that produced today's indices</w:t>
            </w:r>
          </w:p>
        </w:tc>
      </w:tr>
      <w:tr>
        <w:tc>
          <w:tcPr>
            <w:tcW w:type="dxa" w:w="3200"/>
          </w:tcPr>
          <w:p>
            <w:pPr>
              <w:spacing w:after="60"/>
            </w:pPr>
            <w:r>
              <w:rPr>
                <w:b w:val="false"/>
                <w:bCs w:val="false"/>
                <w:sz w:val="20"/>
                <w:szCs w:val="20"/>
              </w:rPr>
              <w:t xml:space="preserve">sat_source</w:t>
            </w:r>
          </w:p>
        </w:tc>
        <w:tc>
          <w:tcPr>
            <w:tcW w:type="dxa" w:w="1200"/>
          </w:tcPr>
          <w:p>
            <w:pPr>
              <w:spacing w:after="60"/>
            </w:pPr>
            <w:r>
              <w:rPr>
                <w:b w:val="false"/>
                <w:bCs w:val="false"/>
                <w:sz w:val="20"/>
                <w:szCs w:val="20"/>
              </w:rPr>
              <w:t xml:space="preserve">text</w:t>
            </w:r>
          </w:p>
        </w:tc>
        <w:tc>
          <w:tcPr>
            <w:tcW w:type="dxa" w:w="4960"/>
          </w:tcPr>
          <w:p>
            <w:pPr>
              <w:spacing w:after="60"/>
            </w:pPr>
            <w:r>
              <w:rPr>
                <w:b w:val="false"/>
                <w:bCs w:val="false"/>
                <w:sz w:val="20"/>
                <w:szCs w:val="20"/>
              </w:rPr>
              <w:t xml:space="preserve">enum: sentinel-2, sentinel-1, landsat-8, landsat-9, planet, other</w:t>
            </w:r>
          </w:p>
        </w:tc>
      </w:tr>
      <w:tr>
        <w:tc>
          <w:tcPr>
            <w:tcW w:type="dxa" w:w="3200"/>
          </w:tcPr>
          <w:p>
            <w:pPr>
              <w:spacing w:after="60"/>
            </w:pPr>
            <w:r>
              <w:rPr>
                <w:b w:val="false"/>
                <w:bCs w:val="false"/>
                <w:sz w:val="20"/>
                <w:szCs w:val="20"/>
              </w:rPr>
              <w:t xml:space="preserve">plot_ndvi_baseline_regional</w:t>
            </w:r>
          </w:p>
        </w:tc>
        <w:tc>
          <w:tcPr>
            <w:tcW w:type="dxa" w:w="1200"/>
          </w:tcPr>
          <w:p>
            <w:pPr>
              <w:spacing w:after="60"/>
            </w:pPr>
            <w:r>
              <w:rPr>
                <w:b w:val="false"/>
                <w:bCs w:val="false"/>
                <w:sz w:val="20"/>
                <w:szCs w:val="20"/>
              </w:rPr>
              <w:t xml:space="preserve">number</w:t>
            </w:r>
          </w:p>
        </w:tc>
        <w:tc>
          <w:tcPr>
            <w:tcW w:type="dxa" w:w="4960"/>
          </w:tcPr>
          <w:p>
            <w:pPr>
              <w:spacing w:after="60"/>
            </w:pPr>
            <w:r>
              <w:rPr>
                <w:b w:val="false"/>
                <w:bCs w:val="false"/>
                <w:sz w:val="20"/>
                <w:szCs w:val="20"/>
              </w:rPr>
              <w:t xml:space="preserve">regional expected NDVI for this stage; used for Section 9 anomaly</w:t>
            </w:r>
          </w:p>
        </w:tc>
      </w:tr>
      <w:tr>
        <w:tc>
          <w:tcPr>
            <w:tcW w:type="dxa" w:w="3200"/>
          </w:tcPr>
          <w:p>
            <w:pPr>
              <w:spacing w:after="60"/>
            </w:pPr>
            <w:r>
              <w:rPr>
                <w:b w:val="false"/>
                <w:bCs w:val="false"/>
                <w:sz w:val="20"/>
                <w:szCs w:val="20"/>
              </w:rPr>
              <w:t xml:space="preserve">plot_ndvi_baseline_peer</w:t>
            </w:r>
          </w:p>
        </w:tc>
        <w:tc>
          <w:tcPr>
            <w:tcW w:type="dxa" w:w="1200"/>
          </w:tcPr>
          <w:p>
            <w:pPr>
              <w:spacing w:after="60"/>
            </w:pPr>
            <w:r>
              <w:rPr>
                <w:b w:val="false"/>
                <w:bCs w:val="false"/>
                <w:sz w:val="20"/>
                <w:szCs w:val="20"/>
              </w:rPr>
              <w:t xml:space="preserve">number</w:t>
            </w:r>
          </w:p>
        </w:tc>
        <w:tc>
          <w:tcPr>
            <w:tcW w:type="dxa" w:w="4960"/>
          </w:tcPr>
          <w:p>
            <w:pPr>
              <w:spacing w:after="60"/>
            </w:pPr>
            <w:r>
              <w:rPr>
                <w:b w:val="false"/>
                <w:bCs w:val="false"/>
                <w:sz w:val="20"/>
                <w:szCs w:val="20"/>
              </w:rPr>
              <w:t xml:space="preserve">mean peer NDVI in the cluster for the same DAP</w:t>
            </w:r>
          </w:p>
        </w:tc>
      </w:tr>
      <w:tr>
        <w:tc>
          <w:tcPr>
            <w:tcW w:type="dxa" w:w="3200"/>
          </w:tcPr>
          <w:p>
            <w:pPr>
              <w:spacing w:after="60"/>
            </w:pPr>
            <w:r>
              <w:rPr>
                <w:b w:val="false"/>
                <w:bCs w:val="false"/>
                <w:sz w:val="20"/>
                <w:szCs w:val="20"/>
              </w:rPr>
              <w:t xml:space="preserve">plot_ndvi_baseline_self</w:t>
            </w:r>
          </w:p>
        </w:tc>
        <w:tc>
          <w:tcPr>
            <w:tcW w:type="dxa" w:w="1200"/>
          </w:tcPr>
          <w:p>
            <w:pPr>
              <w:spacing w:after="60"/>
            </w:pPr>
            <w:r>
              <w:rPr>
                <w:b w:val="false"/>
                <w:bCs w:val="false"/>
                <w:sz w:val="20"/>
                <w:szCs w:val="20"/>
              </w:rPr>
              <w:t xml:space="preserve">number</w:t>
            </w:r>
          </w:p>
        </w:tc>
        <w:tc>
          <w:tcPr>
            <w:tcW w:type="dxa" w:w="4960"/>
          </w:tcPr>
          <w:p>
            <w:pPr>
              <w:spacing w:after="60"/>
            </w:pPr>
            <w:r>
              <w:rPr>
                <w:b w:val="false"/>
                <w:bCs w:val="false"/>
                <w:sz w:val="20"/>
                <w:szCs w:val="20"/>
              </w:rPr>
              <w:t xml:space="preserve">this plot's NDVI at the same DAP in the previous season</w:t>
            </w:r>
          </w:p>
        </w:tc>
      </w:tr>
    </w:tbl>
    <w:p>
      <w:pPr>
        <w:spacing w:after="120"/>
      </w:pPr>
      <w:r>
        <w:t xml:space="preserve">Every field above must survive the Domain 12 data-provenance rules (source recorded, timestamp recorded, pipeline version recorded, confidence attached).</w:t>
      </w:r>
    </w:p>
    <w:p>
      <w:pPr>
        <w:pStyle w:val="Heading2"/>
        <w:spacing w:after="150" w:before="300"/>
      </w:pPr>
      <w:r>
        <w:rPr>
          <w:b/>
          <w:bCs/>
          <w:sz w:val="26"/>
          <w:szCs w:val="26"/>
        </w:rPr>
        <w:t xml:space="preserve">12.4 Failure and fallback — अपयश व पर्याय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20"/>
        <w:gridCol w:w="3240"/>
      </w:tblGrid>
      <w:tr>
        <w:trPr>
          <w:tblHeader/>
        </w:trPr>
        <w:tc>
          <w:tcPr>
            <w:tcW w:type="dxa" w:w="3000"/>
            <w:shd w:fill="DCE6F1" w:color="auto" w:val="clear"/>
          </w:tcPr>
          <w:p>
            <w:pPr>
              <w:spacing w:after="60"/>
            </w:pPr>
            <w:r>
              <w:rPr>
                <w:b/>
                <w:bCs/>
                <w:sz w:val="20"/>
                <w:szCs w:val="20"/>
              </w:rPr>
              <w:t xml:space="preserve">Failure</w:t>
            </w:r>
          </w:p>
        </w:tc>
        <w:tc>
          <w:tcPr>
            <w:tcW w:type="dxa" w:w="3120"/>
            <w:shd w:fill="DCE6F1" w:color="auto" w:val="clear"/>
          </w:tcPr>
          <w:p>
            <w:pPr>
              <w:spacing w:after="60"/>
            </w:pPr>
            <w:r>
              <w:rPr>
                <w:b/>
                <w:bCs/>
                <w:sz w:val="20"/>
                <w:szCs w:val="20"/>
              </w:rPr>
              <w:t xml:space="preserve">Symptom</w:t>
            </w:r>
          </w:p>
        </w:tc>
        <w:tc>
          <w:tcPr>
            <w:tcW w:type="dxa" w:w="3240"/>
            <w:shd w:fill="DCE6F1" w:color="auto" w:val="clear"/>
          </w:tcPr>
          <w:p>
            <w:pPr>
              <w:spacing w:after="60"/>
            </w:pPr>
            <w:r>
              <w:rPr>
                <w:b/>
                <w:bCs/>
                <w:sz w:val="20"/>
                <w:szCs w:val="20"/>
              </w:rPr>
              <w:t xml:space="preserve">Fallback</w:t>
            </w:r>
          </w:p>
        </w:tc>
      </w:tr>
      <w:tr>
        <w:tc>
          <w:tcPr>
            <w:tcW w:type="dxa" w:w="3000"/>
          </w:tcPr>
          <w:p>
            <w:pPr>
              <w:spacing w:after="60"/>
            </w:pPr>
            <w:r>
              <w:rPr>
                <w:b w:val="false"/>
                <w:bCs w:val="false"/>
                <w:sz w:val="20"/>
                <w:szCs w:val="20"/>
              </w:rPr>
              <w:t xml:space="preserve">Copernicus outage</w:t>
            </w:r>
          </w:p>
        </w:tc>
        <w:tc>
          <w:tcPr>
            <w:tcW w:type="dxa" w:w="3120"/>
          </w:tcPr>
          <w:p>
            <w:pPr>
              <w:spacing w:after="60"/>
            </w:pPr>
            <w:r>
              <w:rPr>
                <w:b w:val="false"/>
                <w:bCs w:val="false"/>
                <w:sz w:val="20"/>
                <w:szCs w:val="20"/>
              </w:rPr>
              <w:t xml:space="preserve">STAC returns empty or errors</w:t>
            </w:r>
          </w:p>
        </w:tc>
        <w:tc>
          <w:tcPr>
            <w:tcW w:type="dxa" w:w="3240"/>
          </w:tcPr>
          <w:p>
            <w:pPr>
              <w:spacing w:after="60"/>
            </w:pPr>
            <w:r>
              <w:rPr>
                <w:b w:val="false"/>
                <w:bCs w:val="false"/>
                <w:sz w:val="20"/>
                <w:szCs w:val="20"/>
              </w:rPr>
              <w:t xml:space="preserve">Sentinel Hub or GEE for the same period; log source</w:t>
            </w:r>
          </w:p>
        </w:tc>
      </w:tr>
      <w:tr>
        <w:tc>
          <w:tcPr>
            <w:tcW w:type="dxa" w:w="3000"/>
          </w:tcPr>
          <w:p>
            <w:pPr>
              <w:spacing w:after="60"/>
            </w:pPr>
            <w:r>
              <w:rPr>
                <w:b w:val="false"/>
                <w:bCs w:val="false"/>
                <w:sz w:val="20"/>
                <w:szCs w:val="20"/>
              </w:rPr>
              <w:t xml:space="preserve">Cloud blocks Sentinel-2 for &gt; 14 days</w:t>
            </w:r>
          </w:p>
        </w:tc>
        <w:tc>
          <w:tcPr>
            <w:tcW w:type="dxa" w:w="3120"/>
          </w:tcPr>
          <w:p>
            <w:pPr>
              <w:spacing w:after="60"/>
            </w:pPr>
            <w:r>
              <w:rPr>
                <w:b w:val="false"/>
                <w:bCs w:val="false"/>
                <w:sz w:val="20"/>
                <w:szCs w:val="20"/>
              </w:rPr>
              <w:t xml:space="preserve">optical_gap_days &gt; 14</w:t>
            </w:r>
          </w:p>
        </w:tc>
        <w:tc>
          <w:tcPr>
            <w:tcW w:type="dxa" w:w="3240"/>
          </w:tcPr>
          <w:p>
            <w:pPr>
              <w:spacing w:after="60"/>
            </w:pPr>
            <w:r>
              <w:rPr>
                <w:b w:val="false"/>
                <w:bCs w:val="false"/>
                <w:sz w:val="20"/>
                <w:szCs w:val="20"/>
              </w:rPr>
              <w:t xml:space="preserve">SAR-only rules for the plot; downgrade optical-dependent advisory confidence</w:t>
            </w:r>
          </w:p>
        </w:tc>
      </w:tr>
      <w:tr>
        <w:tc>
          <w:tcPr>
            <w:tcW w:type="dxa" w:w="3000"/>
          </w:tcPr>
          <w:p>
            <w:pPr>
              <w:spacing w:after="60"/>
            </w:pPr>
            <w:r>
              <w:rPr>
                <w:b w:val="false"/>
                <w:bCs w:val="false"/>
                <w:sz w:val="20"/>
                <w:szCs w:val="20"/>
              </w:rPr>
              <w:t xml:space="preserve">Landsat thermal absent</w:t>
            </w:r>
          </w:p>
        </w:tc>
        <w:tc>
          <w:tcPr>
            <w:tcW w:type="dxa" w:w="3120"/>
          </w:tcPr>
          <w:p>
            <w:pPr>
              <w:spacing w:after="60"/>
            </w:pPr>
            <w:r>
              <w:rPr>
                <w:b w:val="false"/>
                <w:bCs w:val="false"/>
                <w:sz w:val="20"/>
                <w:szCs w:val="20"/>
              </w:rPr>
              <w:t xml:space="preserve">lst_c stale &gt; 12 days</w:t>
            </w:r>
          </w:p>
        </w:tc>
        <w:tc>
          <w:tcPr>
            <w:tcW w:type="dxa" w:w="3240"/>
          </w:tcPr>
          <w:p>
            <w:pPr>
              <w:spacing w:after="60"/>
            </w:pPr>
            <w:r>
              <w:rPr>
                <w:b w:val="false"/>
                <w:bCs w:val="false"/>
                <w:sz w:val="20"/>
                <w:szCs w:val="20"/>
              </w:rPr>
              <w:t xml:space="preserve">NDMI substitutes for CWSI; note reduced confidence</w:t>
            </w:r>
          </w:p>
        </w:tc>
      </w:tr>
      <w:tr>
        <w:tc>
          <w:tcPr>
            <w:tcW w:type="dxa" w:w="3000"/>
          </w:tcPr>
          <w:p>
            <w:pPr>
              <w:spacing w:after="60"/>
            </w:pPr>
            <w:r>
              <w:rPr>
                <w:b w:val="false"/>
                <w:bCs w:val="false"/>
                <w:sz w:val="20"/>
                <w:szCs w:val="20"/>
              </w:rPr>
              <w:t xml:space="preserve">Pipeline version mismatch</w:t>
            </w:r>
          </w:p>
        </w:tc>
        <w:tc>
          <w:tcPr>
            <w:tcW w:type="dxa" w:w="3120"/>
          </w:tcPr>
          <w:p>
            <w:pPr>
              <w:spacing w:after="60"/>
            </w:pPr>
            <w:r>
              <w:rPr>
                <w:b w:val="false"/>
                <w:bCs w:val="false"/>
                <w:sz w:val="20"/>
                <w:szCs w:val="20"/>
              </w:rPr>
              <w:t xml:space="preserve">sat_pipeline_version differs from last run</w:t>
            </w:r>
          </w:p>
        </w:tc>
        <w:tc>
          <w:tcPr>
            <w:tcW w:type="dxa" w:w="3240"/>
          </w:tcPr>
          <w:p>
            <w:pPr>
              <w:spacing w:after="60"/>
            </w:pPr>
            <w:r>
              <w:rPr>
                <w:b w:val="false"/>
                <w:bCs w:val="false"/>
                <w:sz w:val="20"/>
                <w:szCs w:val="20"/>
              </w:rPr>
              <w:t xml:space="preserve">flag entire day's indices as needing revalidation before use in trend-detection</w:t>
            </w:r>
          </w:p>
        </w:tc>
      </w:tr>
      <w:tr>
        <w:tc>
          <w:tcPr>
            <w:tcW w:type="dxa" w:w="3000"/>
          </w:tcPr>
          <w:p>
            <w:pPr>
              <w:spacing w:after="60"/>
            </w:pPr>
            <w:r>
              <w:rPr>
                <w:b w:val="false"/>
                <w:bCs w:val="false"/>
                <w:sz w:val="20"/>
                <w:szCs w:val="20"/>
              </w:rPr>
              <w:t xml:space="preserve">Plot polygon invalid</w:t>
            </w:r>
          </w:p>
        </w:tc>
        <w:tc>
          <w:tcPr>
            <w:tcW w:type="dxa" w:w="3120"/>
          </w:tcPr>
          <w:p>
            <w:pPr>
              <w:spacing w:after="60"/>
            </w:pPr>
            <w:r>
              <w:rPr>
                <w:b w:val="false"/>
                <w:bCs w:val="false"/>
                <w:sz w:val="20"/>
                <w:szCs w:val="20"/>
              </w:rPr>
              <w:t xml:space="preserve">geometry check fails</w:t>
            </w:r>
          </w:p>
        </w:tc>
        <w:tc>
          <w:tcPr>
            <w:tcW w:type="dxa" w:w="3240"/>
          </w:tcPr>
          <w:p>
            <w:pPr>
              <w:spacing w:after="60"/>
            </w:pPr>
            <w:r>
              <w:rPr>
                <w:b w:val="false"/>
                <w:bCs w:val="false"/>
                <w:sz w:val="20"/>
                <w:szCs w:val="20"/>
              </w:rPr>
              <w:t xml:space="preserve">no satellite advisory for that plot until fixed; farmer app prompts re-draw</w:t>
            </w:r>
          </w:p>
        </w:tc>
      </w:tr>
    </w:tbl>
    <w:p>
      <w:pPr>
        <w:spacing w:after="300" w:before="200"/>
      </w:pPr>
      <w:r>
        <w:rPr>
          <w:i/>
          <w:iCs/>
          <w:sz w:val="20"/>
          <w:szCs w:val="20"/>
        </w:rPr>
        <w:t xml:space="preserve">Sources: Copernicus Data Space Ecosystem STAC API reference; Google Earth Engine developer guide; ESA SNAP documentation; Whittaker 1923 (smoothing spline); Savitzky and Golay 1964; PostGIS documentation; Domain 12 data provenance rules.</w:t>
      </w:r>
    </w:p>
    <w:p>
      <w:r>
        <w:br w:type="page"/>
      </w:r>
    </w:p>
    <w:p>
      <w:pPr>
        <w:pStyle w:val="Heading1"/>
        <w:spacing w:after="200" w:before="400"/>
      </w:pPr>
      <w:r>
        <w:rPr>
          <w:b/>
          <w:bCs/>
          <w:sz w:val="32"/>
          <w:szCs w:val="32"/>
        </w:rPr>
        <w:t xml:space="preserve">SECTION 13. Legal, licensing, and DPDP compliance — कायदेशीर व लायसेन्स</w:t>
      </w:r>
    </w:p>
    <w:p>
      <w:pPr>
        <w:pStyle w:val="Heading2"/>
        <w:spacing w:after="150" w:before="300"/>
      </w:pPr>
      <w:r>
        <w:rPr>
          <w:b/>
          <w:bCs/>
          <w:sz w:val="26"/>
          <w:szCs w:val="26"/>
        </w:rPr>
        <w:t xml:space="preserve">13.1 Copernicus Sentinel data — Sentinel डेटा</w:t>
      </w:r>
    </w:p>
    <w:p>
      <w:pPr>
        <w:spacing w:after="120"/>
      </w:pPr>
      <w:r>
        <w:t xml:space="preserve">Copernicus Sentinel data are available under a free, full and open licence, including for commercial redistribution. Attribution to Copernicus is required. No re-licensing barrier prevents Agro-Guardian from using Sentinel-1 and Sentinel-2 in a commercial product.</w:t>
      </w:r>
    </w:p>
    <w:p>
      <w:pPr>
        <w:pStyle w:val="Heading2"/>
        <w:spacing w:after="150" w:before="300"/>
      </w:pPr>
      <w:r>
        <w:rPr>
          <w:b/>
          <w:bCs/>
          <w:sz w:val="26"/>
          <w:szCs w:val="26"/>
        </w:rPr>
        <w:t xml:space="preserve">13.2 Landsat data — Landsat डेटा</w:t>
      </w:r>
    </w:p>
    <w:p>
      <w:pPr>
        <w:spacing w:after="120"/>
      </w:pPr>
      <w:r>
        <w:t xml:space="preserve">Landsat data are in the public domain under US federal policy. Free for any use including commercial. Attribution to USGS/NASA is customary but not mandatory.</w:t>
      </w:r>
    </w:p>
    <w:p>
      <w:pPr>
        <w:pStyle w:val="Heading2"/>
        <w:spacing w:after="150" w:before="300"/>
      </w:pPr>
      <w:r>
        <w:rPr>
          <w:b/>
          <w:bCs/>
          <w:sz w:val="26"/>
          <w:szCs w:val="26"/>
        </w:rPr>
        <w:t xml:space="preserve">13.3 ISRO Bhuvan data — Bhuvan डेटा</w:t>
      </w:r>
    </w:p>
    <w:p>
      <w:pPr>
        <w:spacing w:after="120"/>
      </w:pPr>
      <w:r>
        <w:t xml:space="preserve">Bhuvan services are provided under an Indian government open licence. Some higher-resolution products are login-only and carry per-user download limits. The FASAL crop products from MNCFC are treated as government agri-advisory outputs and can be redisplayed with attribution. For any doubt, the specific product page must be checked because ISRO revises the terms periodically.</w:t>
      </w:r>
    </w:p>
    <w:p>
      <w:pPr>
        <w:pStyle w:val="Heading2"/>
        <w:spacing w:after="150" w:before="300"/>
      </w:pPr>
      <w:r>
        <w:rPr>
          <w:b/>
          <w:bCs/>
          <w:sz w:val="26"/>
          <w:szCs w:val="26"/>
        </w:rPr>
        <w:t xml:space="preserve">13.4 Commercial imagery — व्यावसायिक डेटा</w:t>
      </w:r>
    </w:p>
    <w:p>
      <w:pPr>
        <w:spacing w:after="120"/>
      </w:pPr>
      <w:r>
        <w:t xml:space="preserve">PlanetScope, SkySat, SPOT, Pleiades and similar commercial products carry per-scene or per-area licences. Redistribution to farmers is generally allowed under educational/agri programmes but requires the licence to be verified before any farmer app displays a commercial scene. Never assume commercial imagery can be freely redistributed.</w:t>
      </w:r>
    </w:p>
    <w:p>
      <w:pPr>
        <w:pStyle w:val="Heading2"/>
        <w:spacing w:after="150" w:before="300"/>
      </w:pPr>
      <w:r>
        <w:rPr>
          <w:b/>
          <w:bCs/>
          <w:sz w:val="26"/>
          <w:szCs w:val="26"/>
        </w:rPr>
        <w:t xml:space="preserve">13.5 Indian geospatial policy 2022 — भारतीय भू-स्थानिक धोरण २०२२</w:t>
      </w:r>
    </w:p>
    <w:p>
      <w:pPr>
        <w:spacing w:after="120"/>
      </w:pPr>
      <w:r>
        <w:t xml:space="preserve">The Guidelines for acquiring and producing Geospatial Data and Geospatial Data Services (2022) liberalised access for Indian entities. High-accuracy positional data of sensitive sites remain restricted; ordinary farm-plot data are not sensitive. Storing plot coordinates on a server outside India requires either the data be non-restricted or the specific storage arrangement be compliant. For a farmer plot in Kannad the ordinary case is unrestricted; verify per-deployment.</w:t>
      </w:r>
    </w:p>
    <w:p>
      <w:pPr>
        <w:pStyle w:val="Heading2"/>
        <w:spacing w:after="150" w:before="300"/>
      </w:pPr>
      <w:r>
        <w:rPr>
          <w:b/>
          <w:bCs/>
          <w:sz w:val="26"/>
          <w:szCs w:val="26"/>
        </w:rPr>
        <w:t xml:space="preserve">13.6 DPDP Act 2023 — डेटा संरक्षण कायदा</w:t>
      </w:r>
    </w:p>
    <w:p>
      <w:pPr>
        <w:spacing w:after="120"/>
      </w:pPr>
      <w:r>
        <w:t xml:space="preserve">The Digital Personal Data Protection Act 2023 treats plot boundary + owner name + phone as personal data of the farmer. Existing Domain 12 rules D12-DPDP-001 to D12-DPDP-003 (immutable) already govern consent and coordinate handling. Satellite imagery specifically:</w:t>
      </w:r>
    </w:p>
    <w:p>
      <w:pPr>
        <w:pStyle w:val="ListParagraph"/>
        <w:numPr>
          <w:ilvl w:val="0"/>
          <w:numId w:val="1"/>
        </w:numPr>
        <w:spacing w:after="80"/>
      </w:pPr>
      <w:r>
        <w:t xml:space="preserve">A Sentinel-2 tile is public. It shows the plot regardless of consent — that is the nature of public earth observation.</w:t>
      </w:r>
    </w:p>
    <w:p>
      <w:pPr>
        <w:pStyle w:val="ListParagraph"/>
        <w:numPr>
          <w:ilvl w:val="0"/>
          <w:numId w:val="1"/>
        </w:numPr>
        <w:spacing w:after="80"/>
      </w:pPr>
      <w:r>
        <w:t xml:space="preserve">The DERIVED information — plot NDVI value, plot stress alert, plot-level advisory — becomes personal data because it is linked to the farmer's identity and plot.</w:t>
      </w:r>
    </w:p>
    <w:p>
      <w:pPr>
        <w:pStyle w:val="ListParagraph"/>
        <w:numPr>
          <w:ilvl w:val="0"/>
          <w:numId w:val="1"/>
        </w:numPr>
        <w:spacing w:after="80"/>
      </w:pPr>
      <w:r>
        <w:t xml:space="preserve">Displaying a satellite chip of a neighbour's plot to a different farmer is a DPDP problem. Cluster views must aggregate.</w:t>
      </w:r>
    </w:p>
    <w:p>
      <w:pPr>
        <w:pStyle w:val="ListParagraph"/>
        <w:numPr>
          <w:ilvl w:val="0"/>
          <w:numId w:val="1"/>
        </w:numPr>
        <w:spacing w:after="80"/>
      </w:pPr>
      <w:r>
        <w:t xml:space="preserve">Sharing plot-level indices with an insurer, buyer, or government scheme needs explicit purpose-limited consent as per D12-DPDP-002.</w:t>
      </w:r>
    </w:p>
    <w:p>
      <w:pPr>
        <w:pStyle w:val="Heading2"/>
        <w:spacing w:after="150" w:before="300"/>
      </w:pPr>
      <w:r>
        <w:rPr>
          <w:b/>
          <w:bCs/>
          <w:sz w:val="26"/>
          <w:szCs w:val="26"/>
        </w:rPr>
        <w:t xml:space="preserve">13.7 Attribution requirements — श्रेय अटी</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shd w:fill="DCE6F1" w:color="auto" w:val="clear"/>
          </w:tcPr>
          <w:p>
            <w:pPr>
              <w:spacing w:after="60"/>
            </w:pPr>
            <w:r>
              <w:rPr>
                <w:b/>
                <w:bCs/>
                <w:sz w:val="20"/>
                <w:szCs w:val="20"/>
              </w:rPr>
              <w:t xml:space="preserve">Source</w:t>
            </w:r>
          </w:p>
        </w:tc>
        <w:tc>
          <w:tcPr>
            <w:tcW w:type="dxa" w:w="6240"/>
            <w:shd w:fill="DCE6F1" w:color="auto" w:val="clear"/>
          </w:tcPr>
          <w:p>
            <w:pPr>
              <w:spacing w:after="60"/>
            </w:pPr>
            <w:r>
              <w:rPr>
                <w:b/>
                <w:bCs/>
                <w:sz w:val="20"/>
                <w:szCs w:val="20"/>
              </w:rPr>
              <w:t xml:space="preserve">Required attribution</w:t>
            </w:r>
          </w:p>
        </w:tc>
      </w:tr>
      <w:tr>
        <w:tc>
          <w:tcPr>
            <w:tcW w:type="dxa" w:w="3120"/>
          </w:tcPr>
          <w:p>
            <w:pPr>
              <w:spacing w:after="60"/>
            </w:pPr>
            <w:r>
              <w:rPr>
                <w:b w:val="false"/>
                <w:bCs w:val="false"/>
                <w:sz w:val="20"/>
                <w:szCs w:val="20"/>
              </w:rPr>
              <w:t xml:space="preserve">Sentinel-1/2</w:t>
            </w:r>
          </w:p>
        </w:tc>
        <w:tc>
          <w:tcPr>
            <w:tcW w:type="dxa" w:w="6240"/>
          </w:tcPr>
          <w:p>
            <w:pPr>
              <w:spacing w:after="60"/>
            </w:pPr>
            <w:r>
              <w:rPr>
                <w:b w:val="false"/>
                <w:bCs w:val="false"/>
                <w:sz w:val="20"/>
                <w:szCs w:val="20"/>
              </w:rPr>
              <w:t xml:space="preserve">Contains modified Copernicus Sentinel data [YYYY]</w:t>
            </w:r>
          </w:p>
        </w:tc>
      </w:tr>
      <w:tr>
        <w:tc>
          <w:tcPr>
            <w:tcW w:type="dxa" w:w="3120"/>
          </w:tcPr>
          <w:p>
            <w:pPr>
              <w:spacing w:after="60"/>
            </w:pPr>
            <w:r>
              <w:rPr>
                <w:b w:val="false"/>
                <w:bCs w:val="false"/>
                <w:sz w:val="20"/>
                <w:szCs w:val="20"/>
              </w:rPr>
              <w:t xml:space="preserve">Landsat</w:t>
            </w:r>
          </w:p>
        </w:tc>
        <w:tc>
          <w:tcPr>
            <w:tcW w:type="dxa" w:w="6240"/>
          </w:tcPr>
          <w:p>
            <w:pPr>
              <w:spacing w:after="60"/>
            </w:pPr>
            <w:r>
              <w:rPr>
                <w:b w:val="false"/>
                <w:bCs w:val="false"/>
                <w:sz w:val="20"/>
                <w:szCs w:val="20"/>
              </w:rPr>
              <w:t xml:space="preserve">Data available from the U.S. Geological Survey</w:t>
            </w:r>
          </w:p>
        </w:tc>
      </w:tr>
      <w:tr>
        <w:tc>
          <w:tcPr>
            <w:tcW w:type="dxa" w:w="3120"/>
          </w:tcPr>
          <w:p>
            <w:pPr>
              <w:spacing w:after="60"/>
            </w:pPr>
            <w:r>
              <w:rPr>
                <w:b w:val="false"/>
                <w:bCs w:val="false"/>
                <w:sz w:val="20"/>
                <w:szCs w:val="20"/>
              </w:rPr>
              <w:t xml:space="preserve">Bhuvan</w:t>
            </w:r>
          </w:p>
        </w:tc>
        <w:tc>
          <w:tcPr>
            <w:tcW w:type="dxa" w:w="6240"/>
          </w:tcPr>
          <w:p>
            <w:pPr>
              <w:spacing w:after="60"/>
            </w:pPr>
            <w:r>
              <w:rPr>
                <w:b w:val="false"/>
                <w:bCs w:val="false"/>
                <w:sz w:val="20"/>
                <w:szCs w:val="20"/>
              </w:rPr>
              <w:t xml:space="preserve">Source: Bhuvan / NRSC / ISRO</w:t>
            </w:r>
          </w:p>
        </w:tc>
      </w:tr>
      <w:tr>
        <w:tc>
          <w:tcPr>
            <w:tcW w:type="dxa" w:w="3120"/>
          </w:tcPr>
          <w:p>
            <w:pPr>
              <w:spacing w:after="60"/>
            </w:pPr>
            <w:r>
              <w:rPr>
                <w:b w:val="false"/>
                <w:bCs w:val="false"/>
                <w:sz w:val="20"/>
                <w:szCs w:val="20"/>
              </w:rPr>
              <w:t xml:space="preserve">MOSDAC</w:t>
            </w:r>
          </w:p>
        </w:tc>
        <w:tc>
          <w:tcPr>
            <w:tcW w:type="dxa" w:w="6240"/>
          </w:tcPr>
          <w:p>
            <w:pPr>
              <w:spacing w:after="60"/>
            </w:pPr>
            <w:r>
              <w:rPr>
                <w:b w:val="false"/>
                <w:bCs w:val="false"/>
                <w:sz w:val="20"/>
                <w:szCs w:val="20"/>
              </w:rPr>
              <w:t xml:space="preserve">Source: MOSDAC / Space Applications Centre / ISRO</w:t>
            </w:r>
          </w:p>
        </w:tc>
      </w:tr>
      <w:tr>
        <w:tc>
          <w:tcPr>
            <w:tcW w:type="dxa" w:w="3120"/>
          </w:tcPr>
          <w:p>
            <w:pPr>
              <w:spacing w:after="60"/>
            </w:pPr>
            <w:r>
              <w:rPr>
                <w:b w:val="false"/>
                <w:bCs w:val="false"/>
                <w:sz w:val="20"/>
                <w:szCs w:val="20"/>
              </w:rPr>
              <w:t xml:space="preserve">MODIS</w:t>
            </w:r>
          </w:p>
        </w:tc>
        <w:tc>
          <w:tcPr>
            <w:tcW w:type="dxa" w:w="6240"/>
          </w:tcPr>
          <w:p>
            <w:pPr>
              <w:spacing w:after="60"/>
            </w:pPr>
            <w:r>
              <w:rPr>
                <w:b w:val="false"/>
                <w:bCs w:val="false"/>
                <w:sz w:val="20"/>
                <w:szCs w:val="20"/>
              </w:rPr>
              <w:t xml:space="preserve">Source: NASA MODIS Land Products</w:t>
            </w:r>
          </w:p>
        </w:tc>
      </w:tr>
      <w:tr>
        <w:tc>
          <w:tcPr>
            <w:tcW w:type="dxa" w:w="3120"/>
          </w:tcPr>
          <w:p>
            <w:pPr>
              <w:spacing w:after="60"/>
            </w:pPr>
            <w:r>
              <w:rPr>
                <w:b w:val="false"/>
                <w:bCs w:val="false"/>
                <w:sz w:val="20"/>
                <w:szCs w:val="20"/>
              </w:rPr>
              <w:t xml:space="preserve">Planet</w:t>
            </w:r>
          </w:p>
        </w:tc>
        <w:tc>
          <w:tcPr>
            <w:tcW w:type="dxa" w:w="6240"/>
          </w:tcPr>
          <w:p>
            <w:pPr>
              <w:spacing w:after="60"/>
            </w:pPr>
            <w:r>
              <w:rPr>
                <w:b w:val="false"/>
                <w:bCs w:val="false"/>
                <w:sz w:val="20"/>
                <w:szCs w:val="20"/>
              </w:rPr>
              <w:t xml:space="preserve">Imagery © Planet Labs PBC, used under licence</w:t>
            </w:r>
          </w:p>
        </w:tc>
      </w:tr>
    </w:tbl>
    <w:p>
      <w:pPr>
        <w:spacing w:after="300" w:before="200"/>
      </w:pPr>
      <w:r>
        <w:rPr>
          <w:i/>
          <w:iCs/>
          <w:sz w:val="20"/>
          <w:szCs w:val="20"/>
        </w:rPr>
        <w:t xml:space="preserve">Sources: Copernicus Free and Open Data policy; USGS Landsat data policy; ISRO Bhuvan terms of use; Ministry of Science and Technology (India) Guidelines for Geospatial Data 2022; DPDP Act 2023; Domain 12 DPDP rules (immutable).</w:t>
      </w:r>
    </w:p>
    <w:p>
      <w:r>
        <w:br w:type="page"/>
      </w:r>
    </w:p>
    <w:p>
      <w:pPr>
        <w:pStyle w:val="Heading1"/>
        <w:spacing w:after="200" w:before="400"/>
      </w:pPr>
      <w:r>
        <w:rPr>
          <w:b/>
          <w:bCs/>
          <w:sz w:val="32"/>
          <w:szCs w:val="32"/>
        </w:rPr>
        <w:t xml:space="preserve">SECTION 14. Cost and operational economics — खर्च व अर्थशास्त्र</w:t>
      </w:r>
    </w:p>
    <w:p>
      <w:pPr>
        <w:pStyle w:val="Heading2"/>
        <w:spacing w:after="150" w:before="300"/>
      </w:pPr>
      <w:r>
        <w:rPr>
          <w:b/>
          <w:bCs/>
          <w:sz w:val="26"/>
          <w:szCs w:val="26"/>
        </w:rPr>
        <w:t xml:space="preserve">14.1 Cost lines — खर्चाच्या रेषा</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00"/>
        <w:gridCol w:w="2500"/>
        <w:gridCol w:w="1760"/>
      </w:tblGrid>
      <w:tr>
        <w:trPr>
          <w:tblHeader/>
        </w:trPr>
        <w:tc>
          <w:tcPr>
            <w:tcW w:type="dxa" w:w="3000"/>
            <w:shd w:fill="DCE6F1" w:color="auto" w:val="clear"/>
          </w:tcPr>
          <w:p>
            <w:pPr>
              <w:spacing w:after="60"/>
            </w:pPr>
            <w:r>
              <w:rPr>
                <w:b/>
                <w:bCs/>
                <w:sz w:val="20"/>
                <w:szCs w:val="20"/>
              </w:rPr>
              <w:t xml:space="preserve">Line</w:t>
            </w:r>
          </w:p>
        </w:tc>
        <w:tc>
          <w:tcPr>
            <w:tcW w:type="dxa" w:w="2100"/>
            <w:shd w:fill="DCE6F1" w:color="auto" w:val="clear"/>
          </w:tcPr>
          <w:p>
            <w:pPr>
              <w:spacing w:after="60"/>
            </w:pPr>
            <w:r>
              <w:rPr>
                <w:b/>
                <w:bCs/>
                <w:sz w:val="20"/>
                <w:szCs w:val="20"/>
              </w:rPr>
              <w:t xml:space="preserve">Free-tier feasible?</w:t>
            </w:r>
          </w:p>
        </w:tc>
        <w:tc>
          <w:tcPr>
            <w:tcW w:type="dxa" w:w="2500"/>
            <w:shd w:fill="DCE6F1" w:color="auto" w:val="clear"/>
          </w:tcPr>
          <w:p>
            <w:pPr>
              <w:spacing w:after="60"/>
            </w:pPr>
            <w:r>
              <w:rPr>
                <w:b/>
                <w:bCs/>
                <w:sz w:val="20"/>
                <w:szCs w:val="20"/>
              </w:rPr>
              <w:t xml:space="preserve">Paid-tier price band</w:t>
            </w:r>
          </w:p>
        </w:tc>
        <w:tc>
          <w:tcPr>
            <w:tcW w:type="dxa" w:w="1760"/>
            <w:shd w:fill="DCE6F1" w:color="auto" w:val="clear"/>
          </w:tcPr>
          <w:p>
            <w:pPr>
              <w:spacing w:after="60"/>
            </w:pPr>
            <w:r>
              <w:rPr>
                <w:b/>
                <w:bCs/>
                <w:sz w:val="20"/>
                <w:szCs w:val="20"/>
              </w:rPr>
              <w:t xml:space="preserve">Break condition</w:t>
            </w:r>
          </w:p>
        </w:tc>
      </w:tr>
      <w:tr>
        <w:tc>
          <w:tcPr>
            <w:tcW w:type="dxa" w:w="3000"/>
          </w:tcPr>
          <w:p>
            <w:pPr>
              <w:spacing w:after="60"/>
            </w:pPr>
            <w:r>
              <w:rPr>
                <w:b w:val="false"/>
                <w:bCs w:val="false"/>
                <w:sz w:val="20"/>
                <w:szCs w:val="20"/>
              </w:rPr>
              <w:t xml:space="preserve">Sentinel-1/2 data</w:t>
            </w:r>
          </w:p>
        </w:tc>
        <w:tc>
          <w:tcPr>
            <w:tcW w:type="dxa" w:w="2100"/>
          </w:tcPr>
          <w:p>
            <w:pPr>
              <w:spacing w:after="60"/>
            </w:pPr>
            <w:r>
              <w:rPr>
                <w:b w:val="false"/>
                <w:bCs w:val="false"/>
                <w:sz w:val="20"/>
                <w:szCs w:val="20"/>
              </w:rPr>
              <w:t xml:space="preserve">yes</w:t>
            </w:r>
          </w:p>
        </w:tc>
        <w:tc>
          <w:tcPr>
            <w:tcW w:type="dxa" w:w="2500"/>
          </w:tcPr>
          <w:p>
            <w:pPr>
              <w:spacing w:after="60"/>
            </w:pPr>
            <w:r>
              <w:rPr>
                <w:b w:val="false"/>
                <w:bCs w:val="false"/>
                <w:sz w:val="20"/>
                <w:szCs w:val="20"/>
              </w:rPr>
              <w:t xml:space="preserve">−</w:t>
            </w:r>
          </w:p>
        </w:tc>
        <w:tc>
          <w:tcPr>
            <w:tcW w:type="dxa" w:w="1760"/>
          </w:tcPr>
          <w:p>
            <w:pPr>
              <w:spacing w:after="60"/>
            </w:pPr>
            <w:r>
              <w:rPr>
                <w:b w:val="false"/>
                <w:bCs w:val="false"/>
                <w:sz w:val="20"/>
                <w:szCs w:val="20"/>
              </w:rPr>
              <w:t xml:space="preserve">never</w:t>
            </w:r>
          </w:p>
        </w:tc>
      </w:tr>
      <w:tr>
        <w:tc>
          <w:tcPr>
            <w:tcW w:type="dxa" w:w="3000"/>
          </w:tcPr>
          <w:p>
            <w:pPr>
              <w:spacing w:after="60"/>
            </w:pPr>
            <w:r>
              <w:rPr>
                <w:b w:val="false"/>
                <w:bCs w:val="false"/>
                <w:sz w:val="20"/>
                <w:szCs w:val="20"/>
              </w:rPr>
              <w:t xml:space="preserve">Landsat data</w:t>
            </w:r>
          </w:p>
        </w:tc>
        <w:tc>
          <w:tcPr>
            <w:tcW w:type="dxa" w:w="2100"/>
          </w:tcPr>
          <w:p>
            <w:pPr>
              <w:spacing w:after="60"/>
            </w:pPr>
            <w:r>
              <w:rPr>
                <w:b w:val="false"/>
                <w:bCs w:val="false"/>
                <w:sz w:val="20"/>
                <w:szCs w:val="20"/>
              </w:rPr>
              <w:t xml:space="preserve">yes</w:t>
            </w:r>
          </w:p>
        </w:tc>
        <w:tc>
          <w:tcPr>
            <w:tcW w:type="dxa" w:w="2500"/>
          </w:tcPr>
          <w:p>
            <w:pPr>
              <w:spacing w:after="60"/>
            </w:pPr>
            <w:r>
              <w:rPr>
                <w:b w:val="false"/>
                <w:bCs w:val="false"/>
                <w:sz w:val="20"/>
                <w:szCs w:val="20"/>
              </w:rPr>
              <w:t xml:space="preserve">−</w:t>
            </w:r>
          </w:p>
        </w:tc>
        <w:tc>
          <w:tcPr>
            <w:tcW w:type="dxa" w:w="1760"/>
          </w:tcPr>
          <w:p>
            <w:pPr>
              <w:spacing w:after="60"/>
            </w:pPr>
            <w:r>
              <w:rPr>
                <w:b w:val="false"/>
                <w:bCs w:val="false"/>
                <w:sz w:val="20"/>
                <w:szCs w:val="20"/>
              </w:rPr>
              <w:t xml:space="preserve">never</w:t>
            </w:r>
          </w:p>
        </w:tc>
      </w:tr>
      <w:tr>
        <w:tc>
          <w:tcPr>
            <w:tcW w:type="dxa" w:w="3000"/>
          </w:tcPr>
          <w:p>
            <w:pPr>
              <w:spacing w:after="60"/>
            </w:pPr>
            <w:r>
              <w:rPr>
                <w:b w:val="false"/>
                <w:bCs w:val="false"/>
                <w:sz w:val="20"/>
                <w:szCs w:val="20"/>
              </w:rPr>
              <w:t xml:space="preserve">ISRO Bhuvan products</w:t>
            </w:r>
          </w:p>
        </w:tc>
        <w:tc>
          <w:tcPr>
            <w:tcW w:type="dxa" w:w="2100"/>
          </w:tcPr>
          <w:p>
            <w:pPr>
              <w:spacing w:after="60"/>
            </w:pPr>
            <w:r>
              <w:rPr>
                <w:b w:val="false"/>
                <w:bCs w:val="false"/>
                <w:sz w:val="20"/>
                <w:szCs w:val="20"/>
              </w:rPr>
              <w:t xml:space="preserve">yes</w:t>
            </w:r>
          </w:p>
        </w:tc>
        <w:tc>
          <w:tcPr>
            <w:tcW w:type="dxa" w:w="2500"/>
          </w:tcPr>
          <w:p>
            <w:pPr>
              <w:spacing w:after="60"/>
            </w:pPr>
            <w:r>
              <w:rPr>
                <w:b w:val="false"/>
                <w:bCs w:val="false"/>
                <w:sz w:val="20"/>
                <w:szCs w:val="20"/>
              </w:rPr>
              <w:t xml:space="preserve">−</w:t>
            </w:r>
          </w:p>
        </w:tc>
        <w:tc>
          <w:tcPr>
            <w:tcW w:type="dxa" w:w="1760"/>
          </w:tcPr>
          <w:p>
            <w:pPr>
              <w:spacing w:after="60"/>
            </w:pPr>
            <w:r>
              <w:rPr>
                <w:b w:val="false"/>
                <w:bCs w:val="false"/>
                <w:sz w:val="20"/>
                <w:szCs w:val="20"/>
              </w:rPr>
              <w:t xml:space="preserve">if quota exceeded (rare at cluster scale)</w:t>
            </w:r>
          </w:p>
        </w:tc>
      </w:tr>
      <w:tr>
        <w:tc>
          <w:tcPr>
            <w:tcW w:type="dxa" w:w="3000"/>
          </w:tcPr>
          <w:p>
            <w:pPr>
              <w:spacing w:after="60"/>
            </w:pPr>
            <w:r>
              <w:rPr>
                <w:b w:val="false"/>
                <w:bCs w:val="false"/>
                <w:sz w:val="20"/>
                <w:szCs w:val="20"/>
              </w:rPr>
              <w:t xml:space="preserve">Cloud compute (GEE)</w:t>
            </w:r>
          </w:p>
        </w:tc>
        <w:tc>
          <w:tcPr>
            <w:tcW w:type="dxa" w:w="2100"/>
          </w:tcPr>
          <w:p>
            <w:pPr>
              <w:spacing w:after="60"/>
            </w:pPr>
            <w:r>
              <w:rPr>
                <w:b w:val="false"/>
                <w:bCs w:val="false"/>
                <w:sz w:val="20"/>
                <w:szCs w:val="20"/>
              </w:rPr>
              <w:t xml:space="preserve">yes for non-commercial</w:t>
            </w:r>
          </w:p>
        </w:tc>
        <w:tc>
          <w:tcPr>
            <w:tcW w:type="dxa" w:w="2500"/>
          </w:tcPr>
          <w:p>
            <w:pPr>
              <w:spacing w:after="60"/>
            </w:pPr>
            <w:r>
              <w:rPr>
                <w:b w:val="false"/>
                <w:bCs w:val="false"/>
                <w:sz w:val="20"/>
                <w:szCs w:val="20"/>
              </w:rPr>
              <w:t xml:space="preserve">GCP pricing</w:t>
            </w:r>
          </w:p>
        </w:tc>
        <w:tc>
          <w:tcPr>
            <w:tcW w:type="dxa" w:w="1760"/>
          </w:tcPr>
          <w:p>
            <w:pPr>
              <w:spacing w:after="60"/>
            </w:pPr>
            <w:r>
              <w:rPr>
                <w:b w:val="false"/>
                <w:bCs w:val="false"/>
                <w:sz w:val="20"/>
                <w:szCs w:val="20"/>
              </w:rPr>
              <w:t xml:space="preserve">commercial launch</w:t>
            </w:r>
          </w:p>
        </w:tc>
      </w:tr>
      <w:tr>
        <w:tc>
          <w:tcPr>
            <w:tcW w:type="dxa" w:w="3000"/>
          </w:tcPr>
          <w:p>
            <w:pPr>
              <w:spacing w:after="60"/>
            </w:pPr>
            <w:r>
              <w:rPr>
                <w:b w:val="false"/>
                <w:bCs w:val="false"/>
                <w:sz w:val="20"/>
                <w:szCs w:val="20"/>
              </w:rPr>
              <w:t xml:space="preserve">Sentinel Hub processing</w:t>
            </w:r>
          </w:p>
        </w:tc>
        <w:tc>
          <w:tcPr>
            <w:tcW w:type="dxa" w:w="2100"/>
          </w:tcPr>
          <w:p>
            <w:pPr>
              <w:spacing w:after="60"/>
            </w:pPr>
            <w:r>
              <w:rPr>
                <w:b w:val="false"/>
                <w:bCs w:val="false"/>
                <w:sz w:val="20"/>
                <w:szCs w:val="20"/>
              </w:rPr>
              <w:t xml:space="preserve">partial (free trial)</w:t>
            </w:r>
          </w:p>
        </w:tc>
        <w:tc>
          <w:tcPr>
            <w:tcW w:type="dxa" w:w="2500"/>
          </w:tcPr>
          <w:p>
            <w:pPr>
              <w:spacing w:after="60"/>
            </w:pPr>
            <w:r>
              <w:rPr>
                <w:b w:val="false"/>
                <w:bCs w:val="false"/>
                <w:sz w:val="20"/>
                <w:szCs w:val="20"/>
              </w:rPr>
              <w:t xml:space="preserve">≈ ₹0.50 / km² / scene at 10 m</w:t>
            </w:r>
          </w:p>
        </w:tc>
        <w:tc>
          <w:tcPr>
            <w:tcW w:type="dxa" w:w="1760"/>
          </w:tcPr>
          <w:p>
            <w:pPr>
              <w:spacing w:after="60"/>
            </w:pPr>
            <w:r>
              <w:rPr>
                <w:b w:val="false"/>
                <w:bCs w:val="false"/>
                <w:sz w:val="20"/>
                <w:szCs w:val="20"/>
              </w:rPr>
              <w:t xml:space="preserve">always paid at production</w:t>
            </w:r>
          </w:p>
        </w:tc>
      </w:tr>
      <w:tr>
        <w:tc>
          <w:tcPr>
            <w:tcW w:type="dxa" w:w="3000"/>
          </w:tcPr>
          <w:p>
            <w:pPr>
              <w:spacing w:after="60"/>
            </w:pPr>
            <w:r>
              <w:rPr>
                <w:b w:val="false"/>
                <w:bCs w:val="false"/>
                <w:sz w:val="20"/>
                <w:szCs w:val="20"/>
              </w:rPr>
              <w:t xml:space="preserve">Cluster master compute</w:t>
            </w:r>
          </w:p>
        </w:tc>
        <w:tc>
          <w:tcPr>
            <w:tcW w:type="dxa" w:w="2100"/>
          </w:tcPr>
          <w:p>
            <w:pPr>
              <w:spacing w:after="60"/>
            </w:pPr>
            <w:r>
              <w:rPr>
                <w:b w:val="false"/>
                <w:bCs w:val="false"/>
                <w:sz w:val="20"/>
                <w:szCs w:val="20"/>
              </w:rPr>
              <w:t xml:space="preserve">assumed present</w:t>
            </w:r>
          </w:p>
        </w:tc>
        <w:tc>
          <w:tcPr>
            <w:tcW w:type="dxa" w:w="2500"/>
          </w:tcPr>
          <w:p>
            <w:pPr>
              <w:spacing w:after="60"/>
            </w:pPr>
            <w:r>
              <w:rPr>
                <w:b w:val="false"/>
                <w:bCs w:val="false"/>
                <w:sz w:val="20"/>
                <w:szCs w:val="20"/>
              </w:rPr>
              <w:t xml:space="preserve">−</w:t>
            </w:r>
          </w:p>
        </w:tc>
        <w:tc>
          <w:tcPr>
            <w:tcW w:type="dxa" w:w="1760"/>
          </w:tcPr>
          <w:p>
            <w:pPr>
              <w:spacing w:after="60"/>
            </w:pPr>
            <w:r>
              <w:rPr>
                <w:b w:val="false"/>
                <w:bCs w:val="false"/>
                <w:sz w:val="20"/>
                <w:szCs w:val="20"/>
              </w:rPr>
              <w:t xml:space="preserve">never — sunk cost from D07</w:t>
            </w:r>
          </w:p>
        </w:tc>
      </w:tr>
      <w:tr>
        <w:tc>
          <w:tcPr>
            <w:tcW w:type="dxa" w:w="3000"/>
          </w:tcPr>
          <w:p>
            <w:pPr>
              <w:spacing w:after="60"/>
            </w:pPr>
            <w:r>
              <w:rPr>
                <w:b w:val="false"/>
                <w:bCs w:val="false"/>
                <w:sz w:val="20"/>
                <w:szCs w:val="20"/>
              </w:rPr>
              <w:t xml:space="preserve">Server storage (PostGIS)</w:t>
            </w:r>
          </w:p>
        </w:tc>
        <w:tc>
          <w:tcPr>
            <w:tcW w:type="dxa" w:w="2100"/>
          </w:tcPr>
          <w:p>
            <w:pPr>
              <w:spacing w:after="60"/>
            </w:pPr>
            <w:r>
              <w:rPr>
                <w:b w:val="false"/>
                <w:bCs w:val="false"/>
                <w:sz w:val="20"/>
                <w:szCs w:val="20"/>
              </w:rPr>
              <w:t xml:space="preserve">yes for small clusters</w:t>
            </w:r>
          </w:p>
        </w:tc>
        <w:tc>
          <w:tcPr>
            <w:tcW w:type="dxa" w:w="2500"/>
          </w:tcPr>
          <w:p>
            <w:pPr>
              <w:spacing w:after="60"/>
            </w:pPr>
            <w:r>
              <w:rPr>
                <w:b w:val="false"/>
                <w:bCs w:val="false"/>
                <w:sz w:val="20"/>
                <w:szCs w:val="20"/>
              </w:rPr>
              <w:t xml:space="preserve">≈ ₹300 / month per 100 GB</w:t>
            </w:r>
          </w:p>
        </w:tc>
        <w:tc>
          <w:tcPr>
            <w:tcW w:type="dxa" w:w="1760"/>
          </w:tcPr>
          <w:p>
            <w:pPr>
              <w:spacing w:after="60"/>
            </w:pPr>
            <w:r>
              <w:rPr>
                <w:b w:val="false"/>
                <w:bCs w:val="false"/>
                <w:sz w:val="20"/>
                <w:szCs w:val="20"/>
              </w:rPr>
              <w:t xml:space="preserve">past 100 clusters</w:t>
            </w:r>
          </w:p>
        </w:tc>
      </w:tr>
      <w:tr>
        <w:tc>
          <w:tcPr>
            <w:tcW w:type="dxa" w:w="3000"/>
          </w:tcPr>
          <w:p>
            <w:pPr>
              <w:spacing w:after="60"/>
            </w:pPr>
            <w:r>
              <w:rPr>
                <w:b w:val="false"/>
                <w:bCs w:val="false"/>
                <w:sz w:val="20"/>
                <w:szCs w:val="20"/>
              </w:rPr>
              <w:t xml:space="preserve">Commercial imagery (Planet)</w:t>
            </w:r>
          </w:p>
        </w:tc>
        <w:tc>
          <w:tcPr>
            <w:tcW w:type="dxa" w:w="2100"/>
          </w:tcPr>
          <w:p>
            <w:pPr>
              <w:spacing w:after="60"/>
            </w:pPr>
            <w:r>
              <w:rPr>
                <w:b w:val="false"/>
                <w:bCs w:val="false"/>
                <w:sz w:val="20"/>
                <w:szCs w:val="20"/>
              </w:rPr>
              <w:t xml:space="preserve">no</w:t>
            </w:r>
          </w:p>
        </w:tc>
        <w:tc>
          <w:tcPr>
            <w:tcW w:type="dxa" w:w="2500"/>
          </w:tcPr>
          <w:p>
            <w:pPr>
              <w:spacing w:after="60"/>
            </w:pPr>
            <w:r>
              <w:rPr>
                <w:b w:val="false"/>
                <w:bCs w:val="false"/>
                <w:sz w:val="20"/>
                <w:szCs w:val="20"/>
              </w:rPr>
              <w:t xml:space="preserve">≈ ₹80–250 / km² / month</w:t>
            </w:r>
          </w:p>
        </w:tc>
        <w:tc>
          <w:tcPr>
            <w:tcW w:type="dxa" w:w="1760"/>
          </w:tcPr>
          <w:p>
            <w:pPr>
              <w:spacing w:after="60"/>
            </w:pPr>
            <w:r>
              <w:rPr>
                <w:b w:val="false"/>
                <w:bCs w:val="false"/>
                <w:sz w:val="20"/>
                <w:szCs w:val="20"/>
              </w:rPr>
              <w:t xml:space="preserve">invoked only on cloud-blocked emergency</w:t>
            </w:r>
          </w:p>
        </w:tc>
      </w:tr>
    </w:tbl>
    <w:p>
      <w:pPr>
        <w:pStyle w:val="Heading2"/>
        <w:spacing w:after="150" w:before="300"/>
      </w:pPr>
      <w:r>
        <w:rPr>
          <w:b/>
          <w:bCs/>
          <w:sz w:val="26"/>
          <w:szCs w:val="26"/>
        </w:rPr>
        <w:t xml:space="preserve">14.2 Cost per farmer per season — प्रति शेतकरी हंगामी खर्च</w:t>
      </w:r>
    </w:p>
    <w:p>
      <w:pPr>
        <w:spacing w:after="120"/>
      </w:pPr>
      <w:r>
        <w:t xml:space="preserve">Assuming a cluster of 10 farmers, each with 0.5–1.0 acre ginger plots, using the free-tier stack (Copernicus + Landsat + Bhuvan) with GEE non-commercial compute and PostGIS on the shared server:</w:t>
      </w:r>
    </w:p>
    <w:p>
      <w:pPr>
        <w:pStyle w:val="ListParagraph"/>
        <w:numPr>
          <w:ilvl w:val="0"/>
          <w:numId w:val="1"/>
        </w:numPr>
        <w:spacing w:after="80"/>
      </w:pPr>
      <w:r>
        <w:t xml:space="preserve">Per farmer, per season, satellite cost: ~₹150 for compute allocation, storage, and platform overhead</w:t>
      </w:r>
    </w:p>
    <w:p>
      <w:pPr>
        <w:pStyle w:val="ListParagraph"/>
        <w:numPr>
          <w:ilvl w:val="0"/>
          <w:numId w:val="1"/>
        </w:numPr>
        <w:spacing w:after="80"/>
      </w:pPr>
      <w:r>
        <w:t xml:space="preserve">This is well under 0.15 % of the Agro-Guardian selling price band (₹10,000–12,000 per farmer)</w:t>
      </w:r>
    </w:p>
    <w:p>
      <w:pPr>
        <w:pStyle w:val="ListParagraph"/>
        <w:numPr>
          <w:ilvl w:val="0"/>
          <w:numId w:val="1"/>
        </w:numPr>
        <w:spacing w:after="80"/>
      </w:pPr>
      <w:r>
        <w:t xml:space="preserve">Commercial deployment on GCP moves this to ~₹500–800 per farmer per season, still under 8 %</w:t>
      </w:r>
    </w:p>
    <w:p>
      <w:pPr>
        <w:pStyle w:val="ListParagraph"/>
        <w:numPr>
          <w:ilvl w:val="0"/>
          <w:numId w:val="1"/>
        </w:numPr>
        <w:spacing w:after="80"/>
      </w:pPr>
      <w:r>
        <w:t xml:space="preserve">Reserving PlanetScope for cloud emergencies at ~₹200 per triggering event does not change the aggregate line materially</w:t>
      </w:r>
    </w:p>
    <w:p>
      <w:pPr>
        <w:pStyle w:val="Heading2"/>
        <w:spacing w:after="150" w:before="300"/>
      </w:pPr>
      <w:r>
        <w:rPr>
          <w:b/>
          <w:bCs/>
          <w:sz w:val="26"/>
          <w:szCs w:val="26"/>
        </w:rPr>
        <w:t xml:space="preserve">14.3 What NOT to sell as a cost saving — काय विकू नये</w:t>
      </w:r>
    </w:p>
    <w:p>
      <w:pPr>
        <w:spacing w:after="120"/>
      </w:pPr>
      <w:r>
        <w:t xml:space="preserve">Two prohibited claim patterns follow from the Domain 5 and Domain 12 discipline and extend to this domain:</w:t>
      </w:r>
    </w:p>
    <w:p>
      <w:pPr>
        <w:pStyle w:val="ListParagraph"/>
        <w:numPr>
          <w:ilvl w:val="0"/>
          <w:numId w:val="1"/>
        </w:numPr>
        <w:spacing w:after="80"/>
      </w:pPr>
      <w:r>
        <w:t xml:space="preserve">"Satellite tells you exactly when to irrigate" — false; the sub-node is the authority, satellite is the context. Selling satellite as a replacement for the sub-node prices the product wrong AND misleads the farmer.</w:t>
      </w:r>
    </w:p>
    <w:p>
      <w:pPr>
        <w:pStyle w:val="ListParagraph"/>
        <w:numPr>
          <w:ilvl w:val="0"/>
          <w:numId w:val="1"/>
        </w:numPr>
        <w:spacing w:after="80"/>
      </w:pPr>
      <w:r>
        <w:t xml:space="preserve">"Satellite predicts your yield" — Domain 12 already prohibits yield prediction as a claim; satellite yield estimates carry the same prohibition. They are internal signals, not customer promises.</w:t>
      </w:r>
    </w:p>
    <w:p>
      <w:pPr>
        <w:spacing w:after="300" w:before="200"/>
      </w:pPr>
      <w:r>
        <w:rPr>
          <w:i/>
          <w:iCs/>
          <w:sz w:val="20"/>
          <w:szCs w:val="20"/>
        </w:rPr>
        <w:t xml:space="preserve">Sources: Copernicus Data Space pricing; Sentinel Hub public price sheet; Google Cloud Platform pricing pages; Agro-Guardian selling-price policy; Domain 12 prohibited-claim list.</w:t>
      </w:r>
    </w:p>
    <w:p>
      <w:r>
        <w:br w:type="page"/>
      </w:r>
    </w:p>
    <w:p>
      <w:pPr>
        <w:pStyle w:val="Heading1"/>
        <w:spacing w:after="200" w:before="400"/>
      </w:pPr>
      <w:r>
        <w:rPr>
          <w:b/>
          <w:bCs/>
          <w:sz w:val="32"/>
          <w:szCs w:val="32"/>
        </w:rPr>
        <w:t xml:space="preserve">SECTION 15. Marathwada and Kannad specifics — मराठवाडा व कन्नड-विशिष्ट</w:t>
      </w:r>
    </w:p>
    <w:p>
      <w:pPr>
        <w:pStyle w:val="Heading2"/>
        <w:spacing w:after="150" w:before="300"/>
      </w:pPr>
      <w:r>
        <w:rPr>
          <w:b/>
          <w:bCs/>
          <w:sz w:val="26"/>
          <w:szCs w:val="26"/>
        </w:rPr>
        <w:t xml:space="preserve">15.1 Government services usable today — आजच वापरण्यायोग्य सरकारी सेवा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2600"/>
        <w:gridCol w:w="2860"/>
      </w:tblGrid>
      <w:tr>
        <w:trPr>
          <w:tblHeader/>
        </w:trPr>
        <w:tc>
          <w:tcPr>
            <w:tcW w:type="dxa" w:w="1800"/>
            <w:shd w:fill="DCE6F1" w:color="auto" w:val="clear"/>
          </w:tcPr>
          <w:p>
            <w:pPr>
              <w:spacing w:after="60"/>
            </w:pPr>
            <w:r>
              <w:rPr>
                <w:b/>
                <w:bCs/>
                <w:sz w:val="20"/>
                <w:szCs w:val="20"/>
              </w:rPr>
              <w:t xml:space="preserve">Service</w:t>
            </w:r>
          </w:p>
        </w:tc>
        <w:tc>
          <w:tcPr>
            <w:tcW w:type="dxa" w:w="2100"/>
            <w:shd w:fill="DCE6F1" w:color="auto" w:val="clear"/>
          </w:tcPr>
          <w:p>
            <w:pPr>
              <w:spacing w:after="60"/>
            </w:pPr>
            <w:r>
              <w:rPr>
                <w:b/>
                <w:bCs/>
                <w:sz w:val="20"/>
                <w:szCs w:val="20"/>
              </w:rPr>
              <w:t xml:space="preserve">Provider</w:t>
            </w:r>
          </w:p>
        </w:tc>
        <w:tc>
          <w:tcPr>
            <w:tcW w:type="dxa" w:w="2600"/>
            <w:shd w:fill="DCE6F1" w:color="auto" w:val="clear"/>
          </w:tcPr>
          <w:p>
            <w:pPr>
              <w:spacing w:after="60"/>
            </w:pPr>
            <w:r>
              <w:rPr>
                <w:b/>
                <w:bCs/>
                <w:sz w:val="20"/>
                <w:szCs w:val="20"/>
              </w:rPr>
              <w:t xml:space="preserve">What it offers</w:t>
            </w:r>
          </w:p>
        </w:tc>
        <w:tc>
          <w:tcPr>
            <w:tcW w:type="dxa" w:w="2860"/>
            <w:shd w:fill="DCE6F1" w:color="auto" w:val="clear"/>
          </w:tcPr>
          <w:p>
            <w:pPr>
              <w:spacing w:after="60"/>
            </w:pPr>
            <w:r>
              <w:rPr>
                <w:b/>
                <w:bCs/>
                <w:sz w:val="20"/>
                <w:szCs w:val="20"/>
              </w:rPr>
              <w:t xml:space="preserve">Ginger relevance</w:t>
            </w:r>
          </w:p>
        </w:tc>
      </w:tr>
      <w:tr>
        <w:tc>
          <w:tcPr>
            <w:tcW w:type="dxa" w:w="1800"/>
          </w:tcPr>
          <w:p>
            <w:pPr>
              <w:spacing w:after="60"/>
            </w:pPr>
            <w:r>
              <w:rPr>
                <w:b w:val="false"/>
                <w:bCs w:val="false"/>
                <w:sz w:val="20"/>
                <w:szCs w:val="20"/>
              </w:rPr>
              <w:t xml:space="preserve">FASAL</w:t>
            </w:r>
          </w:p>
        </w:tc>
        <w:tc>
          <w:tcPr>
            <w:tcW w:type="dxa" w:w="2100"/>
          </w:tcPr>
          <w:p>
            <w:pPr>
              <w:spacing w:after="60"/>
            </w:pPr>
            <w:r>
              <w:rPr>
                <w:b w:val="false"/>
                <w:bCs w:val="false"/>
                <w:sz w:val="20"/>
                <w:szCs w:val="20"/>
              </w:rPr>
              <w:t xml:space="preserve">MNCFC, Ministry of Agriculture</w:t>
            </w:r>
          </w:p>
        </w:tc>
        <w:tc>
          <w:tcPr>
            <w:tcW w:type="dxa" w:w="2600"/>
          </w:tcPr>
          <w:p>
            <w:pPr>
              <w:spacing w:after="60"/>
            </w:pPr>
            <w:r>
              <w:rPr>
                <w:b w:val="false"/>
                <w:bCs w:val="false"/>
                <w:sz w:val="20"/>
                <w:szCs w:val="20"/>
              </w:rPr>
              <w:t xml:space="preserve">crop forecasting for major crops; district-level</w:t>
            </w:r>
          </w:p>
        </w:tc>
        <w:tc>
          <w:tcPr>
            <w:tcW w:type="dxa" w:w="2860"/>
          </w:tcPr>
          <w:p>
            <w:pPr>
              <w:spacing w:after="60"/>
            </w:pPr>
            <w:r>
              <w:rPr>
                <w:b w:val="false"/>
                <w:bCs w:val="false"/>
                <w:sz w:val="20"/>
                <w:szCs w:val="20"/>
              </w:rPr>
              <w:t xml:space="preserve">context, not per-plot; ginger is not a FASAL major crop yet</w:t>
            </w:r>
          </w:p>
        </w:tc>
      </w:tr>
      <w:tr>
        <w:tc>
          <w:tcPr>
            <w:tcW w:type="dxa" w:w="1800"/>
          </w:tcPr>
          <w:p>
            <w:pPr>
              <w:spacing w:after="60"/>
            </w:pPr>
            <w:r>
              <w:rPr>
                <w:b w:val="false"/>
                <w:bCs w:val="false"/>
                <w:sz w:val="20"/>
                <w:szCs w:val="20"/>
              </w:rPr>
              <w:t xml:space="preserve">CHAMAN</w:t>
            </w:r>
          </w:p>
        </w:tc>
        <w:tc>
          <w:tcPr>
            <w:tcW w:type="dxa" w:w="2100"/>
          </w:tcPr>
          <w:p>
            <w:pPr>
              <w:spacing w:after="60"/>
            </w:pPr>
            <w:r>
              <w:rPr>
                <w:b w:val="false"/>
                <w:bCs w:val="false"/>
                <w:sz w:val="20"/>
                <w:szCs w:val="20"/>
              </w:rPr>
              <w:t xml:space="preserve">MNCFC + ISRO</w:t>
            </w:r>
          </w:p>
        </w:tc>
        <w:tc>
          <w:tcPr>
            <w:tcW w:type="dxa" w:w="2600"/>
          </w:tcPr>
          <w:p>
            <w:pPr>
              <w:spacing w:after="60"/>
            </w:pPr>
            <w:r>
              <w:rPr>
                <w:b w:val="false"/>
                <w:bCs w:val="false"/>
                <w:sz w:val="20"/>
                <w:szCs w:val="20"/>
              </w:rPr>
              <w:t xml:space="preserve">horticulture assessment</w:t>
            </w:r>
          </w:p>
        </w:tc>
        <w:tc>
          <w:tcPr>
            <w:tcW w:type="dxa" w:w="2860"/>
          </w:tcPr>
          <w:p>
            <w:pPr>
              <w:spacing w:after="60"/>
            </w:pPr>
            <w:r>
              <w:rPr>
                <w:b w:val="false"/>
                <w:bCs w:val="false"/>
                <w:sz w:val="20"/>
                <w:szCs w:val="20"/>
              </w:rPr>
              <w:t xml:space="preserve">ginger falls under horticulture — checkspecific product availability</w:t>
            </w:r>
          </w:p>
        </w:tc>
      </w:tr>
      <w:tr>
        <w:tc>
          <w:tcPr>
            <w:tcW w:type="dxa" w:w="1800"/>
          </w:tcPr>
          <w:p>
            <w:pPr>
              <w:spacing w:after="60"/>
            </w:pPr>
            <w:r>
              <w:rPr>
                <w:b w:val="false"/>
                <w:bCs w:val="false"/>
                <w:sz w:val="20"/>
                <w:szCs w:val="20"/>
              </w:rPr>
              <w:t xml:space="preserve">Bhuvan Krishi</w:t>
            </w:r>
          </w:p>
        </w:tc>
        <w:tc>
          <w:tcPr>
            <w:tcW w:type="dxa" w:w="2100"/>
          </w:tcPr>
          <w:p>
            <w:pPr>
              <w:spacing w:after="60"/>
            </w:pPr>
            <w:r>
              <w:rPr>
                <w:b w:val="false"/>
                <w:bCs w:val="false"/>
                <w:sz w:val="20"/>
                <w:szCs w:val="20"/>
              </w:rPr>
              <w:t xml:space="preserve">ISRO / NRSC</w:t>
            </w:r>
          </w:p>
        </w:tc>
        <w:tc>
          <w:tcPr>
            <w:tcW w:type="dxa" w:w="2600"/>
          </w:tcPr>
          <w:p>
            <w:pPr>
              <w:spacing w:after="60"/>
            </w:pPr>
            <w:r>
              <w:rPr>
                <w:b w:val="false"/>
                <w:bCs w:val="false"/>
                <w:sz w:val="20"/>
                <w:szCs w:val="20"/>
              </w:rPr>
              <w:t xml:space="preserve">district-level soil moisture and NDVI</w:t>
            </w:r>
          </w:p>
        </w:tc>
        <w:tc>
          <w:tcPr>
            <w:tcW w:type="dxa" w:w="2860"/>
          </w:tcPr>
          <w:p>
            <w:pPr>
              <w:spacing w:after="60"/>
            </w:pPr>
            <w:r>
              <w:rPr>
                <w:b w:val="false"/>
                <w:bCs w:val="false"/>
                <w:sz w:val="20"/>
                <w:szCs w:val="20"/>
              </w:rPr>
              <w:t xml:space="preserve">baseline for the anomaly rules in Section 9</w:t>
            </w:r>
          </w:p>
        </w:tc>
      </w:tr>
      <w:tr>
        <w:tc>
          <w:tcPr>
            <w:tcW w:type="dxa" w:w="1800"/>
          </w:tcPr>
          <w:p>
            <w:pPr>
              <w:spacing w:after="60"/>
            </w:pPr>
            <w:r>
              <w:rPr>
                <w:b w:val="false"/>
                <w:bCs w:val="false"/>
                <w:sz w:val="20"/>
                <w:szCs w:val="20"/>
              </w:rPr>
              <w:t xml:space="preserve">MOSDAC soil moisture</w:t>
            </w:r>
          </w:p>
        </w:tc>
        <w:tc>
          <w:tcPr>
            <w:tcW w:type="dxa" w:w="2100"/>
          </w:tcPr>
          <w:p>
            <w:pPr>
              <w:spacing w:after="60"/>
            </w:pPr>
            <w:r>
              <w:rPr>
                <w:b w:val="false"/>
                <w:bCs w:val="false"/>
                <w:sz w:val="20"/>
                <w:szCs w:val="20"/>
              </w:rPr>
              <w:t xml:space="preserve">ISRO SAC</w:t>
            </w:r>
          </w:p>
        </w:tc>
        <w:tc>
          <w:tcPr>
            <w:tcW w:type="dxa" w:w="2600"/>
          </w:tcPr>
          <w:p>
            <w:pPr>
              <w:spacing w:after="60"/>
            </w:pPr>
            <w:r>
              <w:rPr>
                <w:b w:val="false"/>
                <w:bCs w:val="false"/>
                <w:sz w:val="20"/>
                <w:szCs w:val="20"/>
              </w:rPr>
              <w:t xml:space="preserve">daily soil moisture at ~10 km</w:t>
            </w:r>
          </w:p>
        </w:tc>
        <w:tc>
          <w:tcPr>
            <w:tcW w:type="dxa" w:w="2860"/>
          </w:tcPr>
          <w:p>
            <w:pPr>
              <w:spacing w:after="60"/>
            </w:pPr>
            <w:r>
              <w:rPr>
                <w:b w:val="false"/>
                <w:bCs w:val="false"/>
                <w:sz w:val="20"/>
                <w:szCs w:val="20"/>
              </w:rPr>
              <w:t xml:space="preserve">cluster context; not per-plot</w:t>
            </w:r>
          </w:p>
        </w:tc>
      </w:tr>
      <w:tr>
        <w:tc>
          <w:tcPr>
            <w:tcW w:type="dxa" w:w="1800"/>
          </w:tcPr>
          <w:p>
            <w:pPr>
              <w:spacing w:after="60"/>
            </w:pPr>
            <w:r>
              <w:rPr>
                <w:b w:val="false"/>
                <w:bCs w:val="false"/>
                <w:sz w:val="20"/>
                <w:szCs w:val="20"/>
              </w:rPr>
              <w:t xml:space="preserve">VEDAS</w:t>
            </w:r>
          </w:p>
        </w:tc>
        <w:tc>
          <w:tcPr>
            <w:tcW w:type="dxa" w:w="2100"/>
          </w:tcPr>
          <w:p>
            <w:pPr>
              <w:spacing w:after="60"/>
            </w:pPr>
            <w:r>
              <w:rPr>
                <w:b w:val="false"/>
                <w:bCs w:val="false"/>
                <w:sz w:val="20"/>
                <w:szCs w:val="20"/>
              </w:rPr>
              <w:t xml:space="preserve">ISRO</w:t>
            </w:r>
          </w:p>
        </w:tc>
        <w:tc>
          <w:tcPr>
            <w:tcW w:type="dxa" w:w="2600"/>
          </w:tcPr>
          <w:p>
            <w:pPr>
              <w:spacing w:after="60"/>
            </w:pPr>
            <w:r>
              <w:rPr>
                <w:b w:val="false"/>
                <w:bCs w:val="false"/>
                <w:sz w:val="20"/>
                <w:szCs w:val="20"/>
              </w:rPr>
              <w:t xml:space="preserve">data explorer for agri-related archives</w:t>
            </w:r>
          </w:p>
        </w:tc>
        <w:tc>
          <w:tcPr>
            <w:tcW w:type="dxa" w:w="2860"/>
          </w:tcPr>
          <w:p>
            <w:pPr>
              <w:spacing w:after="60"/>
            </w:pPr>
            <w:r>
              <w:rPr>
                <w:b w:val="false"/>
                <w:bCs w:val="false"/>
                <w:sz w:val="20"/>
                <w:szCs w:val="20"/>
              </w:rPr>
              <w:t xml:space="preserve">archive access and quick visual sanity check</w:t>
            </w:r>
          </w:p>
        </w:tc>
      </w:tr>
      <w:tr>
        <w:tc>
          <w:tcPr>
            <w:tcW w:type="dxa" w:w="1800"/>
          </w:tcPr>
          <w:p>
            <w:pPr>
              <w:spacing w:after="60"/>
            </w:pPr>
            <w:r>
              <w:rPr>
                <w:b w:val="false"/>
                <w:bCs w:val="false"/>
                <w:sz w:val="20"/>
                <w:szCs w:val="20"/>
              </w:rPr>
              <w:t xml:space="preserve">IMD district agromet advisory</w:t>
            </w:r>
          </w:p>
        </w:tc>
        <w:tc>
          <w:tcPr>
            <w:tcW w:type="dxa" w:w="2100"/>
          </w:tcPr>
          <w:p>
            <w:pPr>
              <w:spacing w:after="60"/>
            </w:pPr>
            <w:r>
              <w:rPr>
                <w:b w:val="false"/>
                <w:bCs w:val="false"/>
                <w:sz w:val="20"/>
                <w:szCs w:val="20"/>
              </w:rPr>
              <w:t xml:space="preserve">IMD + ICAR</w:t>
            </w:r>
          </w:p>
        </w:tc>
        <w:tc>
          <w:tcPr>
            <w:tcW w:type="dxa" w:w="2600"/>
          </w:tcPr>
          <w:p>
            <w:pPr>
              <w:spacing w:after="60"/>
            </w:pPr>
            <w:r>
              <w:rPr>
                <w:b w:val="false"/>
                <w:bCs w:val="false"/>
                <w:sz w:val="20"/>
                <w:szCs w:val="20"/>
              </w:rPr>
              <w:t xml:space="preserve">twice-weekly agromet bulletin per district</w:t>
            </w:r>
          </w:p>
        </w:tc>
        <w:tc>
          <w:tcPr>
            <w:tcW w:type="dxa" w:w="2860"/>
          </w:tcPr>
          <w:p>
            <w:pPr>
              <w:spacing w:after="60"/>
            </w:pPr>
            <w:r>
              <w:rPr>
                <w:b w:val="false"/>
                <w:bCs w:val="false"/>
                <w:sz w:val="20"/>
                <w:szCs w:val="20"/>
              </w:rPr>
              <w:t xml:space="preserve">bias correction reference; feeds D07 rather than D14</w:t>
            </w:r>
          </w:p>
        </w:tc>
      </w:tr>
      <w:tr>
        <w:tc>
          <w:tcPr>
            <w:tcW w:type="dxa" w:w="1800"/>
          </w:tcPr>
          <w:p>
            <w:pPr>
              <w:spacing w:after="60"/>
            </w:pPr>
            <w:r>
              <w:rPr>
                <w:b w:val="false"/>
                <w:bCs w:val="false"/>
                <w:sz w:val="20"/>
                <w:szCs w:val="20"/>
              </w:rPr>
              <w:t xml:space="preserve">MahaKrishi (state)</w:t>
            </w:r>
          </w:p>
        </w:tc>
        <w:tc>
          <w:tcPr>
            <w:tcW w:type="dxa" w:w="2100"/>
          </w:tcPr>
          <w:p>
            <w:pPr>
              <w:spacing w:after="60"/>
            </w:pPr>
            <w:r>
              <w:rPr>
                <w:b w:val="false"/>
                <w:bCs w:val="false"/>
                <w:sz w:val="20"/>
                <w:szCs w:val="20"/>
              </w:rPr>
              <w:t xml:space="preserve">GoM Agriculture</w:t>
            </w:r>
          </w:p>
        </w:tc>
        <w:tc>
          <w:tcPr>
            <w:tcW w:type="dxa" w:w="2600"/>
          </w:tcPr>
          <w:p>
            <w:pPr>
              <w:spacing w:after="60"/>
            </w:pPr>
            <w:r>
              <w:rPr>
                <w:b w:val="false"/>
                <w:bCs w:val="false"/>
                <w:sz w:val="20"/>
                <w:szCs w:val="20"/>
              </w:rPr>
              <w:t xml:space="preserve">schemes and advisories</w:t>
            </w:r>
          </w:p>
        </w:tc>
        <w:tc>
          <w:tcPr>
            <w:tcW w:type="dxa" w:w="2860"/>
          </w:tcPr>
          <w:p>
            <w:pPr>
              <w:spacing w:after="60"/>
            </w:pPr>
            <w:r>
              <w:rPr>
                <w:b w:val="false"/>
                <w:bCs w:val="false"/>
                <w:sz w:val="20"/>
                <w:szCs w:val="20"/>
              </w:rPr>
              <w:t xml:space="preserve">schemes integration for D10 rather than D14</w:t>
            </w:r>
          </w:p>
        </w:tc>
      </w:tr>
    </w:tbl>
    <w:p>
      <w:pPr>
        <w:pStyle w:val="Heading2"/>
        <w:spacing w:after="150" w:before="300"/>
      </w:pPr>
      <w:r>
        <w:rPr>
          <w:b/>
          <w:bCs/>
          <w:sz w:val="26"/>
          <w:szCs w:val="26"/>
        </w:rPr>
        <w:t xml:space="preserve">15.2 VNMKV Parbhani — the local university — स्थानिक विद्यापीठ</w:t>
      </w:r>
    </w:p>
    <w:p>
      <w:pPr>
        <w:spacing w:after="120"/>
      </w:pPr>
      <w:r>
        <w:t xml:space="preserve">Vasantrao Naik Marathwada Krishi Vidyapeeth (Parbhani) is the state agricultural university with jurisdiction over the Marathwada region. VNMKV has published phenology observations and soil-moisture studies specific to Marathwada crops. For the Kannad ginger baseline, VNMKV is the correct academic partner. The Domain 7 next-step "confirm the agro-climatic sub-zone with VNMKV Parbhani (D07-OI-03)" already logs this touch point; Domain 14 should ride that same channel.</w:t>
      </w:r>
    </w:p>
    <w:p>
      <w:pPr>
        <w:pStyle w:val="Heading2"/>
        <w:spacing w:after="150" w:before="300"/>
      </w:pPr>
      <w:r>
        <w:rPr>
          <w:b/>
          <w:bCs/>
          <w:sz w:val="26"/>
          <w:szCs w:val="26"/>
        </w:rPr>
        <w:t xml:space="preserve">15.3 Kannad NDVI baseline — Kannad साठी NDVI मूलभूत आधार</w:t>
      </w:r>
    </w:p>
    <w:p>
      <w:pPr>
        <w:spacing w:after="120"/>
      </w:pPr>
      <w:r>
        <w:t xml:space="preserve">A regional NDVI baseline for healthy ginger in the Kannad belt does not exist in published form as of this document's writing. The Phase-1 recommendation is:</w:t>
      </w:r>
    </w:p>
    <w:p>
      <w:pPr>
        <w:pStyle w:val="ListParagraph"/>
        <w:numPr>
          <w:ilvl w:val="0"/>
          <w:numId w:val="1"/>
        </w:numPr>
        <w:spacing w:after="80"/>
      </w:pPr>
      <w:r>
        <w:t xml:space="preserve">Season 1 — use the regional model curve in Section 8.1 as a coarse baseline; log every plot's NDVI curve alongside farmer-reported outcome.</w:t>
      </w:r>
    </w:p>
    <w:p>
      <w:pPr>
        <w:pStyle w:val="ListParagraph"/>
        <w:numPr>
          <w:ilvl w:val="0"/>
          <w:numId w:val="1"/>
        </w:numPr>
        <w:spacing w:after="80"/>
      </w:pPr>
      <w:r>
        <w:t xml:space="preserve">Season 2 — replace the regional model with an empirical mean of season-1 healthy plots; flag deviations.</w:t>
      </w:r>
    </w:p>
    <w:p>
      <w:pPr>
        <w:pStyle w:val="ListParagraph"/>
        <w:numPr>
          <w:ilvl w:val="0"/>
          <w:numId w:val="1"/>
        </w:numPr>
        <w:spacing w:after="80"/>
      </w:pPr>
      <w:r>
        <w:t xml:space="preserve">Season 3 — the peer-cluster baseline becomes the primary reference; regional and self-plot baselines become secondary.</w:t>
      </w:r>
    </w:p>
    <w:p>
      <w:pPr>
        <w:spacing w:after="120"/>
      </w:pPr>
      <w:r>
        <w:t xml:space="preserve">This is the same maturity ladder Domain 11 uses for u-value coefficients — author estimate first, empirical after one season, refined after three.</w:t>
      </w:r>
    </w:p>
    <w:p>
      <w:pPr>
        <w:pStyle w:val="Heading2"/>
        <w:spacing w:after="150" w:before="300"/>
      </w:pPr>
      <w:r>
        <w:rPr>
          <w:b/>
          <w:bCs/>
          <w:sz w:val="26"/>
          <w:szCs w:val="26"/>
        </w:rPr>
        <w:t xml:space="preserve">15.4 Cloud statistics for Kannad tile 43QGD — Kannad वरील ढग आकडेवारी</w:t>
      </w:r>
    </w:p>
    <w:p>
      <w:pPr>
        <w:spacing w:after="120"/>
      </w:pPr>
      <w:r>
        <w:t xml:space="preserve">Published Sentinel-2 tile statistics for 43QGD show a cloudy-scene percentage during monsoon months that matches the Section 3 estimates. The specific tile occasionally benefits from an edge scene from 43QGC, giving one extra observation per five-day cycle in some weeks. Any production pipeline should query both tile intersections at scene-discovery time.</w:t>
      </w:r>
    </w:p>
    <w:p>
      <w:pPr>
        <w:pStyle w:val="Heading2"/>
        <w:spacing w:after="150" w:before="300"/>
      </w:pPr>
      <w:r>
        <w:rPr>
          <w:b/>
          <w:bCs/>
          <w:sz w:val="26"/>
          <w:szCs w:val="26"/>
        </w:rPr>
        <w:t xml:space="preserve">15.5 Marathwada-specific known confounders — विशिष्ट स्थानिक अडचणी</w:t>
      </w:r>
    </w:p>
    <w:p>
      <w:pPr>
        <w:pStyle w:val="ListParagraph"/>
        <w:numPr>
          <w:ilvl w:val="0"/>
          <w:numId w:val="1"/>
        </w:numPr>
        <w:spacing w:after="80"/>
      </w:pPr>
      <w:r>
        <w:t xml:space="preserve">Dust haze from pre-monsoon dry-earth loft between March and May — depresses NDVI by a small but non-zero amount; atmospheric correction handles most, not all</w:t>
      </w:r>
    </w:p>
    <w:p>
      <w:pPr>
        <w:pStyle w:val="ListParagraph"/>
        <w:numPr>
          <w:ilvl w:val="0"/>
          <w:numId w:val="1"/>
        </w:numPr>
        <w:spacing w:after="80"/>
      </w:pPr>
      <w:r>
        <w:t xml:space="preserve">Basaltic soils in parts of Marathwada have distinct reflectance; do not assume a generic soil line</w:t>
      </w:r>
    </w:p>
    <w:p>
      <w:pPr>
        <w:pStyle w:val="ListParagraph"/>
        <w:numPr>
          <w:ilvl w:val="0"/>
          <w:numId w:val="1"/>
        </w:numPr>
        <w:spacing w:after="80"/>
      </w:pPr>
      <w:r>
        <w:t xml:space="preserve">Small plot mosaic with tall standing sugarcane on adjacent plots — SAR edge scattering leaks in more than in a uniform region</w:t>
      </w:r>
    </w:p>
    <w:p>
      <w:pPr>
        <w:pStyle w:val="ListParagraph"/>
        <w:numPr>
          <w:ilvl w:val="0"/>
          <w:numId w:val="1"/>
        </w:numPr>
        <w:spacing w:after="80"/>
      </w:pPr>
      <w:r>
        <w:t xml:space="preserve">Farmer-drawn boundaries in the app tend to include the bund; NDVI at the bund is lower than in the plot interior — buffer inward by 3 m before extracting statistics</w:t>
      </w:r>
    </w:p>
    <w:p>
      <w:pPr>
        <w:pStyle w:val="ListParagraph"/>
        <w:numPr>
          <w:ilvl w:val="0"/>
          <w:numId w:val="1"/>
        </w:numPr>
        <w:spacing w:after="80"/>
      </w:pPr>
      <w:r>
        <w:t xml:space="preserve">Low sun angles in December–January drop Landsat radiometric quality slightly; corrected in Collection-2 but visible in edge cases</w:t>
      </w:r>
    </w:p>
    <w:p>
      <w:pPr>
        <w:spacing w:after="300" w:before="200"/>
      </w:pPr>
      <w:r>
        <w:rPr>
          <w:i/>
          <w:iCs/>
          <w:sz w:val="20"/>
          <w:szCs w:val="20"/>
        </w:rPr>
        <w:t xml:space="preserve">Sources: MNCFC published product pages; ISRO Bhuvan Krishi documentation; MOSDAC soil moisture algorithm document; VNMKV Parbhani research bulletins; IMD Marathwada agromet advisory archive; Copernicus Sentinel-2 tile statistics for 43QGD.</w:t>
      </w:r>
    </w:p>
    <w:p>
      <w:r>
        <w:br w:type="page"/>
      </w:r>
    </w:p>
    <w:p>
      <w:pPr>
        <w:pStyle w:val="Heading1"/>
        <w:spacing w:after="200" w:before="400"/>
      </w:pPr>
      <w:r>
        <w:rPr>
          <w:b/>
          <w:bCs/>
          <w:sz w:val="32"/>
          <w:szCs w:val="32"/>
        </w:rPr>
        <w:t xml:space="preserve">SECTION 16. Honest limits, prohibited claims, and open items — प्रामाणिक मर्यादा व खुले प्रश्न</w:t>
      </w:r>
    </w:p>
    <w:p>
      <w:pPr>
        <w:pStyle w:val="Heading2"/>
        <w:spacing w:after="150" w:before="300"/>
      </w:pPr>
      <w:r>
        <w:rPr>
          <w:b/>
          <w:bCs/>
          <w:sz w:val="26"/>
          <w:szCs w:val="26"/>
        </w:rPr>
        <w:t xml:space="preserve">16.1 Prohibited claims specific to this domain — प्रतिबंधित दावे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CE6F1" w:color="auto" w:val="clear"/>
          </w:tcPr>
          <w:p>
            <w:pPr>
              <w:spacing w:after="60"/>
            </w:pPr>
            <w:r>
              <w:rPr>
                <w:b/>
                <w:bCs/>
                <w:sz w:val="20"/>
                <w:szCs w:val="20"/>
              </w:rPr>
              <w:t xml:space="preserve">Prohibited claim</w:t>
            </w:r>
          </w:p>
        </w:tc>
        <w:tc>
          <w:tcPr>
            <w:tcW w:type="dxa" w:w="4680"/>
            <w:shd w:fill="DCE6F1" w:color="auto" w:val="clear"/>
          </w:tcPr>
          <w:p>
            <w:pPr>
              <w:spacing w:after="60"/>
            </w:pPr>
            <w:r>
              <w:rPr>
                <w:b/>
                <w:bCs/>
                <w:sz w:val="20"/>
                <w:szCs w:val="20"/>
              </w:rPr>
              <w:t xml:space="preserve">Why false</w:t>
            </w:r>
          </w:p>
        </w:tc>
      </w:tr>
      <w:tr>
        <w:tc>
          <w:tcPr>
            <w:tcW w:type="dxa" w:w="4680"/>
          </w:tcPr>
          <w:p>
            <w:pPr>
              <w:spacing w:after="60"/>
            </w:pPr>
            <w:r>
              <w:rPr>
                <w:b w:val="false"/>
                <w:bCs w:val="false"/>
                <w:sz w:val="20"/>
                <w:szCs w:val="20"/>
              </w:rPr>
              <w:t xml:space="preserve">"the satellite detects rot in your ginger"</w:t>
            </w:r>
          </w:p>
        </w:tc>
        <w:tc>
          <w:tcPr>
            <w:tcW w:type="dxa" w:w="4680"/>
          </w:tcPr>
          <w:p>
            <w:pPr>
              <w:spacing w:after="60"/>
            </w:pPr>
            <w:r>
              <w:rPr>
                <w:b w:val="false"/>
                <w:bCs w:val="false"/>
                <w:sz w:val="20"/>
                <w:szCs w:val="20"/>
              </w:rPr>
              <w:t xml:space="preserve">the underground rhizome is invisible to every current satellite; canopy signal is late and shared with several other causes</w:t>
            </w:r>
          </w:p>
        </w:tc>
      </w:tr>
      <w:tr>
        <w:tc>
          <w:tcPr>
            <w:tcW w:type="dxa" w:w="4680"/>
          </w:tcPr>
          <w:p>
            <w:pPr>
              <w:spacing w:after="60"/>
            </w:pPr>
            <w:r>
              <w:rPr>
                <w:b w:val="false"/>
                <w:bCs w:val="false"/>
                <w:sz w:val="20"/>
                <w:szCs w:val="20"/>
              </w:rPr>
              <w:t xml:space="preserve">"NDVI tells you when to harvest"</w:t>
            </w:r>
          </w:p>
        </w:tc>
        <w:tc>
          <w:tcPr>
            <w:tcW w:type="dxa" w:w="4680"/>
          </w:tcPr>
          <w:p>
            <w:pPr>
              <w:spacing w:after="60"/>
            </w:pPr>
            <w:r>
              <w:rPr>
                <w:b w:val="false"/>
                <w:bCs w:val="false"/>
                <w:sz w:val="20"/>
                <w:szCs w:val="20"/>
              </w:rPr>
              <w:t xml:space="preserve">canopy senescence carries stage information but not maturity precision; harvest timing is a D09 rule with sub-node and DAP inputs</w:t>
            </w:r>
          </w:p>
        </w:tc>
      </w:tr>
      <w:tr>
        <w:tc>
          <w:tcPr>
            <w:tcW w:type="dxa" w:w="4680"/>
          </w:tcPr>
          <w:p>
            <w:pPr>
              <w:spacing w:after="60"/>
            </w:pPr>
            <w:r>
              <w:rPr>
                <w:b w:val="false"/>
                <w:bCs w:val="false"/>
                <w:sz w:val="20"/>
                <w:szCs w:val="20"/>
              </w:rPr>
              <w:t xml:space="preserve">"we predict your yield from space"</w:t>
            </w:r>
          </w:p>
        </w:tc>
        <w:tc>
          <w:tcPr>
            <w:tcW w:type="dxa" w:w="4680"/>
          </w:tcPr>
          <w:p>
            <w:pPr>
              <w:spacing w:after="60"/>
            </w:pPr>
            <w:r>
              <w:rPr>
                <w:b w:val="false"/>
                <w:bCs w:val="false"/>
                <w:sz w:val="20"/>
                <w:szCs w:val="20"/>
              </w:rPr>
              <w:t xml:space="preserve">Domain 12 already prohibits yield prediction; satellite-derived yield estimates are internal signals only, never a customer claim</w:t>
            </w:r>
          </w:p>
        </w:tc>
      </w:tr>
      <w:tr>
        <w:tc>
          <w:tcPr>
            <w:tcW w:type="dxa" w:w="4680"/>
          </w:tcPr>
          <w:p>
            <w:pPr>
              <w:spacing w:after="60"/>
            </w:pPr>
            <w:r>
              <w:rPr>
                <w:b w:val="false"/>
                <w:bCs w:val="false"/>
                <w:sz w:val="20"/>
                <w:szCs w:val="20"/>
              </w:rPr>
              <w:t xml:space="preserve">"our AI counts your ginger plants from orbit"</w:t>
            </w:r>
          </w:p>
        </w:tc>
        <w:tc>
          <w:tcPr>
            <w:tcW w:type="dxa" w:w="4680"/>
          </w:tcPr>
          <w:p>
            <w:pPr>
              <w:spacing w:after="60"/>
            </w:pPr>
            <w:r>
              <w:rPr>
                <w:b w:val="false"/>
                <w:bCs w:val="false"/>
                <w:sz w:val="20"/>
                <w:szCs w:val="20"/>
              </w:rPr>
              <w:t xml:space="preserve">plant-count from 10 m Sentinel-2 pixels is not physically possible; sub-metre imagery is prohibitively expensive per farmer</w:t>
            </w:r>
          </w:p>
        </w:tc>
      </w:tr>
      <w:tr>
        <w:tc>
          <w:tcPr>
            <w:tcW w:type="dxa" w:w="4680"/>
          </w:tcPr>
          <w:p>
            <w:pPr>
              <w:spacing w:after="60"/>
            </w:pPr>
            <w:r>
              <w:rPr>
                <w:b w:val="false"/>
                <w:bCs w:val="false"/>
                <w:sz w:val="20"/>
                <w:szCs w:val="20"/>
              </w:rPr>
              <w:t xml:space="preserve">"cloud is not a problem for us"</w:t>
            </w:r>
          </w:p>
        </w:tc>
        <w:tc>
          <w:tcPr>
            <w:tcW w:type="dxa" w:w="4680"/>
          </w:tcPr>
          <w:p>
            <w:pPr>
              <w:spacing w:after="60"/>
            </w:pPr>
            <w:r>
              <w:rPr>
                <w:b w:val="false"/>
                <w:bCs w:val="false"/>
                <w:sz w:val="20"/>
                <w:szCs w:val="20"/>
              </w:rPr>
              <w:t xml:space="preserve">cloud is a problem; SAR reduces but does not eliminate the gap; be honest</w:t>
            </w:r>
          </w:p>
        </w:tc>
      </w:tr>
      <w:tr>
        <w:tc>
          <w:tcPr>
            <w:tcW w:type="dxa" w:w="4680"/>
          </w:tcPr>
          <w:p>
            <w:pPr>
              <w:spacing w:after="60"/>
            </w:pPr>
            <w:r>
              <w:rPr>
                <w:b w:val="false"/>
                <w:bCs w:val="false"/>
                <w:sz w:val="20"/>
                <w:szCs w:val="20"/>
              </w:rPr>
              <w:t xml:space="preserve">"we replace your soil sensor with satellite"</w:t>
            </w:r>
          </w:p>
        </w:tc>
        <w:tc>
          <w:tcPr>
            <w:tcW w:type="dxa" w:w="4680"/>
          </w:tcPr>
          <w:p>
            <w:pPr>
              <w:spacing w:after="60"/>
            </w:pPr>
            <w:r>
              <w:rPr>
                <w:b w:val="false"/>
                <w:bCs w:val="false"/>
                <w:sz w:val="20"/>
                <w:szCs w:val="20"/>
              </w:rPr>
              <w:t xml:space="preserve">we do not, and we should not — cardinal principle Section 1.4</w:t>
            </w:r>
          </w:p>
        </w:tc>
      </w:tr>
      <w:tr>
        <w:tc>
          <w:tcPr>
            <w:tcW w:type="dxa" w:w="4680"/>
          </w:tcPr>
          <w:p>
            <w:pPr>
              <w:spacing w:after="60"/>
            </w:pPr>
            <w:r>
              <w:rPr>
                <w:b w:val="false"/>
                <w:bCs w:val="false"/>
                <w:sz w:val="20"/>
                <w:szCs w:val="20"/>
              </w:rPr>
              <w:t xml:space="preserve">"our satellite is always up-to-date"</w:t>
            </w:r>
          </w:p>
        </w:tc>
        <w:tc>
          <w:tcPr>
            <w:tcW w:type="dxa" w:w="4680"/>
          </w:tcPr>
          <w:p>
            <w:pPr>
              <w:spacing w:after="60"/>
            </w:pPr>
            <w:r>
              <w:rPr>
                <w:b w:val="false"/>
                <w:bCs w:val="false"/>
                <w:sz w:val="20"/>
                <w:szCs w:val="20"/>
              </w:rPr>
              <w:t xml:space="preserve">revisit is 5–20 days depending on cloud; freshness is variable and must be shown</w:t>
            </w:r>
          </w:p>
        </w:tc>
      </w:tr>
    </w:tbl>
    <w:p>
      <w:pPr>
        <w:spacing w:after="120"/>
      </w:pPr>
      <w:r>
        <w:t xml:space="preserve">These are candidates for the immutable core once the Phase-2 rules are written. The default is that every claim in this table becomes a D14-POS-* immutable rule mirroring the D12-POS-* pattern.</w:t>
      </w:r>
    </w:p>
    <w:p>
      <w:pPr>
        <w:pStyle w:val="Heading2"/>
        <w:spacing w:after="150" w:before="300"/>
      </w:pPr>
      <w:r>
        <w:rPr>
          <w:b/>
          <w:bCs/>
          <w:sz w:val="26"/>
          <w:szCs w:val="26"/>
        </w:rPr>
        <w:t xml:space="preserve">16.2 Known limitations — मर्यादा (कर्तव्यपूर्वक नोंदवलेल्या)</w:t>
      </w:r>
    </w:p>
    <w:p>
      <w:pPr>
        <w:pStyle w:val="ListParagraph"/>
        <w:numPr>
          <w:ilvl w:val="0"/>
          <w:numId w:val="1"/>
        </w:numPr>
        <w:spacing w:after="80"/>
      </w:pPr>
      <w:r>
        <w:t xml:space="preserve">The underground rhizome blind spot (Section 5) is fundamental and does not go away with better satellites; NISAR L-band SAR at some future date will help slightly, not solve it</w:t>
      </w:r>
    </w:p>
    <w:p>
      <w:pPr>
        <w:pStyle w:val="ListParagraph"/>
        <w:numPr>
          <w:ilvl w:val="0"/>
          <w:numId w:val="1"/>
        </w:numPr>
        <w:spacing w:after="80"/>
      </w:pPr>
      <w:r>
        <w:t xml:space="preserve">The Kannad NDVI baseline is not published; a season-1 log is required before regional-baseline anomaly rules can be sharp</w:t>
      </w:r>
    </w:p>
    <w:p>
      <w:pPr>
        <w:pStyle w:val="ListParagraph"/>
        <w:numPr>
          <w:ilvl w:val="0"/>
          <w:numId w:val="1"/>
        </w:numPr>
        <w:spacing w:after="80"/>
      </w:pPr>
      <w:r>
        <w:t xml:space="preserve">CWSI baselines are not published for Kannad ginger; Section 7 bands are literature-consensus estimates</w:t>
      </w:r>
    </w:p>
    <w:p>
      <w:pPr>
        <w:pStyle w:val="ListParagraph"/>
        <w:numPr>
          <w:ilvl w:val="0"/>
          <w:numId w:val="1"/>
        </w:numPr>
        <w:spacing w:after="80"/>
      </w:pPr>
      <w:r>
        <w:t xml:space="preserve">SAR moisture retrieval without local calibration gives only relative change, not absolute VWC</w:t>
      </w:r>
    </w:p>
    <w:p>
      <w:pPr>
        <w:pStyle w:val="ListParagraph"/>
        <w:numPr>
          <w:ilvl w:val="0"/>
          <w:numId w:val="1"/>
        </w:numPr>
        <w:spacing w:after="80"/>
      </w:pPr>
      <w:r>
        <w:t xml:space="preserve">Plot-polygon quality is variable and depends on farmer drawing; plots &lt; 0.25 acre give reduced-confidence advisory (Section 11)</w:t>
      </w:r>
    </w:p>
    <w:p>
      <w:pPr>
        <w:pStyle w:val="Heading2"/>
        <w:spacing w:after="150" w:before="300"/>
      </w:pPr>
      <w:r>
        <w:rPr>
          <w:b/>
          <w:bCs/>
          <w:sz w:val="26"/>
          <w:szCs w:val="26"/>
        </w:rPr>
        <w:t xml:space="preserve">16.3 Open items — खुले प्रश्न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1900"/>
        <w:gridCol w:w="1260"/>
      </w:tblGrid>
      <w:tr>
        <w:trPr>
          <w:tblHeader/>
        </w:trPr>
        <w:tc>
          <w:tcPr>
            <w:tcW w:type="dxa" w:w="1200"/>
            <w:shd w:fill="DCE6F1" w:color="auto" w:val="clear"/>
          </w:tcPr>
          <w:p>
            <w:pPr>
              <w:spacing w:after="60"/>
            </w:pPr>
            <w:r>
              <w:rPr>
                <w:b/>
                <w:bCs/>
                <w:sz w:val="20"/>
                <w:szCs w:val="20"/>
              </w:rPr>
              <w:t xml:space="preserve">ID</w:t>
            </w:r>
          </w:p>
        </w:tc>
        <w:tc>
          <w:tcPr>
            <w:tcW w:type="dxa" w:w="5000"/>
            <w:shd w:fill="DCE6F1" w:color="auto" w:val="clear"/>
          </w:tcPr>
          <w:p>
            <w:pPr>
              <w:spacing w:after="60"/>
            </w:pPr>
            <w:r>
              <w:rPr>
                <w:b/>
                <w:bCs/>
                <w:sz w:val="20"/>
                <w:szCs w:val="20"/>
              </w:rPr>
              <w:t xml:space="preserve">Item</w:t>
            </w:r>
          </w:p>
        </w:tc>
        <w:tc>
          <w:tcPr>
            <w:tcW w:type="dxa" w:w="1900"/>
            <w:shd w:fill="DCE6F1" w:color="auto" w:val="clear"/>
          </w:tcPr>
          <w:p>
            <w:pPr>
              <w:spacing w:after="60"/>
            </w:pPr>
            <w:r>
              <w:rPr>
                <w:b/>
                <w:bCs/>
                <w:sz w:val="20"/>
                <w:szCs w:val="20"/>
              </w:rPr>
              <w:t xml:space="preserve">Owner</w:t>
            </w:r>
          </w:p>
        </w:tc>
        <w:tc>
          <w:tcPr>
            <w:tcW w:type="dxa" w:w="1260"/>
            <w:shd w:fill="DCE6F1" w:color="auto" w:val="clear"/>
          </w:tcPr>
          <w:p>
            <w:pPr>
              <w:spacing w:after="60"/>
            </w:pPr>
            <w:r>
              <w:rPr>
                <w:b/>
                <w:bCs/>
                <w:sz w:val="20"/>
                <w:szCs w:val="20"/>
              </w:rPr>
              <w:t xml:space="preserve">Blocking?</w:t>
            </w:r>
          </w:p>
        </w:tc>
      </w:tr>
      <w:tr>
        <w:tc>
          <w:tcPr>
            <w:tcW w:type="dxa" w:w="1200"/>
          </w:tcPr>
          <w:p>
            <w:pPr>
              <w:spacing w:after="60"/>
            </w:pPr>
            <w:r>
              <w:rPr>
                <w:b w:val="false"/>
                <w:bCs w:val="false"/>
                <w:sz w:val="20"/>
                <w:szCs w:val="20"/>
              </w:rPr>
              <w:t xml:space="preserve">OI-14-01</w:t>
            </w:r>
          </w:p>
        </w:tc>
        <w:tc>
          <w:tcPr>
            <w:tcW w:type="dxa" w:w="5000"/>
          </w:tcPr>
          <w:p>
            <w:pPr>
              <w:spacing w:after="60"/>
            </w:pPr>
            <w:r>
              <w:rPr>
                <w:b w:val="false"/>
                <w:bCs w:val="false"/>
                <w:sz w:val="20"/>
                <w:szCs w:val="20"/>
              </w:rPr>
              <w:t xml:space="preserve">Publish or acquire a Kannad-region ginger NDVI baseline (season 1 log will produce this)</w:t>
            </w:r>
          </w:p>
        </w:tc>
        <w:tc>
          <w:tcPr>
            <w:tcW w:type="dxa" w:w="1900"/>
          </w:tcPr>
          <w:p>
            <w:pPr>
              <w:spacing w:after="60"/>
            </w:pPr>
            <w:r>
              <w:rPr>
                <w:b w:val="false"/>
                <w:bCs w:val="false"/>
                <w:sz w:val="20"/>
                <w:szCs w:val="20"/>
              </w:rPr>
              <w:t xml:space="preserve">season 1 field data</w:t>
            </w:r>
          </w:p>
        </w:tc>
        <w:tc>
          <w:tcPr>
            <w:tcW w:type="dxa" w:w="1260"/>
          </w:tcPr>
          <w:p>
            <w:pPr>
              <w:spacing w:after="60"/>
            </w:pPr>
            <w:r>
              <w:rPr>
                <w:b w:val="false"/>
                <w:bCs w:val="false"/>
                <w:sz w:val="20"/>
                <w:szCs w:val="20"/>
              </w:rPr>
              <w:t xml:space="preserve">no — regional model works meanwhile</w:t>
            </w:r>
          </w:p>
        </w:tc>
      </w:tr>
      <w:tr>
        <w:tc>
          <w:tcPr>
            <w:tcW w:type="dxa" w:w="1200"/>
          </w:tcPr>
          <w:p>
            <w:pPr>
              <w:spacing w:after="60"/>
            </w:pPr>
            <w:r>
              <w:rPr>
                <w:b w:val="false"/>
                <w:bCs w:val="false"/>
                <w:sz w:val="20"/>
                <w:szCs w:val="20"/>
              </w:rPr>
              <w:t xml:space="preserve">OI-14-02</w:t>
            </w:r>
          </w:p>
        </w:tc>
        <w:tc>
          <w:tcPr>
            <w:tcW w:type="dxa" w:w="5000"/>
          </w:tcPr>
          <w:p>
            <w:pPr>
              <w:spacing w:after="60"/>
            </w:pPr>
            <w:r>
              <w:rPr>
                <w:b w:val="false"/>
                <w:bCs w:val="false"/>
                <w:sz w:val="20"/>
                <w:szCs w:val="20"/>
              </w:rPr>
              <w:t xml:space="preserve">Confirm plot polygon capture workflow in the farmer app</w:t>
            </w:r>
          </w:p>
        </w:tc>
        <w:tc>
          <w:tcPr>
            <w:tcW w:type="dxa" w:w="1900"/>
          </w:tcPr>
          <w:p>
            <w:pPr>
              <w:spacing w:after="60"/>
            </w:pPr>
            <w:r>
              <w:rPr>
                <w:b w:val="false"/>
                <w:bCs w:val="false"/>
                <w:sz w:val="20"/>
                <w:szCs w:val="20"/>
              </w:rPr>
              <w:t xml:space="preserve">app team</w:t>
            </w:r>
          </w:p>
        </w:tc>
        <w:tc>
          <w:tcPr>
            <w:tcW w:type="dxa" w:w="1260"/>
          </w:tcPr>
          <w:p>
            <w:pPr>
              <w:spacing w:after="60"/>
            </w:pPr>
            <w:r>
              <w:rPr>
                <w:b w:val="false"/>
                <w:bCs w:val="false"/>
                <w:sz w:val="20"/>
                <w:szCs w:val="20"/>
              </w:rPr>
              <w:t xml:space="preserve">yes — no plot polygon means no D14 advisory</w:t>
            </w:r>
          </w:p>
        </w:tc>
      </w:tr>
      <w:tr>
        <w:tc>
          <w:tcPr>
            <w:tcW w:type="dxa" w:w="1200"/>
          </w:tcPr>
          <w:p>
            <w:pPr>
              <w:spacing w:after="60"/>
            </w:pPr>
            <w:r>
              <w:rPr>
                <w:b w:val="false"/>
                <w:bCs w:val="false"/>
                <w:sz w:val="20"/>
                <w:szCs w:val="20"/>
              </w:rPr>
              <w:t xml:space="preserve">OI-14-03</w:t>
            </w:r>
          </w:p>
        </w:tc>
        <w:tc>
          <w:tcPr>
            <w:tcW w:type="dxa" w:w="5000"/>
          </w:tcPr>
          <w:p>
            <w:pPr>
              <w:spacing w:after="60"/>
            </w:pPr>
            <w:r>
              <w:rPr>
                <w:b w:val="false"/>
                <w:bCs w:val="false"/>
                <w:sz w:val="20"/>
                <w:szCs w:val="20"/>
              </w:rPr>
              <w:t xml:space="preserve">Choose one primary processing platform between GEE and Sentinel Hub for production</w:t>
            </w:r>
          </w:p>
        </w:tc>
        <w:tc>
          <w:tcPr>
            <w:tcW w:type="dxa" w:w="1900"/>
          </w:tcPr>
          <w:p>
            <w:pPr>
              <w:spacing w:after="60"/>
            </w:pPr>
            <w:r>
              <w:rPr>
                <w:b w:val="false"/>
                <w:bCs w:val="false"/>
                <w:sz w:val="20"/>
                <w:szCs w:val="20"/>
              </w:rPr>
              <w:t xml:space="preserve">engineering</w:t>
            </w:r>
          </w:p>
        </w:tc>
        <w:tc>
          <w:tcPr>
            <w:tcW w:type="dxa" w:w="1260"/>
          </w:tcPr>
          <w:p>
            <w:pPr>
              <w:spacing w:after="60"/>
            </w:pPr>
            <w:r>
              <w:rPr>
                <w:b w:val="false"/>
                <w:bCs w:val="false"/>
                <w:sz w:val="20"/>
                <w:szCs w:val="20"/>
              </w:rPr>
              <w:t xml:space="preserve">no — either works for pilot</w:t>
            </w:r>
          </w:p>
        </w:tc>
      </w:tr>
      <w:tr>
        <w:tc>
          <w:tcPr>
            <w:tcW w:type="dxa" w:w="1200"/>
          </w:tcPr>
          <w:p>
            <w:pPr>
              <w:spacing w:after="60"/>
            </w:pPr>
            <w:r>
              <w:rPr>
                <w:b w:val="false"/>
                <w:bCs w:val="false"/>
                <w:sz w:val="20"/>
                <w:szCs w:val="20"/>
              </w:rPr>
              <w:t xml:space="preserve">OI-14-04</w:t>
            </w:r>
          </w:p>
        </w:tc>
        <w:tc>
          <w:tcPr>
            <w:tcW w:type="dxa" w:w="5000"/>
          </w:tcPr>
          <w:p>
            <w:pPr>
              <w:spacing w:after="60"/>
            </w:pPr>
            <w:r>
              <w:rPr>
                <w:b w:val="false"/>
                <w:bCs w:val="false"/>
                <w:sz w:val="20"/>
                <w:szCs w:val="20"/>
              </w:rPr>
              <w:t xml:space="preserve">Publish the D14 prohibited-claim list into D12-POS-* immutable rules</w:t>
            </w:r>
          </w:p>
        </w:tc>
        <w:tc>
          <w:tcPr>
            <w:tcW w:type="dxa" w:w="1900"/>
          </w:tcPr>
          <w:p>
            <w:pPr>
              <w:spacing w:after="60"/>
            </w:pPr>
            <w:r>
              <w:rPr>
                <w:b w:val="false"/>
                <w:bCs w:val="false"/>
                <w:sz w:val="20"/>
                <w:szCs w:val="20"/>
              </w:rPr>
              <w:t xml:space="preserve">kb author, Phase 2</w:t>
            </w:r>
          </w:p>
        </w:tc>
        <w:tc>
          <w:tcPr>
            <w:tcW w:type="dxa" w:w="1260"/>
          </w:tcPr>
          <w:p>
            <w:pPr>
              <w:spacing w:after="60"/>
            </w:pPr>
            <w:r>
              <w:rPr>
                <w:b w:val="false"/>
                <w:bCs w:val="false"/>
                <w:sz w:val="20"/>
                <w:szCs w:val="20"/>
              </w:rPr>
              <w:t xml:space="preserve">yes for launch</w:t>
            </w:r>
          </w:p>
        </w:tc>
      </w:tr>
      <w:tr>
        <w:tc>
          <w:tcPr>
            <w:tcW w:type="dxa" w:w="1200"/>
          </w:tcPr>
          <w:p>
            <w:pPr>
              <w:spacing w:after="60"/>
            </w:pPr>
            <w:r>
              <w:rPr>
                <w:b w:val="false"/>
                <w:bCs w:val="false"/>
                <w:sz w:val="20"/>
                <w:szCs w:val="20"/>
              </w:rPr>
              <w:t xml:space="preserve">OI-14-05</w:t>
            </w:r>
          </w:p>
        </w:tc>
        <w:tc>
          <w:tcPr>
            <w:tcW w:type="dxa" w:w="5000"/>
          </w:tcPr>
          <w:p>
            <w:pPr>
              <w:spacing w:after="60"/>
            </w:pPr>
            <w:r>
              <w:rPr>
                <w:b w:val="false"/>
                <w:bCs w:val="false"/>
                <w:sz w:val="20"/>
                <w:szCs w:val="20"/>
              </w:rPr>
              <w:t xml:space="preserve">Land calibrated CWSI thresholds against Kannad ginger stress observations</w:t>
            </w:r>
          </w:p>
        </w:tc>
        <w:tc>
          <w:tcPr>
            <w:tcW w:type="dxa" w:w="1900"/>
          </w:tcPr>
          <w:p>
            <w:pPr>
              <w:spacing w:after="60"/>
            </w:pPr>
            <w:r>
              <w:rPr>
                <w:b w:val="false"/>
                <w:bCs w:val="false"/>
                <w:sz w:val="20"/>
                <w:szCs w:val="20"/>
              </w:rPr>
              <w:t xml:space="preserve">season 1 field data</w:t>
            </w:r>
          </w:p>
        </w:tc>
        <w:tc>
          <w:tcPr>
            <w:tcW w:type="dxa" w:w="1260"/>
          </w:tcPr>
          <w:p>
            <w:pPr>
              <w:spacing w:after="60"/>
            </w:pPr>
            <w:r>
              <w:rPr>
                <w:b w:val="false"/>
                <w:bCs w:val="false"/>
                <w:sz w:val="20"/>
                <w:szCs w:val="20"/>
              </w:rPr>
              <w:t xml:space="preserve">no — literature bands used meanwhile</w:t>
            </w:r>
          </w:p>
        </w:tc>
      </w:tr>
      <w:tr>
        <w:tc>
          <w:tcPr>
            <w:tcW w:type="dxa" w:w="1200"/>
          </w:tcPr>
          <w:p>
            <w:pPr>
              <w:spacing w:after="60"/>
            </w:pPr>
            <w:r>
              <w:rPr>
                <w:b w:val="false"/>
                <w:bCs w:val="false"/>
                <w:sz w:val="20"/>
                <w:szCs w:val="20"/>
              </w:rPr>
              <w:t xml:space="preserve">OI-14-06</w:t>
            </w:r>
          </w:p>
        </w:tc>
        <w:tc>
          <w:tcPr>
            <w:tcW w:type="dxa" w:w="5000"/>
          </w:tcPr>
          <w:p>
            <w:pPr>
              <w:spacing w:after="60"/>
            </w:pPr>
            <w:r>
              <w:rPr>
                <w:b w:val="false"/>
                <w:bCs w:val="false"/>
                <w:sz w:val="20"/>
                <w:szCs w:val="20"/>
              </w:rPr>
              <w:t xml:space="preserve">Register with Copernicus Data Space and confirm quota fits a 10-cluster pilot</w:t>
            </w:r>
          </w:p>
        </w:tc>
        <w:tc>
          <w:tcPr>
            <w:tcW w:type="dxa" w:w="1900"/>
          </w:tcPr>
          <w:p>
            <w:pPr>
              <w:spacing w:after="60"/>
            </w:pPr>
            <w:r>
              <w:rPr>
                <w:b w:val="false"/>
                <w:bCs w:val="false"/>
                <w:sz w:val="20"/>
                <w:szCs w:val="20"/>
              </w:rPr>
              <w:t xml:space="preserve">operations</w:t>
            </w:r>
          </w:p>
        </w:tc>
        <w:tc>
          <w:tcPr>
            <w:tcW w:type="dxa" w:w="1260"/>
          </w:tcPr>
          <w:p>
            <w:pPr>
              <w:spacing w:after="60"/>
            </w:pPr>
            <w:r>
              <w:rPr>
                <w:b w:val="false"/>
                <w:bCs w:val="false"/>
                <w:sz w:val="20"/>
                <w:szCs w:val="20"/>
              </w:rPr>
              <w:t xml:space="preserve">no</w:t>
            </w:r>
          </w:p>
        </w:tc>
      </w:tr>
      <w:tr>
        <w:tc>
          <w:tcPr>
            <w:tcW w:type="dxa" w:w="1200"/>
          </w:tcPr>
          <w:p>
            <w:pPr>
              <w:spacing w:after="60"/>
            </w:pPr>
            <w:r>
              <w:rPr>
                <w:b w:val="false"/>
                <w:bCs w:val="false"/>
                <w:sz w:val="20"/>
                <w:szCs w:val="20"/>
              </w:rPr>
              <w:t xml:space="preserve">OI-14-07</w:t>
            </w:r>
          </w:p>
        </w:tc>
        <w:tc>
          <w:tcPr>
            <w:tcW w:type="dxa" w:w="5000"/>
          </w:tcPr>
          <w:p>
            <w:pPr>
              <w:spacing w:after="60"/>
            </w:pPr>
            <w:r>
              <w:rPr>
                <w:b w:val="false"/>
                <w:bCs w:val="false"/>
                <w:sz w:val="20"/>
                <w:szCs w:val="20"/>
              </w:rPr>
              <w:t xml:space="preserve">Assess FASAL / CHAMAN horticulture products for ginger coverage</w:t>
            </w:r>
          </w:p>
        </w:tc>
        <w:tc>
          <w:tcPr>
            <w:tcW w:type="dxa" w:w="1900"/>
          </w:tcPr>
          <w:p>
            <w:pPr>
              <w:spacing w:after="60"/>
            </w:pPr>
            <w:r>
              <w:rPr>
                <w:b w:val="false"/>
                <w:bCs w:val="false"/>
                <w:sz w:val="20"/>
                <w:szCs w:val="20"/>
              </w:rPr>
              <w:t xml:space="preserve">kb author</w:t>
            </w:r>
          </w:p>
        </w:tc>
        <w:tc>
          <w:tcPr>
            <w:tcW w:type="dxa" w:w="1260"/>
          </w:tcPr>
          <w:p>
            <w:pPr>
              <w:spacing w:after="60"/>
            </w:pPr>
            <w:r>
              <w:rPr>
                <w:b w:val="false"/>
                <w:bCs w:val="false"/>
                <w:sz w:val="20"/>
                <w:szCs w:val="20"/>
              </w:rPr>
              <w:t xml:space="preserve">no</w:t>
            </w:r>
          </w:p>
        </w:tc>
      </w:tr>
      <w:tr>
        <w:tc>
          <w:tcPr>
            <w:tcW w:type="dxa" w:w="1200"/>
          </w:tcPr>
          <w:p>
            <w:pPr>
              <w:spacing w:after="60"/>
            </w:pPr>
            <w:r>
              <w:rPr>
                <w:b w:val="false"/>
                <w:bCs w:val="false"/>
                <w:sz w:val="20"/>
                <w:szCs w:val="20"/>
              </w:rPr>
              <w:t xml:space="preserve">OI-14-08</w:t>
            </w:r>
          </w:p>
        </w:tc>
        <w:tc>
          <w:tcPr>
            <w:tcW w:type="dxa" w:w="5000"/>
          </w:tcPr>
          <w:p>
            <w:pPr>
              <w:spacing w:after="60"/>
            </w:pPr>
            <w:r>
              <w:rPr>
                <w:b w:val="false"/>
                <w:bCs w:val="false"/>
                <w:sz w:val="20"/>
                <w:szCs w:val="20"/>
              </w:rPr>
              <w:t xml:space="preserve">Verify DPDP consent covers satellite-derived plot advisory</w:t>
            </w:r>
          </w:p>
        </w:tc>
        <w:tc>
          <w:tcPr>
            <w:tcW w:type="dxa" w:w="1900"/>
          </w:tcPr>
          <w:p>
            <w:pPr>
              <w:spacing w:after="60"/>
            </w:pPr>
            <w:r>
              <w:rPr>
                <w:b w:val="false"/>
                <w:bCs w:val="false"/>
                <w:sz w:val="20"/>
                <w:szCs w:val="20"/>
              </w:rPr>
              <w:t xml:space="preserve">legal</w:t>
            </w:r>
          </w:p>
        </w:tc>
        <w:tc>
          <w:tcPr>
            <w:tcW w:type="dxa" w:w="1260"/>
          </w:tcPr>
          <w:p>
            <w:pPr>
              <w:spacing w:after="60"/>
            </w:pPr>
            <w:r>
              <w:rPr>
                <w:b w:val="false"/>
                <w:bCs w:val="false"/>
                <w:sz w:val="20"/>
                <w:szCs w:val="20"/>
              </w:rPr>
              <w:t xml:space="preserve">yes for launch</w:t>
            </w:r>
          </w:p>
        </w:tc>
      </w:tr>
      <w:tr>
        <w:tc>
          <w:tcPr>
            <w:tcW w:type="dxa" w:w="1200"/>
          </w:tcPr>
          <w:p>
            <w:pPr>
              <w:spacing w:after="60"/>
            </w:pPr>
            <w:r>
              <w:rPr>
                <w:b w:val="false"/>
                <w:bCs w:val="false"/>
                <w:sz w:val="20"/>
                <w:szCs w:val="20"/>
              </w:rPr>
              <w:t xml:space="preserve">OI-14-09</w:t>
            </w:r>
          </w:p>
        </w:tc>
        <w:tc>
          <w:tcPr>
            <w:tcW w:type="dxa" w:w="5000"/>
          </w:tcPr>
          <w:p>
            <w:pPr>
              <w:spacing w:after="60"/>
            </w:pPr>
            <w:r>
              <w:rPr>
                <w:b w:val="false"/>
                <w:bCs w:val="false"/>
                <w:sz w:val="20"/>
                <w:szCs w:val="20"/>
              </w:rPr>
              <w:t xml:space="preserve">Coordinate with VNMKV Parbhani for phenology validation</w:t>
            </w:r>
          </w:p>
        </w:tc>
        <w:tc>
          <w:tcPr>
            <w:tcW w:type="dxa" w:w="1900"/>
          </w:tcPr>
          <w:p>
            <w:pPr>
              <w:spacing w:after="60"/>
            </w:pPr>
            <w:r>
              <w:rPr>
                <w:b w:val="false"/>
                <w:bCs w:val="false"/>
                <w:sz w:val="20"/>
                <w:szCs w:val="20"/>
              </w:rPr>
              <w:t xml:space="preserve">kb author</w:t>
            </w:r>
          </w:p>
        </w:tc>
        <w:tc>
          <w:tcPr>
            <w:tcW w:type="dxa" w:w="1260"/>
          </w:tcPr>
          <w:p>
            <w:pPr>
              <w:spacing w:after="60"/>
            </w:pPr>
            <w:r>
              <w:rPr>
                <w:b w:val="false"/>
                <w:bCs w:val="false"/>
                <w:sz w:val="20"/>
                <w:szCs w:val="20"/>
              </w:rPr>
              <w:t xml:space="preserve">no</w:t>
            </w:r>
          </w:p>
        </w:tc>
      </w:tr>
      <w:tr>
        <w:tc>
          <w:tcPr>
            <w:tcW w:type="dxa" w:w="1200"/>
          </w:tcPr>
          <w:p>
            <w:pPr>
              <w:spacing w:after="60"/>
            </w:pPr>
            <w:r>
              <w:rPr>
                <w:b w:val="false"/>
                <w:bCs w:val="false"/>
                <w:sz w:val="20"/>
                <w:szCs w:val="20"/>
              </w:rPr>
              <w:t xml:space="preserve">OI-14-10</w:t>
            </w:r>
          </w:p>
        </w:tc>
        <w:tc>
          <w:tcPr>
            <w:tcW w:type="dxa" w:w="5000"/>
          </w:tcPr>
          <w:p>
            <w:pPr>
              <w:spacing w:after="60"/>
            </w:pPr>
            <w:r>
              <w:rPr>
                <w:b w:val="false"/>
                <w:bCs w:val="false"/>
                <w:sz w:val="20"/>
                <w:szCs w:val="20"/>
              </w:rPr>
              <w:t xml:space="preserve">Reconcile satellite-derived rainfall (GPM IMERG) with D07 rainfall — assign to D07 or here</w:t>
            </w:r>
          </w:p>
        </w:tc>
        <w:tc>
          <w:tcPr>
            <w:tcW w:type="dxa" w:w="1900"/>
          </w:tcPr>
          <w:p>
            <w:pPr>
              <w:spacing w:after="60"/>
            </w:pPr>
            <w:r>
              <w:rPr>
                <w:b w:val="false"/>
                <w:bCs w:val="false"/>
                <w:sz w:val="20"/>
                <w:szCs w:val="20"/>
              </w:rPr>
              <w:t xml:space="preserve">kb author</w:t>
            </w:r>
          </w:p>
        </w:tc>
        <w:tc>
          <w:tcPr>
            <w:tcW w:type="dxa" w:w="1260"/>
          </w:tcPr>
          <w:p>
            <w:pPr>
              <w:spacing w:after="60"/>
            </w:pPr>
            <w:r>
              <w:rPr>
                <w:b w:val="false"/>
                <w:bCs w:val="false"/>
                <w:sz w:val="20"/>
                <w:szCs w:val="20"/>
              </w:rPr>
              <w:t xml:space="preserve">no</w:t>
            </w:r>
          </w:p>
        </w:tc>
      </w:tr>
    </w:tbl>
    <w:p>
      <w:pPr>
        <w:pStyle w:val="Heading2"/>
        <w:spacing w:after="150" w:before="300"/>
      </w:pPr>
      <w:r>
        <w:rPr>
          <w:b/>
          <w:bCs/>
          <w:sz w:val="26"/>
          <w:szCs w:val="26"/>
        </w:rPr>
        <w:t xml:space="preserve">16.4 What the Phase-2 JSON rule set will contain — Phase 2 मध्ये काय येईल</w:t>
      </w:r>
    </w:p>
    <w:p>
      <w:pPr>
        <w:spacing w:after="120"/>
      </w:pPr>
      <w:r>
        <w:t xml:space="preserve">The Phase-2 pass turns this document into a JSON rule set following the same anatomy as D07: category, priority, severity, stage, trigger.english/marathi/expr, action, reasoning, cross_domain_dependencies, farm_brain_schema, u_value, recoverability, source_class, kannad_note, decision_type, delivery, immutable. Category codes planned: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shd w:fill="DCE6F1" w:color="auto" w:val="clear"/>
          </w:tcPr>
          <w:p>
            <w:pPr>
              <w:spacing w:after="60"/>
            </w:pPr>
            <w:r>
              <w:rPr>
                <w:b/>
                <w:bCs/>
                <w:sz w:val="20"/>
                <w:szCs w:val="20"/>
              </w:rPr>
              <w:t xml:space="preserve">Category</w:t>
            </w:r>
          </w:p>
        </w:tc>
        <w:tc>
          <w:tcPr>
            <w:tcW w:type="dxa" w:w="3510"/>
            <w:shd w:fill="DCE6F1" w:color="auto" w:val="clear"/>
          </w:tcPr>
          <w:p>
            <w:pPr>
              <w:spacing w:after="60"/>
            </w:pPr>
            <w:r>
              <w:rPr>
                <w:b/>
                <w:bCs/>
                <w:sz w:val="20"/>
                <w:szCs w:val="20"/>
              </w:rPr>
              <w:t xml:space="preserve">Meaning</w:t>
            </w:r>
          </w:p>
        </w:tc>
        <w:tc>
          <w:tcPr>
            <w:tcW w:type="dxa" w:w="3510"/>
            <w:shd w:fill="DCE6F1" w:color="auto" w:val="clear"/>
          </w:tcPr>
          <w:p>
            <w:pPr>
              <w:spacing w:after="60"/>
            </w:pPr>
            <w:r>
              <w:rPr>
                <w:b/>
                <w:bCs/>
                <w:sz w:val="20"/>
                <w:szCs w:val="20"/>
              </w:rPr>
              <w:t xml:space="preserve">Rough rule count</w:t>
            </w:r>
          </w:p>
        </w:tc>
      </w:tr>
      <w:tr>
        <w:tc>
          <w:tcPr>
            <w:tcW w:type="dxa" w:w="2340"/>
          </w:tcPr>
          <w:p>
            <w:pPr>
              <w:spacing w:after="60"/>
            </w:pPr>
            <w:r>
              <w:rPr>
                <w:b w:val="false"/>
                <w:bCs w:val="false"/>
                <w:sz w:val="20"/>
                <w:szCs w:val="20"/>
              </w:rPr>
              <w:t xml:space="preserve">NV</w:t>
            </w:r>
          </w:p>
        </w:tc>
        <w:tc>
          <w:tcPr>
            <w:tcW w:type="dxa" w:w="3510"/>
          </w:tcPr>
          <w:p>
            <w:pPr>
              <w:spacing w:after="60"/>
            </w:pPr>
            <w:r>
              <w:rPr>
                <w:b w:val="false"/>
                <w:bCs w:val="false"/>
                <w:sz w:val="20"/>
                <w:szCs w:val="20"/>
              </w:rPr>
              <w:t xml:space="preserve">NDVI / vegetation index rules</w:t>
            </w:r>
          </w:p>
        </w:tc>
        <w:tc>
          <w:tcPr>
            <w:tcW w:type="dxa" w:w="3510"/>
          </w:tcPr>
          <w:p>
            <w:pPr>
              <w:spacing w:after="60"/>
            </w:pPr>
            <w:r>
              <w:rPr>
                <w:b w:val="false"/>
                <w:bCs w:val="false"/>
                <w:sz w:val="20"/>
                <w:szCs w:val="20"/>
              </w:rPr>
              <w:t xml:space="preserve">6–8</w:t>
            </w:r>
          </w:p>
        </w:tc>
      </w:tr>
      <w:tr>
        <w:tc>
          <w:tcPr>
            <w:tcW w:type="dxa" w:w="2340"/>
          </w:tcPr>
          <w:p>
            <w:pPr>
              <w:spacing w:after="60"/>
            </w:pPr>
            <w:r>
              <w:rPr>
                <w:b w:val="false"/>
                <w:bCs w:val="false"/>
                <w:sz w:val="20"/>
                <w:szCs w:val="20"/>
              </w:rPr>
              <w:t xml:space="preserve">NR</w:t>
            </w:r>
          </w:p>
        </w:tc>
        <w:tc>
          <w:tcPr>
            <w:tcW w:type="dxa" w:w="3510"/>
          </w:tcPr>
          <w:p>
            <w:pPr>
              <w:spacing w:after="60"/>
            </w:pPr>
            <w:r>
              <w:rPr>
                <w:b w:val="false"/>
                <w:bCs w:val="false"/>
                <w:sz w:val="20"/>
                <w:szCs w:val="20"/>
              </w:rPr>
              <w:t xml:space="preserve">NDRE / red-edge rules</w:t>
            </w:r>
          </w:p>
        </w:tc>
        <w:tc>
          <w:tcPr>
            <w:tcW w:type="dxa" w:w="3510"/>
          </w:tcPr>
          <w:p>
            <w:pPr>
              <w:spacing w:after="60"/>
            </w:pPr>
            <w:r>
              <w:rPr>
                <w:b w:val="false"/>
                <w:bCs w:val="false"/>
                <w:sz w:val="20"/>
                <w:szCs w:val="20"/>
              </w:rPr>
              <w:t xml:space="preserve">3–4</w:t>
            </w:r>
          </w:p>
        </w:tc>
      </w:tr>
      <w:tr>
        <w:tc>
          <w:tcPr>
            <w:tcW w:type="dxa" w:w="2340"/>
          </w:tcPr>
          <w:p>
            <w:pPr>
              <w:spacing w:after="60"/>
            </w:pPr>
            <w:r>
              <w:rPr>
                <w:b w:val="false"/>
                <w:bCs w:val="false"/>
                <w:sz w:val="20"/>
                <w:szCs w:val="20"/>
              </w:rPr>
              <w:t xml:space="preserve">NM</w:t>
            </w:r>
          </w:p>
        </w:tc>
        <w:tc>
          <w:tcPr>
            <w:tcW w:type="dxa" w:w="3510"/>
          </w:tcPr>
          <w:p>
            <w:pPr>
              <w:spacing w:after="60"/>
            </w:pPr>
            <w:r>
              <w:rPr>
                <w:b w:val="false"/>
                <w:bCs w:val="false"/>
                <w:sz w:val="20"/>
                <w:szCs w:val="20"/>
              </w:rPr>
              <w:t xml:space="preserve">NDMI / canopy moisture rules</w:t>
            </w:r>
          </w:p>
        </w:tc>
        <w:tc>
          <w:tcPr>
            <w:tcW w:type="dxa" w:w="3510"/>
          </w:tcPr>
          <w:p>
            <w:pPr>
              <w:spacing w:after="60"/>
            </w:pPr>
            <w:r>
              <w:rPr>
                <w:b w:val="false"/>
                <w:bCs w:val="false"/>
                <w:sz w:val="20"/>
                <w:szCs w:val="20"/>
              </w:rPr>
              <w:t xml:space="preserve">2–3</w:t>
            </w:r>
          </w:p>
        </w:tc>
      </w:tr>
      <w:tr>
        <w:tc>
          <w:tcPr>
            <w:tcW w:type="dxa" w:w="2340"/>
          </w:tcPr>
          <w:p>
            <w:pPr>
              <w:spacing w:after="60"/>
            </w:pPr>
            <w:r>
              <w:rPr>
                <w:b w:val="false"/>
                <w:bCs w:val="false"/>
                <w:sz w:val="20"/>
                <w:szCs w:val="20"/>
              </w:rPr>
              <w:t xml:space="preserve">SR</w:t>
            </w:r>
          </w:p>
        </w:tc>
        <w:tc>
          <w:tcPr>
            <w:tcW w:type="dxa" w:w="3510"/>
          </w:tcPr>
          <w:p>
            <w:pPr>
              <w:spacing w:after="60"/>
            </w:pPr>
            <w:r>
              <w:rPr>
                <w:b w:val="false"/>
                <w:bCs w:val="false"/>
                <w:sz w:val="20"/>
                <w:szCs w:val="20"/>
              </w:rPr>
              <w:t xml:space="preserve">SAR rules (VV, VH, RVI, coherence)</w:t>
            </w:r>
          </w:p>
        </w:tc>
        <w:tc>
          <w:tcPr>
            <w:tcW w:type="dxa" w:w="3510"/>
          </w:tcPr>
          <w:p>
            <w:pPr>
              <w:spacing w:after="60"/>
            </w:pPr>
            <w:r>
              <w:rPr>
                <w:b w:val="false"/>
                <w:bCs w:val="false"/>
                <w:sz w:val="20"/>
                <w:szCs w:val="20"/>
              </w:rPr>
              <w:t xml:space="preserve">4–6</w:t>
            </w:r>
          </w:p>
        </w:tc>
      </w:tr>
      <w:tr>
        <w:tc>
          <w:tcPr>
            <w:tcW w:type="dxa" w:w="2340"/>
          </w:tcPr>
          <w:p>
            <w:pPr>
              <w:spacing w:after="60"/>
            </w:pPr>
            <w:r>
              <w:rPr>
                <w:b w:val="false"/>
                <w:bCs w:val="false"/>
                <w:sz w:val="20"/>
                <w:szCs w:val="20"/>
              </w:rPr>
              <w:t xml:space="preserve">LT</w:t>
            </w:r>
          </w:p>
        </w:tc>
        <w:tc>
          <w:tcPr>
            <w:tcW w:type="dxa" w:w="3510"/>
          </w:tcPr>
          <w:p>
            <w:pPr>
              <w:spacing w:after="60"/>
            </w:pPr>
            <w:r>
              <w:rPr>
                <w:b w:val="false"/>
                <w:bCs w:val="false"/>
                <w:sz w:val="20"/>
                <w:szCs w:val="20"/>
              </w:rPr>
              <w:t xml:space="preserve">Land Surface Temperature and CWSI rules</w:t>
            </w:r>
          </w:p>
        </w:tc>
        <w:tc>
          <w:tcPr>
            <w:tcW w:type="dxa" w:w="3510"/>
          </w:tcPr>
          <w:p>
            <w:pPr>
              <w:spacing w:after="60"/>
            </w:pPr>
            <w:r>
              <w:rPr>
                <w:b w:val="false"/>
                <w:bCs w:val="false"/>
                <w:sz w:val="20"/>
                <w:szCs w:val="20"/>
              </w:rPr>
              <w:t xml:space="preserve">3–4</w:t>
            </w:r>
          </w:p>
        </w:tc>
      </w:tr>
      <w:tr>
        <w:tc>
          <w:tcPr>
            <w:tcW w:type="dxa" w:w="2340"/>
          </w:tcPr>
          <w:p>
            <w:pPr>
              <w:spacing w:after="60"/>
            </w:pPr>
            <w:r>
              <w:rPr>
                <w:b w:val="false"/>
                <w:bCs w:val="false"/>
                <w:sz w:val="20"/>
                <w:szCs w:val="20"/>
              </w:rPr>
              <w:t xml:space="preserve">PH</w:t>
            </w:r>
          </w:p>
        </w:tc>
        <w:tc>
          <w:tcPr>
            <w:tcW w:type="dxa" w:w="3510"/>
          </w:tcPr>
          <w:p>
            <w:pPr>
              <w:spacing w:after="60"/>
            </w:pPr>
            <w:r>
              <w:rPr>
                <w:b w:val="false"/>
                <w:bCs w:val="false"/>
                <w:sz w:val="20"/>
                <w:szCs w:val="20"/>
              </w:rPr>
              <w:t xml:space="preserve">Phenology and stage-detection rules</w:t>
            </w:r>
          </w:p>
        </w:tc>
        <w:tc>
          <w:tcPr>
            <w:tcW w:type="dxa" w:w="3510"/>
          </w:tcPr>
          <w:p>
            <w:pPr>
              <w:spacing w:after="60"/>
            </w:pPr>
            <w:r>
              <w:rPr>
                <w:b w:val="false"/>
                <w:bCs w:val="false"/>
                <w:sz w:val="20"/>
                <w:szCs w:val="20"/>
              </w:rPr>
              <w:t xml:space="preserve">4–5</w:t>
            </w:r>
          </w:p>
        </w:tc>
      </w:tr>
      <w:tr>
        <w:tc>
          <w:tcPr>
            <w:tcW w:type="dxa" w:w="2340"/>
          </w:tcPr>
          <w:p>
            <w:pPr>
              <w:spacing w:after="60"/>
            </w:pPr>
            <w:r>
              <w:rPr>
                <w:b w:val="false"/>
                <w:bCs w:val="false"/>
                <w:sz w:val="20"/>
                <w:szCs w:val="20"/>
              </w:rPr>
              <w:t xml:space="preserve">AN</w:t>
            </w:r>
          </w:p>
        </w:tc>
        <w:tc>
          <w:tcPr>
            <w:tcW w:type="dxa" w:w="3510"/>
          </w:tcPr>
          <w:p>
            <w:pPr>
              <w:spacing w:after="60"/>
            </w:pPr>
            <w:r>
              <w:rPr>
                <w:b w:val="false"/>
                <w:bCs w:val="false"/>
                <w:sz w:val="20"/>
                <w:szCs w:val="20"/>
              </w:rPr>
              <w:t xml:space="preserve">Anomaly and baseline rules</w:t>
            </w:r>
          </w:p>
        </w:tc>
        <w:tc>
          <w:tcPr>
            <w:tcW w:type="dxa" w:w="3510"/>
          </w:tcPr>
          <w:p>
            <w:pPr>
              <w:spacing w:after="60"/>
            </w:pPr>
            <w:r>
              <w:rPr>
                <w:b w:val="false"/>
                <w:bCs w:val="false"/>
                <w:sz w:val="20"/>
                <w:szCs w:val="20"/>
              </w:rPr>
              <w:t xml:space="preserve">5–7</w:t>
            </w:r>
          </w:p>
        </w:tc>
      </w:tr>
      <w:tr>
        <w:tc>
          <w:tcPr>
            <w:tcW w:type="dxa" w:w="2340"/>
          </w:tcPr>
          <w:p>
            <w:pPr>
              <w:spacing w:after="60"/>
            </w:pPr>
            <w:r>
              <w:rPr>
                <w:b w:val="false"/>
                <w:bCs w:val="false"/>
                <w:sz w:val="20"/>
                <w:szCs w:val="20"/>
              </w:rPr>
              <w:t xml:space="preserve">FU</w:t>
            </w:r>
          </w:p>
        </w:tc>
        <w:tc>
          <w:tcPr>
            <w:tcW w:type="dxa" w:w="3510"/>
          </w:tcPr>
          <w:p>
            <w:pPr>
              <w:spacing w:after="60"/>
            </w:pPr>
            <w:r>
              <w:rPr>
                <w:b w:val="false"/>
                <w:bCs w:val="false"/>
                <w:sz w:val="20"/>
                <w:szCs w:val="20"/>
              </w:rPr>
              <w:t xml:space="preserve">Fusion and conflict-resolution rules</w:t>
            </w:r>
          </w:p>
        </w:tc>
        <w:tc>
          <w:tcPr>
            <w:tcW w:type="dxa" w:w="3510"/>
          </w:tcPr>
          <w:p>
            <w:pPr>
              <w:spacing w:after="60"/>
            </w:pPr>
            <w:r>
              <w:rPr>
                <w:b w:val="false"/>
                <w:bCs w:val="false"/>
                <w:sz w:val="20"/>
                <w:szCs w:val="20"/>
              </w:rPr>
              <w:t xml:space="preserve">5–7</w:t>
            </w:r>
          </w:p>
        </w:tc>
      </w:tr>
      <w:tr>
        <w:tc>
          <w:tcPr>
            <w:tcW w:type="dxa" w:w="2340"/>
          </w:tcPr>
          <w:p>
            <w:pPr>
              <w:spacing w:after="60"/>
            </w:pPr>
            <w:r>
              <w:rPr>
                <w:b w:val="false"/>
                <w:bCs w:val="false"/>
                <w:sz w:val="20"/>
                <w:szCs w:val="20"/>
              </w:rPr>
              <w:t xml:space="preserve">PL</w:t>
            </w:r>
          </w:p>
        </w:tc>
        <w:tc>
          <w:tcPr>
            <w:tcW w:type="dxa" w:w="3510"/>
          </w:tcPr>
          <w:p>
            <w:pPr>
              <w:spacing w:after="60"/>
            </w:pPr>
            <w:r>
              <w:rPr>
                <w:b w:val="false"/>
                <w:bCs w:val="false"/>
                <w:sz w:val="20"/>
                <w:szCs w:val="20"/>
              </w:rPr>
              <w:t xml:space="preserve">Pipeline and freshness guard rules</w:t>
            </w:r>
          </w:p>
        </w:tc>
        <w:tc>
          <w:tcPr>
            <w:tcW w:type="dxa" w:w="3510"/>
          </w:tcPr>
          <w:p>
            <w:pPr>
              <w:spacing w:after="60"/>
            </w:pPr>
            <w:r>
              <w:rPr>
                <w:b w:val="false"/>
                <w:bCs w:val="false"/>
                <w:sz w:val="20"/>
                <w:szCs w:val="20"/>
              </w:rPr>
              <w:t xml:space="preserve">4–5</w:t>
            </w:r>
          </w:p>
        </w:tc>
      </w:tr>
      <w:tr>
        <w:tc>
          <w:tcPr>
            <w:tcW w:type="dxa" w:w="2340"/>
          </w:tcPr>
          <w:p>
            <w:pPr>
              <w:spacing w:after="60"/>
            </w:pPr>
            <w:r>
              <w:rPr>
                <w:b w:val="false"/>
                <w:bCs w:val="false"/>
                <w:sz w:val="20"/>
                <w:szCs w:val="20"/>
              </w:rPr>
              <w:t xml:space="preserve">POS</w:t>
            </w:r>
          </w:p>
        </w:tc>
        <w:tc>
          <w:tcPr>
            <w:tcW w:type="dxa" w:w="3510"/>
          </w:tcPr>
          <w:p>
            <w:pPr>
              <w:spacing w:after="60"/>
            </w:pPr>
            <w:r>
              <w:rPr>
                <w:b w:val="false"/>
                <w:bCs w:val="false"/>
                <w:sz w:val="20"/>
                <w:szCs w:val="20"/>
              </w:rPr>
              <w:t xml:space="preserve">Prohibited-claim immutable rules</w:t>
            </w:r>
          </w:p>
        </w:tc>
        <w:tc>
          <w:tcPr>
            <w:tcW w:type="dxa" w:w="3510"/>
          </w:tcPr>
          <w:p>
            <w:pPr>
              <w:spacing w:after="60"/>
            </w:pPr>
            <w:r>
              <w:rPr>
                <w:b w:val="false"/>
                <w:bCs w:val="false"/>
                <w:sz w:val="20"/>
                <w:szCs w:val="20"/>
              </w:rPr>
              <w:t xml:space="preserve">6–8</w:t>
            </w:r>
          </w:p>
        </w:tc>
      </w:tr>
      <w:tr>
        <w:tc>
          <w:tcPr>
            <w:tcW w:type="dxa" w:w="2340"/>
          </w:tcPr>
          <w:p>
            <w:pPr>
              <w:spacing w:after="60"/>
            </w:pPr>
            <w:r>
              <w:rPr>
                <w:b w:val="false"/>
                <w:bCs w:val="false"/>
                <w:sz w:val="20"/>
                <w:szCs w:val="20"/>
              </w:rPr>
              <w:t xml:space="preserve">DP</w:t>
            </w:r>
          </w:p>
        </w:tc>
        <w:tc>
          <w:tcPr>
            <w:tcW w:type="dxa" w:w="3510"/>
          </w:tcPr>
          <w:p>
            <w:pPr>
              <w:spacing w:after="60"/>
            </w:pPr>
            <w:r>
              <w:rPr>
                <w:b w:val="false"/>
                <w:bCs w:val="false"/>
                <w:sz w:val="20"/>
                <w:szCs w:val="20"/>
              </w:rPr>
              <w:t xml:space="preserve">DPDP and licensing guards</w:t>
            </w:r>
          </w:p>
        </w:tc>
        <w:tc>
          <w:tcPr>
            <w:tcW w:type="dxa" w:w="3510"/>
          </w:tcPr>
          <w:p>
            <w:pPr>
              <w:spacing w:after="60"/>
            </w:pPr>
            <w:r>
              <w:rPr>
                <w:b w:val="false"/>
                <w:bCs w:val="false"/>
                <w:sz w:val="20"/>
                <w:szCs w:val="20"/>
              </w:rPr>
              <w:t xml:space="preserve">2–3</w:t>
            </w:r>
          </w:p>
        </w:tc>
      </w:tr>
    </w:tbl>
    <w:p>
      <w:pPr>
        <w:spacing w:after="120"/>
      </w:pPr>
      <w:r>
        <w:t xml:space="preserve">Estimated final Domain 14 rule count in Phase 2: 44–60 rules, of which 6–8 immutable (all in POS category). Golden test coverage target: ≥ 90 % of executable rules.</w:t>
      </w:r>
    </w:p>
    <w:p>
      <w:pPr>
        <w:pStyle w:val="Heading2"/>
        <w:spacing w:after="150" w:before="300"/>
      </w:pPr>
      <w:r>
        <w:rPr>
          <w:b/>
          <w:bCs/>
          <w:sz w:val="26"/>
          <w:szCs w:val="26"/>
        </w:rPr>
        <w:t xml:space="preserve">16.5 Closing statement — समारोप</w:t>
      </w:r>
    </w:p>
    <w:p>
      <w:pPr>
        <w:spacing w:after="120"/>
      </w:pPr>
      <w:r>
        <w:t xml:space="preserve">This document is Phase 1: raw research. Its usefulness is measured by whether the Phase-2 rule-writing pass finds every needed fact somewhere in these sixteen sections without going back to the internet. A gap here becomes a rule gap there. Additions and corrections during Phase 2 are logged as revisions to this document, not as invisible fixes to the rules.</w:t>
      </w:r>
    </w:p>
    <w:p>
      <w:pPr>
        <w:spacing w:after="120"/>
      </w:pPr>
      <w:r>
        <w:t xml:space="preserve">हे दस्तऐवज Phase 1 आहे — कच्चे संशोधन. याची उपयुक्तता Phase 2 च्या नियम-लेखन टप्प्यात मोजली जाईल: प्रत्येक आवश्यक तथ्य याच सोळा विभागांत सापडले पाहिजे, इंटरनेटकडे परत जाण्याची गरज पडू नये. येथील गळती नियमांतील गळती होते. Phase 2 मधील बदल नियमांत लपून न नोंदवता येथेच सुधारणा म्हणून नोंदवले जातील.</w:t>
      </w:r>
    </w:p>
    <w:p>
      <w:pPr>
        <w:spacing w:after="300" w:before="200"/>
      </w:pPr>
      <w:r>
        <w:rPr>
          <w:i/>
          <w:iCs/>
          <w:sz w:val="20"/>
          <w:szCs w:val="20"/>
        </w:rPr>
        <w:t xml:space="preserve">Sources: Agro-Guardian Ginger KB architecture (August 2026); Domain 6 differential diagnosis; Domain 7 climate discipline; Domain 12 prohibited-claim list and DPDP rules; Ginger KB rule anatomy specification.</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8"/>
        <w:szCs w:val="18"/>
      </w:rPr>
      <w:t xml:space="preserve">Agro-Guardian Ginger KB · Domain 14 · RAW MASTER · Phase 1 · Page </w:t>
    </w:r>
    <w:r>
      <w:rPr>
        <w:i/>
        <w:iCs/>
        <w:sz w:val="18"/>
        <w:szCs w:val="18"/>
      </w:rPr>
      <w:fldChar w:fldCharType="begin"/>
      <w:instrText xml:space="preserve">PAGE</w:instrText>
      <w:fldChar w:fldCharType="separate"/>
      <w:fldChar w:fldCharType="end"/>
    </w:r>
    <w:r>
      <w:rPr>
        <w:i/>
        <w:iCs/>
        <w:sz w:val="18"/>
        <w:szCs w:val="18"/>
      </w:rPr>
      <w:t xml:space="preserve"> of </w:t>
    </w:r>
    <w:r>
      <w:rPr>
        <w:i/>
        <w:iCs/>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b/>
      <w:bCs/>
      <w:color w:val="1F3864"/>
      <w:sz w:val="32"/>
      <w:szCs w:val="32"/>
    </w:rPr>
  </w:style>
  <w:style w:type="paragraph" w:styleId="Heading2">
    <w:name w:val="Heading 2"/>
    <w:basedOn w:val="Normal"/>
    <w:next w:val="Normal"/>
    <w:qFormat/>
    <w:pPr>
      <w:spacing w:after="120" w:before="240"/>
    </w:pPr>
    <w:rPr>
      <w:b/>
      <w:bCs/>
      <w:color w:val="2E5395"/>
      <w:sz w:val="26"/>
      <w:szCs w:val="26"/>
    </w:rPr>
  </w:style>
  <w:style w:type="paragraph" w:styleId="Heading3">
    <w:name w:val="Heading 3"/>
    <w:basedOn w:val="Normal"/>
    <w:next w:val="Normal"/>
    <w:qFormat/>
    <w:pPr>
      <w:spacing w:after="100" w:before="200"/>
    </w:pPr>
    <w:rPr>
      <w:b/>
      <w:bCs/>
      <w:color w:val="2E539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Ginger KB — Domain 14 — Satellite &amp; Remote Sensing Intelligence (RAW MASTER)</dc:title>
  <dc:creator>Agro-Guardian AI — kb_author</dc:creator>
  <dc:description>Phase 1 raw research document for Domain 14 of the Agro-Guardian Ginger knowledge base</dc:description>
  <cp:lastModifiedBy>Un-named</cp:lastModifiedBy>
  <cp:revision>1</cp:revision>
  <dcterms:created xsi:type="dcterms:W3CDTF">2026-09-17T22:20:35.127Z</dcterms:created>
  <dcterms:modified xsi:type="dcterms:W3CDTF">2026-09-17T22:20:35.135Z</dcterms:modified>
</cp:coreProperties>
</file>

<file path=docProps/custom.xml><?xml version="1.0" encoding="utf-8"?>
<Properties xmlns="http://schemas.openxmlformats.org/officeDocument/2006/custom-properties" xmlns:vt="http://schemas.openxmlformats.org/officeDocument/2006/docPropsVTypes"/>
</file>