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40B7D" w:rsidRDefault="002C12B5">
      <w:pPr>
        <w:pStyle w:val="Ttulo1"/>
      </w:pPr>
      <w:r>
        <w:t>Resultados</w:t>
      </w:r>
    </w:p>
    <w:p w14:paraId="00000002" w14:textId="77777777" w:rsidR="00B40B7D" w:rsidRDefault="002C12B5">
      <w:pPr>
        <w:pStyle w:val="Ttulo1"/>
        <w:spacing w:line="360" w:lineRule="auto"/>
      </w:pPr>
      <w:r>
        <w:t xml:space="preserve">Ruptura de dormancia en semillas de </w:t>
      </w:r>
      <w:r>
        <w:rPr>
          <w:i/>
        </w:rPr>
        <w:t xml:space="preserve">Asystasia gangetica </w:t>
      </w:r>
      <w:r>
        <w:t>usando diferentes temperaturas y tiempos de exposición.</w:t>
      </w:r>
    </w:p>
    <w:p w14:paraId="00000003" w14:textId="77777777" w:rsidR="00B40B7D" w:rsidRDefault="00B40B7D"/>
    <w:p w14:paraId="00000004" w14:textId="77777777" w:rsidR="00B40B7D" w:rsidRDefault="002C12B5">
      <w:pPr>
        <w:spacing w:line="360" w:lineRule="auto"/>
        <w:ind w:firstLine="708"/>
      </w:pPr>
      <w:r>
        <w:t xml:space="preserve">Para establecer un tratamiento que rompiera la dormancia de las semillas de </w:t>
      </w:r>
      <w:r>
        <w:rPr>
          <w:i/>
        </w:rPr>
        <w:t xml:space="preserve">A. gangetica </w:t>
      </w:r>
      <w:r>
        <w:t xml:space="preserve">se emplearon combinaciones de temperaturas en diferentes lapsos de exposición, las temperaturas de 40°C con lapsos cortos tuvieron los mayores porcentajes de germinación. </w:t>
      </w:r>
    </w:p>
    <w:p w14:paraId="00000005" w14:textId="77777777" w:rsidR="00B40B7D" w:rsidRDefault="002C12B5">
      <w:pPr>
        <w:spacing w:line="360" w:lineRule="auto"/>
        <w:ind w:firstLine="708"/>
      </w:pPr>
      <w:r>
        <w:t xml:space="preserve">A falta de información para plantear los tratamientos, se seleccionaron temperaturas similares a las condiciones en campo en donde se desarrolla </w:t>
      </w:r>
      <w:r>
        <w:rPr>
          <w:i/>
        </w:rPr>
        <w:t>A. gangetica</w:t>
      </w:r>
      <w:r>
        <w:t xml:space="preserve">. Para este experimento se optó por nitrato de potasio al 5% como control. Los resultados al compararse con el control indican que la dormancia disminuye al usar métodos térmicos, se probaron temperaturas de 4°C con posteriores aumentos a 40°C en lapsos de 4 y 16 horas sin embargo la mayor respuesta de germinación se acentúa en los tratamientos en donde no se hizo uso de temperaturas de 4°C y los lapsos de exposición mencionados anteriormente. Se evidencia que durante el día 3 después de realizada la siembra (DDS) las semillas de </w:t>
      </w:r>
      <w:r>
        <w:rPr>
          <w:i/>
        </w:rPr>
        <w:t xml:space="preserve">A. gangetica </w:t>
      </w:r>
      <w:r>
        <w:t>comenzaron a aumentar la germinación en todos los tratamientos a excepción del control, esta tendencia indica que los tratamientos aumentaron la velocidad de germinación de las semillas.</w:t>
      </w:r>
    </w:p>
    <w:p w14:paraId="00000006" w14:textId="77777777" w:rsidR="00B40B7D" w:rsidRDefault="002C12B5">
      <w:pPr>
        <w:spacing w:line="360" w:lineRule="auto"/>
      </w:pPr>
      <w:r>
        <w:rPr>
          <w:noProof/>
        </w:rPr>
        <w:lastRenderedPageBreak/>
        <w:drawing>
          <wp:inline distT="0" distB="0" distL="0" distR="0" wp14:anchorId="6C528B5D" wp14:editId="35B95F7A">
            <wp:extent cx="5612130" cy="4909820"/>
            <wp:effectExtent l="0" t="0" r="0" b="0"/>
            <wp:docPr id="8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612130" cy="4909820"/>
                    </a:xfrm>
                    <a:prstGeom prst="rect">
                      <a:avLst/>
                    </a:prstGeom>
                    <a:ln/>
                  </pic:spPr>
                </pic:pic>
              </a:graphicData>
            </a:graphic>
          </wp:inline>
        </w:drawing>
      </w:r>
      <w:r>
        <w:rPr>
          <w:b/>
        </w:rPr>
        <w:t>Figura 1.</w:t>
      </w:r>
      <w:r>
        <w:t xml:space="preserve"> Porcentaje acumulado de semillas germinadas según el tratamiento empleado para romper la dormancia de las semillas de </w:t>
      </w:r>
      <w:r>
        <w:rPr>
          <w:i/>
        </w:rPr>
        <w:t>A. gangetica</w:t>
      </w:r>
      <w:r>
        <w:t xml:space="preserve"> (n=50) y los días después de siembra (DDS) transcurridos.</w:t>
      </w:r>
    </w:p>
    <w:p w14:paraId="00000007" w14:textId="77777777" w:rsidR="00B40B7D" w:rsidRDefault="002C12B5">
      <w:pPr>
        <w:spacing w:line="360" w:lineRule="auto"/>
      </w:pPr>
      <w:r>
        <w:tab/>
        <w:t>Se hizo la selección de un tratamiento óptimo de ruptura de dormancia de</w:t>
      </w:r>
      <w:r>
        <w:rPr>
          <w:i/>
        </w:rPr>
        <w:t xml:space="preserve"> </w:t>
      </w:r>
      <w:r>
        <w:t xml:space="preserve">las semillas de </w:t>
      </w:r>
      <w:r>
        <w:rPr>
          <w:i/>
        </w:rPr>
        <w:t>A. gangetica,</w:t>
      </w:r>
      <w:r>
        <w:t xml:space="preserve"> basado en el mayor porcentaje de germinación al finalizar el experimento</w:t>
      </w:r>
      <w:r>
        <w:rPr>
          <w:i/>
        </w:rPr>
        <w:t xml:space="preserve">. </w:t>
      </w:r>
      <w:r>
        <w:t xml:space="preserve">Según la última evaluación a los 10 DDS se evidencia que el tratamiento con mayor porcentaje de germinación es 40°C durante 1 hora, dados los resultados se realizó la selección de dicho tratamiento. Todos los tratamientos a excepción del control presentaron porcentajes de germinación superiores al 65%, esto indica que hay un efecto en las semillas de </w:t>
      </w:r>
      <w:r>
        <w:rPr>
          <w:i/>
        </w:rPr>
        <w:t>A. gangetica</w:t>
      </w:r>
      <w:r>
        <w:t xml:space="preserve"> cuando se exponen a temperatura durante un determinado lapso, estos tratamientos a pesar de los resultados fueron descartados.</w:t>
      </w:r>
    </w:p>
    <w:p w14:paraId="00000008" w14:textId="77777777" w:rsidR="00B40B7D" w:rsidRDefault="002C12B5">
      <w:pPr>
        <w:jc w:val="center"/>
      </w:pPr>
      <w:r>
        <w:rPr>
          <w:noProof/>
        </w:rPr>
        <w:lastRenderedPageBreak/>
        <w:drawing>
          <wp:inline distT="0" distB="0" distL="0" distR="0" wp14:anchorId="2390AC5B" wp14:editId="0030DB28">
            <wp:extent cx="4271410" cy="4271410"/>
            <wp:effectExtent l="0" t="0" r="0" b="0"/>
            <wp:docPr id="9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4271410" cy="4271410"/>
                    </a:xfrm>
                    <a:prstGeom prst="rect">
                      <a:avLst/>
                    </a:prstGeom>
                    <a:ln/>
                  </pic:spPr>
                </pic:pic>
              </a:graphicData>
            </a:graphic>
          </wp:inline>
        </w:drawing>
      </w:r>
    </w:p>
    <w:p w14:paraId="00000009" w14:textId="77777777" w:rsidR="00B40B7D" w:rsidRDefault="002C12B5">
      <w:pPr>
        <w:spacing w:line="360" w:lineRule="auto"/>
        <w:rPr>
          <w:i/>
        </w:rPr>
      </w:pPr>
      <w:r>
        <w:rPr>
          <w:b/>
        </w:rPr>
        <w:t>Figura 2.</w:t>
      </w:r>
      <w:r>
        <w:t xml:space="preserve"> Porcentaje de semillas germinadas (n=50) en la evaluación final (10 DDS) según el tratamiento utilizado para romper la latencia de las semillas de </w:t>
      </w:r>
      <w:r>
        <w:rPr>
          <w:i/>
        </w:rPr>
        <w:t>A. gangetica.</w:t>
      </w:r>
    </w:p>
    <w:p w14:paraId="0000000A" w14:textId="77777777" w:rsidR="00B40B7D" w:rsidRDefault="002C12B5">
      <w:pPr>
        <w:pStyle w:val="Ttulo1"/>
        <w:spacing w:line="360" w:lineRule="auto"/>
      </w:pPr>
      <w:r>
        <w:t>Evaluación de la emergencia de A. gangetica a diferentes profundidades empleando rizotrones.</w:t>
      </w:r>
    </w:p>
    <w:p w14:paraId="0000000B" w14:textId="77777777" w:rsidR="00B40B7D" w:rsidRDefault="002C12B5">
      <w:pPr>
        <w:spacing w:line="360" w:lineRule="auto"/>
      </w:pPr>
      <w:r>
        <w:tab/>
        <w:t xml:space="preserve">Por lo general las semillas tienen reservas para desarrollarse a partir de ciertas profundidades. Para determinar la profundidad máxima en la cual las semillas de </w:t>
      </w:r>
      <w:r>
        <w:rPr>
          <w:i/>
        </w:rPr>
        <w:t xml:space="preserve">A. gangetica </w:t>
      </w:r>
      <w:r>
        <w:t xml:space="preserve">emergen se probaron 5 profundidades diferentes usando rizotrones. Se encontró que a 2 y 5 cm había un mayor porcentaje de emergencia, hay respuesta de emergencia a los 10 cm de profundidad, pero el porcentaje es menor al 10%, las observaciones indican que la semilla puede emerger desde profundidades no mayores a los 5 cm. </w:t>
      </w:r>
    </w:p>
    <w:p w14:paraId="0000000C" w14:textId="77777777" w:rsidR="00B40B7D" w:rsidRDefault="002C12B5">
      <w:pPr>
        <w:jc w:val="center"/>
      </w:pPr>
      <w:r>
        <w:rPr>
          <w:noProof/>
        </w:rPr>
        <w:lastRenderedPageBreak/>
        <w:drawing>
          <wp:inline distT="0" distB="0" distL="0" distR="0" wp14:anchorId="6D543491" wp14:editId="527190DE">
            <wp:extent cx="4428746" cy="4428746"/>
            <wp:effectExtent l="0" t="0" r="0" b="0"/>
            <wp:docPr id="8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428746" cy="4428746"/>
                    </a:xfrm>
                    <a:prstGeom prst="rect">
                      <a:avLst/>
                    </a:prstGeom>
                    <a:ln/>
                  </pic:spPr>
                </pic:pic>
              </a:graphicData>
            </a:graphic>
          </wp:inline>
        </w:drawing>
      </w:r>
    </w:p>
    <w:p w14:paraId="0000000D" w14:textId="77777777" w:rsidR="00B40B7D" w:rsidRDefault="002C12B5">
      <w:pPr>
        <w:spacing w:line="360" w:lineRule="auto"/>
      </w:pPr>
      <w:r>
        <w:rPr>
          <w:b/>
        </w:rPr>
        <w:t xml:space="preserve">Figura 3. </w:t>
      </w:r>
      <w:r>
        <w:t xml:space="preserve">Porcentaje de emergencia acumulado de semillas (n=120) de </w:t>
      </w:r>
      <w:r>
        <w:rPr>
          <w:i/>
        </w:rPr>
        <w:t>A. gangetica</w:t>
      </w:r>
      <w:r>
        <w:t xml:space="preserve"> según la profundidad de siembra a lo largo del tiempo (semanas).</w:t>
      </w:r>
    </w:p>
    <w:p w14:paraId="0000000E" w14:textId="77777777" w:rsidR="00B40B7D" w:rsidRDefault="002C12B5">
      <w:pPr>
        <w:spacing w:line="360" w:lineRule="auto"/>
      </w:pPr>
      <w:r>
        <w:tab/>
        <w:t xml:space="preserve">Para establecer con mayor precisión el rango de profundidades de emergencia de </w:t>
      </w:r>
      <w:r>
        <w:rPr>
          <w:i/>
        </w:rPr>
        <w:t>A. gangetica</w:t>
      </w:r>
      <w:r>
        <w:t xml:space="preserve"> en el próximo experimento se tomó como base la evaluación final del porcentaje de emergencia de este experimento. Las evaluaciones indican que el rango de emergencia para las semillas de </w:t>
      </w:r>
      <w:r>
        <w:rPr>
          <w:i/>
        </w:rPr>
        <w:t>A. gangetica</w:t>
      </w:r>
      <w:r>
        <w:t xml:space="preserve"> se encuentra entre los 2 y 10 cm (58 y 19% respectivamente</w:t>
      </w:r>
      <w:proofErr w:type="gramStart"/>
      <w:r>
        <w:t>) .</w:t>
      </w:r>
      <w:proofErr w:type="gramEnd"/>
      <w:r>
        <w:t xml:space="preserve"> El experimento permitió establecer un punto de partida para realizar evaluaciones más precisas en la profundidad máxima de emergencia de las semillas.</w:t>
      </w:r>
    </w:p>
    <w:p w14:paraId="0000000F" w14:textId="77777777" w:rsidR="00B40B7D" w:rsidRDefault="002C12B5">
      <w:pPr>
        <w:jc w:val="center"/>
      </w:pPr>
      <w:r>
        <w:rPr>
          <w:noProof/>
        </w:rPr>
        <w:lastRenderedPageBreak/>
        <w:drawing>
          <wp:inline distT="0" distB="0" distL="0" distR="0" wp14:anchorId="69CF75FA" wp14:editId="56EDF626">
            <wp:extent cx="4480967" cy="4480967"/>
            <wp:effectExtent l="0" t="0" r="0" b="0"/>
            <wp:docPr id="9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480967" cy="4480967"/>
                    </a:xfrm>
                    <a:prstGeom prst="rect">
                      <a:avLst/>
                    </a:prstGeom>
                    <a:ln/>
                  </pic:spPr>
                </pic:pic>
              </a:graphicData>
            </a:graphic>
          </wp:inline>
        </w:drawing>
      </w:r>
    </w:p>
    <w:p w14:paraId="00000010" w14:textId="77777777" w:rsidR="00B40B7D" w:rsidRDefault="002C12B5">
      <w:pPr>
        <w:spacing w:line="360" w:lineRule="auto"/>
      </w:pPr>
      <w:r>
        <w:rPr>
          <w:b/>
        </w:rPr>
        <w:t xml:space="preserve">Figura 4. </w:t>
      </w:r>
      <w:r>
        <w:t xml:space="preserve">Porcentaje de emergencia de las semillas de </w:t>
      </w:r>
      <w:r>
        <w:rPr>
          <w:i/>
        </w:rPr>
        <w:t xml:space="preserve">A. gangetica </w:t>
      </w:r>
      <w:r>
        <w:t>en la evaluación final (Semana 6) según la profundidad de siembra evaluada (n=120).</w:t>
      </w:r>
    </w:p>
    <w:p w14:paraId="00000011" w14:textId="77777777" w:rsidR="00B40B7D" w:rsidRDefault="002C12B5">
      <w:pPr>
        <w:spacing w:line="360" w:lineRule="auto"/>
      </w:pPr>
      <w:r>
        <w:tab/>
        <w:t>En la evaluación final del experimento se registraron los pesos secos separando el tejido radicular del foliar para medir la biomasa de las plantas según la profundidad de siembra. Al comparar la magnitud de los pesos secos radicales contra los foliares se evidencian mayores magnitudes en los pesos radicales (</w:t>
      </w:r>
      <w:r>
        <w:rPr>
          <w:b/>
        </w:rPr>
        <w:t>Figura 5.</w:t>
      </w:r>
      <w:r>
        <w:t xml:space="preserve"> A y B), esto quiere decir que las plántulas de </w:t>
      </w:r>
      <w:r>
        <w:rPr>
          <w:i/>
        </w:rPr>
        <w:t xml:space="preserve">A. gangetica </w:t>
      </w:r>
      <w:r>
        <w:t>durante las primeras etapas fenológicas priorizan el desarrollo de la raíz antes que la parte aérea o foliar. Estos resultados son consecuentes al porcentaje de emergencia mencionado anteriormente, ya que se registraron mayores pesos (raíz y foliar) en las profundidades de 2 y 5 cm respectivamente.</w:t>
      </w:r>
    </w:p>
    <w:p w14:paraId="00000012" w14:textId="77777777" w:rsidR="00B40B7D" w:rsidRDefault="007D1494">
      <w:pPr>
        <w:jc w:val="center"/>
      </w:pPr>
      <w:sdt>
        <w:sdtPr>
          <w:tag w:val="goog_rdk_0"/>
          <w:id w:val="-929124383"/>
        </w:sdtPr>
        <w:sdtEndPr/>
        <w:sdtContent/>
      </w:sdt>
      <w:r w:rsidR="002C12B5">
        <w:rPr>
          <w:noProof/>
        </w:rPr>
        <w:drawing>
          <wp:inline distT="0" distB="0" distL="0" distR="0" wp14:anchorId="0208F317" wp14:editId="2C626052">
            <wp:extent cx="4572000" cy="4572000"/>
            <wp:effectExtent l="0" t="0" r="0" b="0"/>
            <wp:docPr id="9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572000" cy="4572000"/>
                    </a:xfrm>
                    <a:prstGeom prst="rect">
                      <a:avLst/>
                    </a:prstGeom>
                    <a:ln/>
                  </pic:spPr>
                </pic:pic>
              </a:graphicData>
            </a:graphic>
          </wp:inline>
        </w:drawing>
      </w:r>
      <w:r w:rsidR="002C12B5">
        <w:rPr>
          <w:noProof/>
        </w:rPr>
        <mc:AlternateContent>
          <mc:Choice Requires="wps">
            <w:drawing>
              <wp:anchor distT="0" distB="0" distL="114300" distR="114300" simplePos="0" relativeHeight="251658240" behindDoc="0" locked="0" layoutInCell="1" hidden="0" allowOverlap="1" wp14:anchorId="5515EEA6" wp14:editId="45714460">
                <wp:simplePos x="0" y="0"/>
                <wp:positionH relativeFrom="column">
                  <wp:posOffset>2260600</wp:posOffset>
                </wp:positionH>
                <wp:positionV relativeFrom="paragraph">
                  <wp:posOffset>228600</wp:posOffset>
                </wp:positionV>
                <wp:extent cx="474980" cy="307975"/>
                <wp:effectExtent l="0" t="0" r="0" b="0"/>
                <wp:wrapNone/>
                <wp:docPr id="87" name="Rectángulo 87"/>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7B7E75EC" w14:textId="77777777" w:rsidR="00B40B7D" w:rsidRDefault="002C12B5">
                            <w:pPr>
                              <w:spacing w:line="258" w:lineRule="auto"/>
                              <w:jc w:val="center"/>
                              <w:textDirection w:val="btLr"/>
                            </w:pPr>
                            <w:r>
                              <w:rPr>
                                <w:b/>
                                <w:color w:val="000000"/>
                              </w:rPr>
                              <w:t>A</w:t>
                            </w:r>
                          </w:p>
                        </w:txbxContent>
                      </wps:txbx>
                      <wps:bodyPr spcFirstLastPara="1" wrap="square" lIns="91425" tIns="45700" rIns="91425" bIns="45700" anchor="t" anchorCtr="0">
                        <a:noAutofit/>
                      </wps:bodyPr>
                    </wps:wsp>
                  </a:graphicData>
                </a:graphic>
              </wp:anchor>
            </w:drawing>
          </mc:Choice>
          <mc:Fallback>
            <w:pict>
              <v:rect w14:anchorId="5515EEA6" id="Rectángulo 87" o:spid="_x0000_s1026" style="position:absolute;left:0;text-align:left;margin-left:178pt;margin-top:18pt;width:37.4pt;height:24.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" filled="f" stroked="f">
                <v:textbox inset="2.53958mm,1.2694mm,2.53958mm,1.2694mm">
                  <w:txbxContent>
                    <w:p w14:paraId="7B7E75EC" w14:textId="77777777" w:rsidR="00B40B7D" w:rsidRDefault="002C12B5">
                      <w:pPr>
                        <w:spacing w:line="258" w:lineRule="auto"/>
                        <w:jc w:val="center"/>
                        <w:textDirection w:val="btLr"/>
                      </w:pPr>
                      <w:r>
                        <w:rPr>
                          <w:b/>
                          <w:color w:val="000000"/>
                        </w:rPr>
                        <w:t>A</w:t>
                      </w:r>
                    </w:p>
                  </w:txbxContent>
                </v:textbox>
              </v:rect>
            </w:pict>
          </mc:Fallback>
        </mc:AlternateContent>
      </w:r>
      <w:r w:rsidR="002C12B5">
        <w:rPr>
          <w:noProof/>
        </w:rPr>
        <mc:AlternateContent>
          <mc:Choice Requires="wps">
            <w:drawing>
              <wp:anchor distT="0" distB="0" distL="114300" distR="114300" simplePos="0" relativeHeight="251659264" behindDoc="0" locked="0" layoutInCell="1" hidden="0" allowOverlap="1" wp14:anchorId="2558EA32" wp14:editId="5F1D5967">
                <wp:simplePos x="0" y="0"/>
                <wp:positionH relativeFrom="column">
                  <wp:posOffset>4495800</wp:posOffset>
                </wp:positionH>
                <wp:positionV relativeFrom="paragraph">
                  <wp:posOffset>241300</wp:posOffset>
                </wp:positionV>
                <wp:extent cx="474980" cy="307975"/>
                <wp:effectExtent l="0" t="0" r="0" b="0"/>
                <wp:wrapNone/>
                <wp:docPr id="86" name="Rectángulo 86"/>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26F6F013" w14:textId="77777777" w:rsidR="00B40B7D" w:rsidRDefault="002C12B5">
                            <w:pPr>
                              <w:spacing w:line="258" w:lineRule="auto"/>
                              <w:jc w:val="center"/>
                              <w:textDirection w:val="btLr"/>
                            </w:pPr>
                            <w:r>
                              <w:rPr>
                                <w:b/>
                                <w:color w:val="000000"/>
                              </w:rPr>
                              <w:t>B</w:t>
                            </w:r>
                          </w:p>
                        </w:txbxContent>
                      </wps:txbx>
                      <wps:bodyPr spcFirstLastPara="1" wrap="square" lIns="91425" tIns="45700" rIns="91425" bIns="45700" anchor="t" anchorCtr="0">
                        <a:noAutofit/>
                      </wps:bodyPr>
                    </wps:wsp>
                  </a:graphicData>
                </a:graphic>
              </wp:anchor>
            </w:drawing>
          </mc:Choice>
          <mc:Fallback>
            <w:pict>
              <v:rect w14:anchorId="2558EA32" id="Rectángulo 86" o:spid="_x0000_s1027" style="position:absolute;left:0;text-align:left;margin-left:354pt;margin-top:19pt;width:37.4pt;height:2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4MwA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" filled="f" stroked="f">
                <v:textbox inset="2.53958mm,1.2694mm,2.53958mm,1.2694mm">
                  <w:txbxContent>
                    <w:p w14:paraId="26F6F013" w14:textId="77777777" w:rsidR="00B40B7D" w:rsidRDefault="002C12B5">
                      <w:pPr>
                        <w:spacing w:line="258" w:lineRule="auto"/>
                        <w:jc w:val="center"/>
                        <w:textDirection w:val="btLr"/>
                      </w:pPr>
                      <w:r>
                        <w:rPr>
                          <w:b/>
                          <w:color w:val="000000"/>
                        </w:rPr>
                        <w:t>B</w:t>
                      </w:r>
                    </w:p>
                  </w:txbxContent>
                </v:textbox>
              </v:rect>
            </w:pict>
          </mc:Fallback>
        </mc:AlternateContent>
      </w:r>
    </w:p>
    <w:p w14:paraId="00000013" w14:textId="77777777" w:rsidR="00B40B7D" w:rsidRDefault="002C12B5">
      <w:pPr>
        <w:spacing w:line="360" w:lineRule="auto"/>
      </w:pPr>
      <w:r>
        <w:rPr>
          <w:b/>
        </w:rPr>
        <w:t>Figura 5.</w:t>
      </w:r>
      <w:r>
        <w:t xml:space="preserve"> Valores promedios de pesos secos radicales (A) y foliares (B) por plántula de </w:t>
      </w:r>
      <w:r>
        <w:rPr>
          <w:i/>
        </w:rPr>
        <w:t xml:space="preserve">A. gangetica </w:t>
      </w:r>
      <w:r>
        <w:t>a 2, 5, 10, 20 y 30 cm de profundidad y las barras de error estándar de la media respectivas a cada profundidad de siembra (n=4).</w:t>
      </w:r>
    </w:p>
    <w:p w14:paraId="00000014" w14:textId="77777777" w:rsidR="00B40B7D" w:rsidRDefault="002C12B5">
      <w:pPr>
        <w:pStyle w:val="Ttulo1"/>
      </w:pPr>
      <w:r>
        <w:t xml:space="preserve">Evaluación de la emergencia de </w:t>
      </w:r>
      <w:r>
        <w:rPr>
          <w:i/>
        </w:rPr>
        <w:t xml:space="preserve">A. gangetica </w:t>
      </w:r>
      <w:r>
        <w:t>a diferentes profundidades empleando potes.</w:t>
      </w:r>
    </w:p>
    <w:p w14:paraId="00000015" w14:textId="77777777" w:rsidR="00B40B7D" w:rsidRDefault="00B40B7D"/>
    <w:p w14:paraId="00000016" w14:textId="77777777" w:rsidR="00B40B7D" w:rsidRDefault="002C12B5">
      <w:pPr>
        <w:spacing w:line="360" w:lineRule="auto"/>
      </w:pPr>
      <w:r>
        <w:tab/>
        <w:t xml:space="preserve">La información obtenida del experimento anterior definió las profundidades a evaluar para este experimento, de </w:t>
      </w:r>
      <w:proofErr w:type="spellStart"/>
      <w:r>
        <w:t>está</w:t>
      </w:r>
      <w:proofErr w:type="spellEnd"/>
      <w:r>
        <w:t xml:space="preserve"> forma se planteó determinar el rango de profundidades máximas de emergencia de las semillas de </w:t>
      </w:r>
      <w:r>
        <w:rPr>
          <w:i/>
        </w:rPr>
        <w:t>A. gangetica</w:t>
      </w:r>
      <w:r>
        <w:t xml:space="preserve">. La profundidad con mayor porcentaje de germinación acumulada a lo largo del tiempo fueron las semillas colocadas a 0 y 2 cm de profundidad, mientras que las colocadas a 4 y 6 cm alcanzó porcentajes menores al 20%. A 8 cm de profundidad hubo una respuesta menor, con porcentajes menores al 10%. Las evaluaciones indican que </w:t>
      </w:r>
      <w:r>
        <w:lastRenderedPageBreak/>
        <w:t xml:space="preserve">la emergencia de </w:t>
      </w:r>
      <w:r>
        <w:rPr>
          <w:i/>
        </w:rPr>
        <w:t xml:space="preserve">A. gangetica </w:t>
      </w:r>
      <w:r>
        <w:t>aumenta cuando la semilla se encuentra a nivel superficial.</w:t>
      </w:r>
    </w:p>
    <w:p w14:paraId="00000017" w14:textId="77777777" w:rsidR="00B40B7D" w:rsidRDefault="002C12B5">
      <w:pPr>
        <w:jc w:val="center"/>
      </w:pPr>
      <w:r>
        <w:rPr>
          <w:noProof/>
        </w:rPr>
        <w:drawing>
          <wp:inline distT="0" distB="0" distL="0" distR="0" wp14:anchorId="03FBAB13" wp14:editId="68DEA588">
            <wp:extent cx="4229421" cy="4229421"/>
            <wp:effectExtent l="0" t="0" r="0" b="0"/>
            <wp:docPr id="9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4229421" cy="4229421"/>
                    </a:xfrm>
                    <a:prstGeom prst="rect">
                      <a:avLst/>
                    </a:prstGeom>
                    <a:ln/>
                  </pic:spPr>
                </pic:pic>
              </a:graphicData>
            </a:graphic>
          </wp:inline>
        </w:drawing>
      </w:r>
    </w:p>
    <w:p w14:paraId="00000018" w14:textId="77777777" w:rsidR="00B40B7D" w:rsidRDefault="002C12B5">
      <w:pPr>
        <w:spacing w:line="360" w:lineRule="auto"/>
      </w:pPr>
      <w:r>
        <w:rPr>
          <w:b/>
        </w:rPr>
        <w:t xml:space="preserve">Figura 6. </w:t>
      </w:r>
      <w:r>
        <w:t xml:space="preserve">Porcentaje de emergencia acumulado de semillas (n=100) de </w:t>
      </w:r>
      <w:r>
        <w:rPr>
          <w:i/>
        </w:rPr>
        <w:t>A. gangetica</w:t>
      </w:r>
      <w:r>
        <w:t xml:space="preserve"> según la profundidad de siembra a lo largo del tiempo (semanas).</w:t>
      </w:r>
    </w:p>
    <w:p w14:paraId="00000019" w14:textId="77777777" w:rsidR="00B40B7D" w:rsidRDefault="002C12B5">
      <w:pPr>
        <w:spacing w:line="360" w:lineRule="auto"/>
        <w:ind w:firstLine="720"/>
      </w:pPr>
      <w:r>
        <w:t xml:space="preserve">En la última evaluación se determinaron los porcentajes de germinación según cada profundidad de siembra. El experimento en potes evidenció que en todas las profundidades de siembra evaluadas hubo eventos de emergencia de </w:t>
      </w:r>
      <w:r>
        <w:rPr>
          <w:i/>
        </w:rPr>
        <w:t>A. gangetica</w:t>
      </w:r>
      <w:r>
        <w:t xml:space="preserve">. Los resultados obtenidos indican que se puede establecer un rango de emergencia con las profundidades evaluadas para este caso de 0 a 8 cm de profundidad. Los resultados indican que de 0 a 2 cm hay mayores porcentajes de emergencia, esto comprueba que la emergencia de </w:t>
      </w:r>
      <w:r>
        <w:rPr>
          <w:i/>
        </w:rPr>
        <w:t xml:space="preserve">A. gangetica </w:t>
      </w:r>
      <w:r>
        <w:t xml:space="preserve">suele darse en profundidades cercanas a la superficie.  </w:t>
      </w:r>
    </w:p>
    <w:p w14:paraId="0000001A" w14:textId="77777777" w:rsidR="00B40B7D" w:rsidRDefault="00B40B7D"/>
    <w:p w14:paraId="0000001B" w14:textId="77777777" w:rsidR="00B40B7D" w:rsidRDefault="002C12B5">
      <w:pPr>
        <w:jc w:val="center"/>
        <w:rPr>
          <w:b/>
        </w:rPr>
      </w:pPr>
      <w:r>
        <w:rPr>
          <w:b/>
          <w:noProof/>
        </w:rPr>
        <w:lastRenderedPageBreak/>
        <w:drawing>
          <wp:inline distT="0" distB="0" distL="0" distR="0" wp14:anchorId="408143FF" wp14:editId="3A1A7590">
            <wp:extent cx="4580484" cy="4580484"/>
            <wp:effectExtent l="0" t="0" r="0" b="0"/>
            <wp:docPr id="9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580484" cy="4580484"/>
                    </a:xfrm>
                    <a:prstGeom prst="rect">
                      <a:avLst/>
                    </a:prstGeom>
                    <a:ln/>
                  </pic:spPr>
                </pic:pic>
              </a:graphicData>
            </a:graphic>
          </wp:inline>
        </w:drawing>
      </w:r>
    </w:p>
    <w:p w14:paraId="0000001C" w14:textId="77777777" w:rsidR="00B40B7D" w:rsidRDefault="002C12B5">
      <w:r>
        <w:rPr>
          <w:b/>
        </w:rPr>
        <w:t xml:space="preserve">Figura 7. </w:t>
      </w:r>
      <w:r>
        <w:t xml:space="preserve">Porcentaje de emergencia de las semillas de </w:t>
      </w:r>
      <w:r>
        <w:rPr>
          <w:i/>
        </w:rPr>
        <w:t xml:space="preserve">A. gangetica </w:t>
      </w:r>
      <w:r>
        <w:t>en la evaluación final (semana 5) según la profundidad de siembra evaluada (n=100).</w:t>
      </w:r>
    </w:p>
    <w:p w14:paraId="0000001D" w14:textId="77777777" w:rsidR="00B40B7D" w:rsidRDefault="00B40B7D"/>
    <w:p w14:paraId="0000001E" w14:textId="4D5CB857" w:rsidR="00B40B7D" w:rsidRDefault="002C12B5">
      <w:pPr>
        <w:spacing w:line="360" w:lineRule="auto"/>
      </w:pPr>
      <w:r>
        <w:tab/>
        <w:t xml:space="preserve">Para medir la biomasa se evaluó el peso seco de la parte radical y foliar de las plántulas de </w:t>
      </w:r>
      <w:r>
        <w:rPr>
          <w:i/>
        </w:rPr>
        <w:t>A. gangetica</w:t>
      </w:r>
      <w:r>
        <w:t xml:space="preserve"> de cada tratamiento.  Las magnitudes de los pesos secos finales en la parte foliar son mayores a los pesos de la parte radical en todos los tratamientos, esto indica un mayor contenido de materia seca a nivel foliar que radical. Las mediciones son consecuentes con el porcentaje de emergencia obtenido ya que en las profundidades de 0 y 2 cm el peso seco fue mayor que 4, 6 y 8 cm tanto en la raíz como a nivel foliar, esto indica que hay más biomasa en tratamientos donde </w:t>
      </w:r>
      <w:r w:rsidR="002E2FB4">
        <w:t>había</w:t>
      </w:r>
      <w:r>
        <w:t xml:space="preserve"> más semillas emergidas. </w:t>
      </w:r>
    </w:p>
    <w:p w14:paraId="0000001F" w14:textId="77777777" w:rsidR="00B40B7D" w:rsidRDefault="00B40B7D"/>
    <w:p w14:paraId="00000020" w14:textId="77777777" w:rsidR="00B40B7D" w:rsidRDefault="00B40B7D"/>
    <w:p w14:paraId="00000021" w14:textId="77777777" w:rsidR="00B40B7D" w:rsidRDefault="007D1494">
      <w:pPr>
        <w:jc w:val="center"/>
      </w:pPr>
      <w:sdt>
        <w:sdtPr>
          <w:tag w:val="goog_rdk_1"/>
          <w:id w:val="-725061742"/>
        </w:sdtPr>
        <w:sdtEndPr/>
        <w:sdtContent/>
      </w:sdt>
      <w:r w:rsidR="002C12B5">
        <w:rPr>
          <w:b/>
          <w:noProof/>
        </w:rPr>
        <w:drawing>
          <wp:inline distT="0" distB="0" distL="0" distR="0" wp14:anchorId="241CECAE" wp14:editId="04B0A11D">
            <wp:extent cx="4674610" cy="4674610"/>
            <wp:effectExtent l="0" t="0" r="0" b="0"/>
            <wp:docPr id="9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674610" cy="4674610"/>
                    </a:xfrm>
                    <a:prstGeom prst="rect">
                      <a:avLst/>
                    </a:prstGeom>
                    <a:ln/>
                  </pic:spPr>
                </pic:pic>
              </a:graphicData>
            </a:graphic>
          </wp:inline>
        </w:drawing>
      </w:r>
      <w:r w:rsidR="002C12B5">
        <w:rPr>
          <w:noProof/>
        </w:rPr>
        <mc:AlternateContent>
          <mc:Choice Requires="wps">
            <w:drawing>
              <wp:anchor distT="0" distB="0" distL="114300" distR="114300" simplePos="0" relativeHeight="251660288" behindDoc="0" locked="0" layoutInCell="1" hidden="0" allowOverlap="1" wp14:anchorId="0721771B" wp14:editId="29E308AC">
                <wp:simplePos x="0" y="0"/>
                <wp:positionH relativeFrom="column">
                  <wp:posOffset>2286000</wp:posOffset>
                </wp:positionH>
                <wp:positionV relativeFrom="paragraph">
                  <wp:posOffset>241300</wp:posOffset>
                </wp:positionV>
                <wp:extent cx="474980" cy="307975"/>
                <wp:effectExtent l="0" t="0" r="0" b="0"/>
                <wp:wrapNone/>
                <wp:docPr id="83" name="Rectángulo 83"/>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5F624ABA" w14:textId="77777777" w:rsidR="00B40B7D" w:rsidRDefault="002C12B5">
                            <w:pPr>
                              <w:spacing w:line="258" w:lineRule="auto"/>
                              <w:jc w:val="center"/>
                              <w:textDirection w:val="btLr"/>
                            </w:pPr>
                            <w:r>
                              <w:rPr>
                                <w:b/>
                                <w:color w:val="000000"/>
                              </w:rPr>
                              <w:t>A</w:t>
                            </w:r>
                          </w:p>
                        </w:txbxContent>
                      </wps:txbx>
                      <wps:bodyPr spcFirstLastPara="1" wrap="square" lIns="91425" tIns="45700" rIns="91425" bIns="45700" anchor="t" anchorCtr="0">
                        <a:noAutofit/>
                      </wps:bodyPr>
                    </wps:wsp>
                  </a:graphicData>
                </a:graphic>
              </wp:anchor>
            </w:drawing>
          </mc:Choice>
          <mc:Fallback>
            <w:pict>
              <v:rect w14:anchorId="0721771B" id="Rectángulo 83" o:spid="_x0000_s1028" style="position:absolute;left:0;text-align:left;margin-left:180pt;margin-top:19pt;width:37.4pt;height:2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K0vw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" filled="f" stroked="f">
                <v:textbox inset="2.53958mm,1.2694mm,2.53958mm,1.2694mm">
                  <w:txbxContent>
                    <w:p w14:paraId="5F624ABA" w14:textId="77777777" w:rsidR="00B40B7D" w:rsidRDefault="002C12B5">
                      <w:pPr>
                        <w:spacing w:line="258" w:lineRule="auto"/>
                        <w:jc w:val="center"/>
                        <w:textDirection w:val="btLr"/>
                      </w:pPr>
                      <w:r>
                        <w:rPr>
                          <w:b/>
                          <w:color w:val="000000"/>
                        </w:rPr>
                        <w:t>A</w:t>
                      </w:r>
                    </w:p>
                  </w:txbxContent>
                </v:textbox>
              </v:rect>
            </w:pict>
          </mc:Fallback>
        </mc:AlternateContent>
      </w:r>
      <w:r w:rsidR="002C12B5">
        <w:rPr>
          <w:noProof/>
        </w:rPr>
        <mc:AlternateContent>
          <mc:Choice Requires="wps">
            <w:drawing>
              <wp:anchor distT="0" distB="0" distL="114300" distR="114300" simplePos="0" relativeHeight="251661312" behindDoc="0" locked="0" layoutInCell="1" hidden="0" allowOverlap="1" wp14:anchorId="05D07B5D" wp14:editId="2A196033">
                <wp:simplePos x="0" y="0"/>
                <wp:positionH relativeFrom="column">
                  <wp:posOffset>4572000</wp:posOffset>
                </wp:positionH>
                <wp:positionV relativeFrom="paragraph">
                  <wp:posOffset>241300</wp:posOffset>
                </wp:positionV>
                <wp:extent cx="474980" cy="307975"/>
                <wp:effectExtent l="0" t="0" r="0" b="0"/>
                <wp:wrapNone/>
                <wp:docPr id="85" name="Rectángulo 85"/>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0CC28A6A" w14:textId="77777777" w:rsidR="00B40B7D" w:rsidRDefault="002C12B5">
                            <w:pPr>
                              <w:spacing w:line="258" w:lineRule="auto"/>
                              <w:jc w:val="center"/>
                              <w:textDirection w:val="btLr"/>
                            </w:pPr>
                            <w:r>
                              <w:rPr>
                                <w:b/>
                                <w:color w:val="000000"/>
                              </w:rPr>
                              <w:t>B</w:t>
                            </w:r>
                          </w:p>
                        </w:txbxContent>
                      </wps:txbx>
                      <wps:bodyPr spcFirstLastPara="1" wrap="square" lIns="91425" tIns="45700" rIns="91425" bIns="45700" anchor="t" anchorCtr="0">
                        <a:noAutofit/>
                      </wps:bodyPr>
                    </wps:wsp>
                  </a:graphicData>
                </a:graphic>
              </wp:anchor>
            </w:drawing>
          </mc:Choice>
          <mc:Fallback>
            <w:pict>
              <v:rect w14:anchorId="05D07B5D" id="Rectángulo 85" o:spid="_x0000_s1029" style="position:absolute;left:0;text-align:left;margin-left:5in;margin-top:19pt;width:37.4pt;height:24.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cvw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" filled="f" stroked="f">
                <v:textbox inset="2.53958mm,1.2694mm,2.53958mm,1.2694mm">
                  <w:txbxContent>
                    <w:p w14:paraId="0CC28A6A" w14:textId="77777777" w:rsidR="00B40B7D" w:rsidRDefault="002C12B5">
                      <w:pPr>
                        <w:spacing w:line="258" w:lineRule="auto"/>
                        <w:jc w:val="center"/>
                        <w:textDirection w:val="btLr"/>
                      </w:pPr>
                      <w:r>
                        <w:rPr>
                          <w:b/>
                          <w:color w:val="000000"/>
                        </w:rPr>
                        <w:t>B</w:t>
                      </w:r>
                    </w:p>
                  </w:txbxContent>
                </v:textbox>
              </v:rect>
            </w:pict>
          </mc:Fallback>
        </mc:AlternateContent>
      </w:r>
    </w:p>
    <w:p w14:paraId="00000022" w14:textId="77777777" w:rsidR="00B40B7D" w:rsidRDefault="002C12B5">
      <w:r>
        <w:rPr>
          <w:b/>
        </w:rPr>
        <w:t xml:space="preserve">Figura 8. </w:t>
      </w:r>
      <w:r>
        <w:t xml:space="preserve">Valores promedios de pesos secos radicales (A) y foliares (B) por plántula de </w:t>
      </w:r>
      <w:r>
        <w:rPr>
          <w:i/>
        </w:rPr>
        <w:t xml:space="preserve">A. gangetica </w:t>
      </w:r>
      <w:r>
        <w:t>a 0, 2, 4, 6 y 8 cm de profundidad y las barras de error estándar de la media respectivas a cada profundidad (n=100).</w:t>
      </w:r>
    </w:p>
    <w:p w14:paraId="00000023" w14:textId="77777777" w:rsidR="00B40B7D" w:rsidRDefault="00B40B7D"/>
    <w:p w14:paraId="00000024" w14:textId="77777777" w:rsidR="00B40B7D" w:rsidRDefault="002C12B5">
      <w:pPr>
        <w:spacing w:line="360" w:lineRule="auto"/>
        <w:ind w:firstLine="720"/>
      </w:pPr>
      <w:r>
        <w:t xml:space="preserve">Se midió la longitud radical y foliar de plántula de cada profundidad para estimar la proporción entre la parte aérea y raíz. Las magnitudes de la longitud radical son mayores a las foliares en todas las profundidades, esto indica que hay un mayor crecimiento longitudinal a nivel de raíz cuando se compara contra la parte aérea o foliar. Las semillas sembradas en las profundidades de 0 y 2 cm tuvieron la mayor longitud al realizar la última evaluación tanto en la parte foliar como radical si se compara entre tratamientos, esto indica que son las semillas que más lograron desarrollarse posterior a la siembra, siguiendo el mismo razonamiento se puede </w:t>
      </w:r>
      <w:r>
        <w:lastRenderedPageBreak/>
        <w:t>inferir que en las otras profundidades hubo un menor desarrollo radical y foliar dados los resultados en las magnitudes.</w:t>
      </w:r>
    </w:p>
    <w:p w14:paraId="00000025" w14:textId="77777777" w:rsidR="00B40B7D" w:rsidRDefault="007D1494">
      <w:pPr>
        <w:jc w:val="center"/>
        <w:rPr>
          <w:b/>
        </w:rPr>
      </w:pPr>
      <w:sdt>
        <w:sdtPr>
          <w:tag w:val="goog_rdk_2"/>
          <w:id w:val="1015650648"/>
        </w:sdtPr>
        <w:sdtEndPr/>
        <w:sdtContent/>
      </w:sdt>
      <w:r w:rsidR="002C12B5">
        <w:rPr>
          <w:b/>
          <w:noProof/>
        </w:rPr>
        <w:drawing>
          <wp:inline distT="0" distB="0" distL="0" distR="0" wp14:anchorId="2A8C4DF5" wp14:editId="63978A24">
            <wp:extent cx="4539024" cy="4539024"/>
            <wp:effectExtent l="0" t="0" r="0" b="0"/>
            <wp:docPr id="9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539024" cy="4539024"/>
                    </a:xfrm>
                    <a:prstGeom prst="rect">
                      <a:avLst/>
                    </a:prstGeom>
                    <a:ln/>
                  </pic:spPr>
                </pic:pic>
              </a:graphicData>
            </a:graphic>
          </wp:inline>
        </w:drawing>
      </w:r>
      <w:r w:rsidR="002C12B5">
        <w:rPr>
          <w:noProof/>
        </w:rPr>
        <mc:AlternateContent>
          <mc:Choice Requires="wps">
            <w:drawing>
              <wp:anchor distT="0" distB="0" distL="114300" distR="114300" simplePos="0" relativeHeight="251662336" behindDoc="0" locked="0" layoutInCell="1" hidden="0" allowOverlap="1" wp14:anchorId="479B74A0" wp14:editId="31D5E708">
                <wp:simplePos x="0" y="0"/>
                <wp:positionH relativeFrom="column">
                  <wp:posOffset>2286000</wp:posOffset>
                </wp:positionH>
                <wp:positionV relativeFrom="paragraph">
                  <wp:posOffset>241300</wp:posOffset>
                </wp:positionV>
                <wp:extent cx="474980" cy="307975"/>
                <wp:effectExtent l="0" t="0" r="0" b="0"/>
                <wp:wrapNone/>
                <wp:docPr id="84" name="Rectángulo 84"/>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7C3430B9" w14:textId="77777777" w:rsidR="00B40B7D" w:rsidRDefault="002C12B5">
                            <w:pPr>
                              <w:spacing w:line="258" w:lineRule="auto"/>
                              <w:jc w:val="center"/>
                              <w:textDirection w:val="btLr"/>
                            </w:pPr>
                            <w:r>
                              <w:rPr>
                                <w:b/>
                                <w:color w:val="000000"/>
                              </w:rPr>
                              <w:t>A</w:t>
                            </w:r>
                          </w:p>
                        </w:txbxContent>
                      </wps:txbx>
                      <wps:bodyPr spcFirstLastPara="1" wrap="square" lIns="91425" tIns="45700" rIns="91425" bIns="45700" anchor="t" anchorCtr="0">
                        <a:noAutofit/>
                      </wps:bodyPr>
                    </wps:wsp>
                  </a:graphicData>
                </a:graphic>
              </wp:anchor>
            </w:drawing>
          </mc:Choice>
          <mc:Fallback>
            <w:pict>
              <v:rect w14:anchorId="479B74A0" id="Rectángulo 84" o:spid="_x0000_s1030" style="position:absolute;left:0;text-align:left;margin-left:180pt;margin-top:19pt;width:37.4pt;height:24.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nsfvw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" filled="f" stroked="f">
                <v:textbox inset="2.53958mm,1.2694mm,2.53958mm,1.2694mm">
                  <w:txbxContent>
                    <w:p w14:paraId="7C3430B9" w14:textId="77777777" w:rsidR="00B40B7D" w:rsidRDefault="002C12B5">
                      <w:pPr>
                        <w:spacing w:line="258" w:lineRule="auto"/>
                        <w:jc w:val="center"/>
                        <w:textDirection w:val="btLr"/>
                      </w:pPr>
                      <w:r>
                        <w:rPr>
                          <w:b/>
                          <w:color w:val="000000"/>
                        </w:rPr>
                        <w:t>A</w:t>
                      </w:r>
                    </w:p>
                  </w:txbxContent>
                </v:textbox>
              </v:rect>
            </w:pict>
          </mc:Fallback>
        </mc:AlternateContent>
      </w:r>
      <w:r w:rsidR="002C12B5">
        <w:rPr>
          <w:noProof/>
        </w:rPr>
        <mc:AlternateContent>
          <mc:Choice Requires="wps">
            <w:drawing>
              <wp:anchor distT="0" distB="0" distL="114300" distR="114300" simplePos="0" relativeHeight="251663360" behindDoc="0" locked="0" layoutInCell="1" hidden="0" allowOverlap="1" wp14:anchorId="760CEDA1" wp14:editId="69051D84">
                <wp:simplePos x="0" y="0"/>
                <wp:positionH relativeFrom="column">
                  <wp:posOffset>4495800</wp:posOffset>
                </wp:positionH>
                <wp:positionV relativeFrom="paragraph">
                  <wp:posOffset>241300</wp:posOffset>
                </wp:positionV>
                <wp:extent cx="474980" cy="307975"/>
                <wp:effectExtent l="0" t="0" r="0" b="0"/>
                <wp:wrapNone/>
                <wp:docPr id="82" name="Rectángulo 82"/>
                <wp:cNvGraphicFramePr/>
                <a:graphic xmlns:a="http://schemas.openxmlformats.org/drawingml/2006/main">
                  <a:graphicData uri="http://schemas.microsoft.com/office/word/2010/wordprocessingShape">
                    <wps:wsp>
                      <wps:cNvSpPr/>
                      <wps:spPr>
                        <a:xfrm>
                          <a:off x="5113273" y="3630775"/>
                          <a:ext cx="465455" cy="298450"/>
                        </a:xfrm>
                        <a:prstGeom prst="rect">
                          <a:avLst/>
                        </a:prstGeom>
                        <a:noFill/>
                        <a:ln>
                          <a:noFill/>
                        </a:ln>
                      </wps:spPr>
                      <wps:txbx>
                        <w:txbxContent>
                          <w:p w14:paraId="6811E994" w14:textId="77777777" w:rsidR="00B40B7D" w:rsidRDefault="002C12B5">
                            <w:pPr>
                              <w:spacing w:line="258" w:lineRule="auto"/>
                              <w:jc w:val="center"/>
                              <w:textDirection w:val="btLr"/>
                            </w:pPr>
                            <w:r>
                              <w:rPr>
                                <w:b/>
                                <w:color w:val="000000"/>
                              </w:rPr>
                              <w:t>B</w:t>
                            </w:r>
                          </w:p>
                        </w:txbxContent>
                      </wps:txbx>
                      <wps:bodyPr spcFirstLastPara="1" wrap="square" lIns="91425" tIns="45700" rIns="91425" bIns="45700" anchor="t" anchorCtr="0">
                        <a:noAutofit/>
                      </wps:bodyPr>
                    </wps:wsp>
                  </a:graphicData>
                </a:graphic>
              </wp:anchor>
            </w:drawing>
          </mc:Choice>
          <mc:Fallback>
            <w:pict>
              <v:rect w14:anchorId="760CEDA1" id="Rectángulo 82" o:spid="_x0000_s1031" style="position:absolute;left:0;text-align:left;margin-left:354pt;margin-top:19pt;width:37.4pt;height:24.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" filled="f" stroked="f">
                <v:textbox inset="2.53958mm,1.2694mm,2.53958mm,1.2694mm">
                  <w:txbxContent>
                    <w:p w14:paraId="6811E994" w14:textId="77777777" w:rsidR="00B40B7D" w:rsidRDefault="002C12B5">
                      <w:pPr>
                        <w:spacing w:line="258" w:lineRule="auto"/>
                        <w:jc w:val="center"/>
                        <w:textDirection w:val="btLr"/>
                      </w:pPr>
                      <w:r>
                        <w:rPr>
                          <w:b/>
                          <w:color w:val="000000"/>
                        </w:rPr>
                        <w:t>B</w:t>
                      </w:r>
                    </w:p>
                  </w:txbxContent>
                </v:textbox>
              </v:rect>
            </w:pict>
          </mc:Fallback>
        </mc:AlternateContent>
      </w:r>
    </w:p>
    <w:p w14:paraId="00000026" w14:textId="77777777" w:rsidR="00B40B7D" w:rsidRDefault="002C12B5">
      <w:pPr>
        <w:spacing w:line="360" w:lineRule="auto"/>
      </w:pPr>
      <w:r>
        <w:rPr>
          <w:b/>
        </w:rPr>
        <w:t xml:space="preserve">Figura 9. </w:t>
      </w:r>
      <w:r>
        <w:t xml:space="preserve">Valores promedios de longitud radicales (A) y foliares (B) por plántula de </w:t>
      </w:r>
      <w:r>
        <w:rPr>
          <w:i/>
        </w:rPr>
        <w:t xml:space="preserve">A. gangetica </w:t>
      </w:r>
      <w:r>
        <w:t>a 0, 2, 4, 6 y 8 cm de profundidad y las barras de error estándar de la media respectivas a cada profundidad (n=100).</w:t>
      </w:r>
    </w:p>
    <w:p w14:paraId="00000027" w14:textId="77777777" w:rsidR="00B40B7D" w:rsidRDefault="002C12B5">
      <w:pPr>
        <w:pStyle w:val="Ttulo1"/>
      </w:pPr>
      <w:r>
        <w:t xml:space="preserve">Discusión  </w:t>
      </w:r>
    </w:p>
    <w:p w14:paraId="00000028" w14:textId="77777777" w:rsidR="00B40B7D" w:rsidRDefault="002C12B5">
      <w:pPr>
        <w:pStyle w:val="Ttulo1"/>
        <w:spacing w:line="360" w:lineRule="auto"/>
      </w:pPr>
      <w:r>
        <w:t xml:space="preserve">Ruptura de dormancia en semillas de </w:t>
      </w:r>
      <w:r>
        <w:rPr>
          <w:i/>
        </w:rPr>
        <w:t xml:space="preserve">Asystasia gangetica </w:t>
      </w:r>
      <w:r>
        <w:t>usando diferentes temperaturas y tiempos de exposición.</w:t>
      </w:r>
    </w:p>
    <w:p w14:paraId="00000029" w14:textId="77777777" w:rsidR="00B40B7D" w:rsidRDefault="00B40B7D">
      <w:pPr>
        <w:spacing w:line="360" w:lineRule="auto"/>
      </w:pPr>
    </w:p>
    <w:p w14:paraId="0000002A" w14:textId="77777777" w:rsidR="00B40B7D" w:rsidRDefault="002C12B5">
      <w:pPr>
        <w:spacing w:line="360" w:lineRule="auto"/>
        <w:ind w:firstLine="720"/>
      </w:pPr>
      <w:r>
        <w:t xml:space="preserve">El objetivo principal de este experimento era determinar un tratamiento óptimo que rompiera la dormancia de las semillas de </w:t>
      </w:r>
      <w:r>
        <w:rPr>
          <w:i/>
        </w:rPr>
        <w:t>A. gangetica</w:t>
      </w:r>
      <w:r>
        <w:t xml:space="preserve">. En este experimento se demostró que es efectivo el empleo de temperatura para romper la </w:t>
      </w:r>
      <w:r>
        <w:lastRenderedPageBreak/>
        <w:t xml:space="preserve">dormancia de las semillas de </w:t>
      </w:r>
      <w:r>
        <w:rPr>
          <w:i/>
        </w:rPr>
        <w:t>A. gangetica</w:t>
      </w:r>
      <w:r>
        <w:t xml:space="preserve"> ya que todos los tratamientos presentaron porcentajes de germinación mayores que el control (</w:t>
      </w:r>
      <w:r>
        <w:rPr>
          <w:b/>
        </w:rPr>
        <w:t>Figura 1 y 2)</w:t>
      </w:r>
      <w:r>
        <w:t xml:space="preserve">. </w:t>
      </w:r>
    </w:p>
    <w:p w14:paraId="0000002B" w14:textId="266FCA41" w:rsidR="00B40B7D" w:rsidRDefault="002C12B5">
      <w:pPr>
        <w:spacing w:line="360" w:lineRule="auto"/>
        <w:ind w:firstLine="720"/>
      </w:pPr>
      <w:r>
        <w:t>Se determinó que el tratamiento a 40 ºC durante 1 hora fue el óptimo debido a que presentó el mayor porcentaje de germinación al final de la evaluación (</w:t>
      </w:r>
      <w:r>
        <w:rPr>
          <w:b/>
        </w:rPr>
        <w:t>Figura 1 y 2</w:t>
      </w:r>
      <w:r>
        <w:t xml:space="preserve">), esto puede relacionarse a la pérdida (provocada por el calor) de barreras físicas y/o mecánicas que rodean los tegumentos de la semilla </w:t>
      </w:r>
      <w:r w:rsidR="009D14B5">
        <w:fldChar w:fldCharType="begin" w:fldLock="1"/>
      </w:r>
      <w:r w:rsidR="00EB5D1F">
        <w:instrText>ADDIN CSL_CITATION {"citationItems":[{"id":"ITEM-1","itemData":{"DOI":"10.1093/aob/mcm070","ISSN":"03057364","PMID":"17513869","abstract":"• Background and Aims: Convolvulaceae is the most advanced plant family (asterid clade) that produces seeds with physical dormancy (water-impermeable seed coat). There are several different opinions about the nature of the specialized structure ('water gap') in the seed coat through which water initially enters seeds of Convolvulaceae, but none of them has been documented clearly. The primary aim of the study was to identify the water gap in seeds of Ipomoea lacunosa (Convolvulaceae) and to describe its morphology, anatomy and function. • Methods: Light microscopy, scanning electron microscopy, tissue-sectioning, dye-tracking and blocking experiments were used to describe the morphology, anatomy and function of the water gap in seeds of I. lacunosa. • Key Results: Dormancy-breaking treatments caused slits to form around the two bulges on the seed coat adjacent to the hilum, and dye entered the seed only via the disrupted bulges. Bulge anatomy differs from that of the rest of the seed coat. Sclereid cells of the bulges are more compacted and elongated than those in the hilum pad and in the rest of the seed coat away from the bulges. • Conclusions: The transition area between elongated and square-shaped sclereid cells is the place where the water gap opens. Morphology/anatomy of the water gap in Convolvulaceae differs from that of taxa in the other 11 angiosperm plant families that produce seeds with physical dormancy for which it has been described. © The Author 2007. Published by Oxford University Press on behalf of the Annals of Botany Company. All rights reserved.","author":[{"dropping-particle":"","family":"Jayasuriya","given":"K. M.G.Gehan","non-dropping-particle":"","parse-names":false,"suffix":""},{"dropping-particle":"","family":"Baskin","given":"Jerry M.","non-dropping-particle":"","parse-names":false,"suffix":""},{"dropping-particle":"","family":"Geneve","given":"Robert L.","non-dropping-particle":"","parse-names":false,"suffix":""},{"dropping-particle":"","family":"Baskin","given":"Carol C.","non-dropping-particle":"","parse-names":false,"suffix":""}],"container-title":"Annals of Botany","id":"ITEM-1","issue":"1","issued":{"date-parts":[["2007"]]},"page":"13-22","title":"Morphology and anatomy of physical dormancy in Ipomoea lacunosa: Identification of the water gap in seeds of convolvulaceae (Solanales)","type":"article-journal","volume":"100"},"uris":["http://www.mendeley.com/documents/?uuid=58c8a4e9-8982-40ea-8f07-1055974f9583"]},{"id":"ITEM-2","itemData":{"DOI":"10.1046/j.1442-1984.2000.00034.x","ISSN":"0913557X","abstract":"Physical dormancy (PY) is caused by a water-impermeable seed or fruit coat. It is known, or highly suspected, to occur in nine orders and 15 families of angiosperms (sensu Angiosperm Phylogeny Group 1998), 13 of which are core eudicots. The Zingiberales is the only monocot order, and Cannaceae (Canna) the only monocot family, in which PY is known to occur. Six of the nine orders, and 12 of the 15 families, in which PY occurs are rosids. Furthermore, six of the families belong to the Malvales. The water-impermeable palisade layer(s) of cells are located in the seed coats of 13 of the families, and in the fruit coats of Anacardiaceae and Nelumbonaceae. In all 15 families, a specialized structure is associated with the water-impermeable layer(s). The breaking of PY involves disruption or dislodgment of these structures, which act as environmental 'signal detectors' for germination. Representatives of the nine angiosperm orders in which PY occurs had evolved by the late Cretaceous or early Tertiary (Paleogene). Anatomical evidence for PY in fruits of the extinct species Rhus rooseae (Anacardiaceae, middle Eocene) suggests that PY had evolved by 43 Ma, and probably much earlier. We have constructed a conceptual model for the evolution of PY, and of PY+ physiological dormancy (PD), within Anacardiaceae. The model begins in pre-Eocene times with an ancestral species that has large, pachychalazal, non-dormant (ND), recalcitrant seeds. By the middle Eocene, a derived species with relatively small, partial pachychalazal, orthodox seeds and a water-impermeable endocarp (thus PY) had evolved, and by the Oligocene, PD had been added to the seed (true seed + endocarp) dormancy mechanism. It is suggested that climatic drying (Eocene), followed by climatic cooling (Eocene-Oligocene transition), were the primary selective agents in the development of PY. An evolutionary connection between PY and recalcitrance is suggested by the relatively high concentration of these two character states in the rosids. Phylogenetic data and fossil evidence seem to support the PY→(PY+PD) evolutionary sequence in Anacardiaceae, which also may have occured in Leguminosae.","author":[{"dropping-particle":"","family":"Baskin","given":"Jerry M.","non-dropping-particle":"","parse-names":false,"suffix":""},{"dropping-particle":"","family":"Baskin","given":"Carol C.","non-dropping-particle":"","parse-names":false,"suffix":""},{"dropping-particle":"","family":"Li","given":"Xiaojie","non-dropping-particle":"","parse-names":false,"suffix":""}],"container-title":"Plant Species Biology","id":"ITEM-2","issue":"2","issued":{"date-parts":[["2000"]]},"page":"139-152","title":"Taxonomy, anatomy and evolution of physical dormancy in seeds","type":"article-journal","volume":"15"},"uris":["http://www.mendeley.com/documents/?uuid=b0913456-da08-40df-8049-cb5c3eb37f72"]}],"mendeley":{"formattedCitation":"(Baskin et al., 2000; Jayasuriya et al., 2007)","plainTextFormattedCitation":"(Baskin et al., 2000; Jayasuriya et al., 2007)","previouslyFormattedCitation":"(Baskin et al., 2000; Jayasuriya et al., 2007)"},"properties":{"noteIndex":0},"schema":"https://github.com/citation-style-language/schema/raw/master/csl-citation.json"}</w:instrText>
      </w:r>
      <w:r w:rsidR="009D14B5">
        <w:fldChar w:fldCharType="separate"/>
      </w:r>
      <w:r w:rsidR="00A45685" w:rsidRPr="00A45685">
        <w:rPr>
          <w:noProof/>
        </w:rPr>
        <w:t xml:space="preserve">(Baskin </w:t>
      </w:r>
      <w:r w:rsidR="00A45685" w:rsidRPr="002538E8">
        <w:rPr>
          <w:i/>
          <w:iCs/>
          <w:noProof/>
        </w:rPr>
        <w:t>et al</w:t>
      </w:r>
      <w:r w:rsidR="00A45685" w:rsidRPr="00A45685">
        <w:rPr>
          <w:noProof/>
        </w:rPr>
        <w:t xml:space="preserve">., 2000; Jayasuriya </w:t>
      </w:r>
      <w:r w:rsidR="00A45685" w:rsidRPr="002538E8">
        <w:rPr>
          <w:i/>
          <w:iCs/>
          <w:noProof/>
        </w:rPr>
        <w:t>et al</w:t>
      </w:r>
      <w:r w:rsidR="00A45685" w:rsidRPr="00A45685">
        <w:rPr>
          <w:noProof/>
        </w:rPr>
        <w:t>., 2007)</w:t>
      </w:r>
      <w:r w:rsidR="009D14B5">
        <w:fldChar w:fldCharType="end"/>
      </w:r>
      <w:r>
        <w:t xml:space="preserve">. Las barreras físicas pueden ser estructuras y hacen que la semilla sea impermeable al agua y además limitan el intercambio gaseoso que promueve los procesos de germinación </w:t>
      </w:r>
      <w:r w:rsidR="00EB5D1F">
        <w:fldChar w:fldCharType="begin" w:fldLock="1"/>
      </w:r>
      <w:r w:rsidR="002F306F">
        <w:instrText>ADDIN CSL_CITATION {"citationItems":[{"id":"ITEM-1","itemData":{"DOI":"10.1093/aob/mcm070","ISSN":"03057364","PMID":"17513869","abstract":"• Background and Aims: Convolvulaceae is the most advanced plant family (asterid clade) that produces seeds with physical dormancy (water-impermeable seed coat). There are several different opinions about the nature of the specialized structure ('water gap') in the seed coat through which water initially enters seeds of Convolvulaceae, but none of them has been documented clearly. The primary aim of the study was to identify the water gap in seeds of Ipomoea lacunosa (Convolvulaceae) and to describe its morphology, anatomy and function. • Methods: Light microscopy, scanning electron microscopy, tissue-sectioning, dye-tracking and blocking experiments were used to describe the morphology, anatomy and function of the water gap in seeds of I. lacunosa. • Key Results: Dormancy-breaking treatments caused slits to form around the two bulges on the seed coat adjacent to the hilum, and dye entered the seed only via the disrupted bulges. Bulge anatomy differs from that of the rest of the seed coat. Sclereid cells of the bulges are more compacted and elongated than those in the hilum pad and in the rest of the seed coat away from the bulges. • Conclusions: The transition area between elongated and square-shaped sclereid cells is the place where the water gap opens. Morphology/anatomy of the water gap in Convolvulaceae differs from that of taxa in the other 11 angiosperm plant families that produce seeds with physical dormancy for which it has been described. © The Author 2007. Published by Oxford University Press on behalf of the Annals of Botany Company. All rights reserved.","author":[{"dropping-particle":"","family":"Jayasuriya","given":"K. M.G.Gehan","non-dropping-particle":"","parse-names":false,"suffix":""},{"dropping-particle":"","family":"Baskin","given":"Jerry M.","non-dropping-particle":"","parse-names":false,"suffix":""},{"dropping-particle":"","family":"Geneve","given":"Robert L.","non-dropping-particle":"","parse-names":false,"suffix":""},{"dropping-particle":"","family":"Baskin","given":"Carol C.","non-dropping-particle":"","parse-names":false,"suffix":""}],"container-title":"Annals of Botany","id":"ITEM-1","issue":"1","issued":{"date-parts":[["2007"]]},"page":"13-22","title":"Morphology and anatomy of physical dormancy in Ipomoea lacunosa: Identification of the water gap in seeds of convolvulaceae (Solanales)","type":"article-journal","volume":"100"},"uris":["http://www.mendeley.com/documents/?uuid=58c8a4e9-8982-40ea-8f07-1055974f9583"]},{"id":"ITEM-2","itemData":{"DOI":"10.1046/j.1442-1984.2000.00034.x","ISSN":"0913557X","abstract":"Physical dormancy (PY) is caused by a water-impermeable seed or fruit coat. It is known, or highly suspected, to occur in nine orders and 15 families of angiosperms (sensu Angiosperm Phylogeny Group 1998), 13 of which are core eudicots. The Zingiberales is the only monocot order, and Cannaceae (Canna) the only monocot family, in which PY is known to occur. Six of the nine orders, and 12 of the 15 families, in which PY occurs are rosids. Furthermore, six of the families belong to the Malvales. The water-impermeable palisade layer(s) of cells are located in the seed coats of 13 of the families, and in the fruit coats of Anacardiaceae and Nelumbonaceae. In all 15 families, a specialized structure is associated with the water-impermeable layer(s). The breaking of PY involves disruption or dislodgment of these structures, which act as environmental 'signal detectors' for germination. Representatives of the nine angiosperm orders in which PY occurs had evolved by the late Cretaceous or early Tertiary (Paleogene). Anatomical evidence for PY in fruits of the extinct species Rhus rooseae (Anacardiaceae, middle Eocene) suggests that PY had evolved by 43 Ma, and probably much earlier. We have constructed a conceptual model for the evolution of PY, and of PY+ physiological dormancy (PD), within Anacardiaceae. The model begins in pre-Eocene times with an ancestral species that has large, pachychalazal, non-dormant (ND), recalcitrant seeds. By the middle Eocene, a derived species with relatively small, partial pachychalazal, orthodox seeds and a water-impermeable endocarp (thus PY) had evolved, and by the Oligocene, PD had been added to the seed (true seed + endocarp) dormancy mechanism. It is suggested that climatic drying (Eocene), followed by climatic cooling (Eocene-Oligocene transition), were the primary selective agents in the development of PY. An evolutionary connection between PY and recalcitrance is suggested by the relatively high concentration of these two character states in the rosids. Phylogenetic data and fossil evidence seem to support the PY→(PY+PD) evolutionary sequence in Anacardiaceae, which also may have occured in Leguminosae.","author":[{"dropping-particle":"","family":"Baskin","given":"Jerry M.","non-dropping-particle":"","parse-names":false,"suffix":""},{"dropping-particle":"","family":"Baskin","given":"Carol C.","non-dropping-particle":"","parse-names":false,"suffix":""},{"dropping-particle":"","family":"Li","given":"Xiaojie","non-dropping-particle":"","parse-names":false,"suffix":""}],"container-title":"Plant Species Biology","id":"ITEM-2","issue":"2","issued":{"date-parts":[["2000"]]},"page":"139-152","title":"Taxonomy, anatomy and evolution of physical dormancy in seeds","type":"article-journal","volume":"15"},"uris":["http://www.mendeley.com/documents/?uuid=b0913456-da08-40df-8049-cb5c3eb37f72"]}],"mendeley":{"formattedCitation":"(Baskin et al., 2000; Jayasuriya et al., 2007)","plainTextFormattedCitation":"(Baskin et al., 2000; Jayasuriya et al., 2007)","previouslyFormattedCitation":"(Baskin et al., 2000; Jayasuriya et al., 2007)"},"properties":{"noteIndex":0},"schema":"https://github.com/citation-style-language/schema/raw/master/csl-citation.json"}</w:instrText>
      </w:r>
      <w:r w:rsidR="00EB5D1F">
        <w:fldChar w:fldCharType="separate"/>
      </w:r>
      <w:r w:rsidR="00EB5D1F" w:rsidRPr="00EB5D1F">
        <w:rPr>
          <w:noProof/>
        </w:rPr>
        <w:t xml:space="preserve">(Baskin </w:t>
      </w:r>
      <w:r w:rsidR="00EB5D1F" w:rsidRPr="002538E8">
        <w:rPr>
          <w:i/>
          <w:iCs/>
          <w:noProof/>
        </w:rPr>
        <w:t>et al</w:t>
      </w:r>
      <w:r w:rsidR="00EB5D1F" w:rsidRPr="00EB5D1F">
        <w:rPr>
          <w:noProof/>
        </w:rPr>
        <w:t xml:space="preserve">., 2000; Jayasuriya </w:t>
      </w:r>
      <w:r w:rsidR="00EB5D1F" w:rsidRPr="002538E8">
        <w:rPr>
          <w:i/>
          <w:iCs/>
          <w:noProof/>
        </w:rPr>
        <w:t>et al</w:t>
      </w:r>
      <w:r w:rsidR="00EB5D1F" w:rsidRPr="00EB5D1F">
        <w:rPr>
          <w:noProof/>
        </w:rPr>
        <w:t>., 2007)</w:t>
      </w:r>
      <w:r w:rsidR="00EB5D1F">
        <w:fldChar w:fldCharType="end"/>
      </w:r>
      <w:r>
        <w:t xml:space="preserve">. </w:t>
      </w:r>
    </w:p>
    <w:p w14:paraId="0000002C" w14:textId="2180B412" w:rsidR="00B40B7D" w:rsidRDefault="002C12B5">
      <w:pPr>
        <w:spacing w:line="360" w:lineRule="auto"/>
        <w:ind w:firstLine="720"/>
      </w:pPr>
      <w:r>
        <w:t xml:space="preserve">La estratificación cálida es someter las semillas a temperaturas cálidas que pueden favorecer al reblandecimiento de pericarpos y testas duras o también puede propiciar la maduración de un embrión subdesarrollado </w:t>
      </w:r>
      <w:r w:rsidR="002F306F">
        <w:fldChar w:fldCharType="begin" w:fldLock="1"/>
      </w:r>
      <w:r w:rsidR="00175272">
        <w:instrText>ADDIN CSL_CITATION {"citationItems":[{"id":"ITEM-1","itemData":{"abstract":"Germinación y dormancia de semillas Bases conceptuales, métodos de colecta, almacenamiento y manejo en laboratorio.","author":[{"dropping-particle":"","family":"Pérez-Martínez","given":"Laura Victoria","non-dropping-particle":"","parse-names":false,"suffix":""},{"dropping-particle":"","family":"Rodríguez-Castillo","given":"Natalia Alejandra","non-dropping-particle":"","parse-names":false,"suffix":""},{"dropping-particle":"","family":"Ríos","given":"Orlando Vargas","non-dropping-particle":"","parse-names":false,"suffix":""},{"dropping-particle":"","family":"Melgarejo","given":"Luz Marina","non-dropping-particle":"","parse-names":false,"suffix":""}],"container-title":"Germinación y dormancia de semillas","id":"ITEM-1","issue":"April 2018","issued":{"date-parts":[["2014"]]},"number-of-pages":"63-113","title":"Germinación y dormancia de semillas","type":"book","volume":"Capitulo 3"},"uris":["http://www.mendeley.com/documents/?uuid=6ee6e774-256a-4f16-a140-aabe1ff2a0d3"]}],"mendeley":{"formattedCitation":"(Pérez-Martínez et al., 2014)","plainTextFormattedCitation":"(Pérez-Martínez et al., 2014)","previouslyFormattedCitation":"(Pérez-Martínez et al., 2014)"},"properties":{"noteIndex":0},"schema":"https://github.com/citation-style-language/schema/raw/master/csl-citation.json"}</w:instrText>
      </w:r>
      <w:r w:rsidR="002F306F">
        <w:fldChar w:fldCharType="separate"/>
      </w:r>
      <w:r w:rsidR="002F306F" w:rsidRPr="002F306F">
        <w:rPr>
          <w:noProof/>
        </w:rPr>
        <w:t xml:space="preserve">(Pérez-Martínez </w:t>
      </w:r>
      <w:r w:rsidR="002F306F" w:rsidRPr="002538E8">
        <w:rPr>
          <w:i/>
          <w:iCs/>
          <w:noProof/>
        </w:rPr>
        <w:t>et al</w:t>
      </w:r>
      <w:r w:rsidR="002F306F" w:rsidRPr="002F306F">
        <w:rPr>
          <w:noProof/>
        </w:rPr>
        <w:t>., 2014)</w:t>
      </w:r>
      <w:r w:rsidR="002F306F">
        <w:fldChar w:fldCharType="end"/>
      </w:r>
      <w:r>
        <w:t>, la respuesta del tratamiento de 2 horas a la misma temperatura puede estar relacionada a la misma pérdida de las barreras físicas (</w:t>
      </w:r>
      <w:r>
        <w:rPr>
          <w:b/>
        </w:rPr>
        <w:t>Figura 1 y 2</w:t>
      </w:r>
      <w:r>
        <w:t xml:space="preserve">). Al emplear la inmersión de las semillas de </w:t>
      </w:r>
      <w:r>
        <w:rPr>
          <w:i/>
        </w:rPr>
        <w:t xml:space="preserve">A. gangetica </w:t>
      </w:r>
      <w:r>
        <w:t>en KNO</w:t>
      </w:r>
      <w:r>
        <w:rPr>
          <w:vertAlign w:val="subscript"/>
        </w:rPr>
        <w:t>3</w:t>
      </w:r>
      <w:r>
        <w:t xml:space="preserve"> al 5% durante 12 horas (control) se puede contrastar el efecto que se obtuvo al usar la escarificación cálida, probablemente hubo poca germinación en el control por la incapacidad de absorber agua por parte de las semillas, debido a la presencia de las barreras mencionadas anteriormente. </w:t>
      </w:r>
    </w:p>
    <w:p w14:paraId="0000002D" w14:textId="2369A5FC" w:rsidR="00B40B7D" w:rsidRDefault="002C12B5">
      <w:pPr>
        <w:spacing w:line="360" w:lineRule="auto"/>
        <w:ind w:firstLine="720"/>
      </w:pPr>
      <w:r>
        <w:t>El efecto de exposición de 1 minuto con fluctuaciones de temperatura a 40 ºC y 60 ºC demostraron que también puede ser un tratamiento viable para la ruptura de la dormancia (</w:t>
      </w:r>
      <w:r>
        <w:rPr>
          <w:b/>
        </w:rPr>
        <w:t>Figura 1 y 2</w:t>
      </w:r>
      <w:r>
        <w:t xml:space="preserve">). </w:t>
      </w:r>
      <w:r w:rsidR="00175272">
        <w:fldChar w:fldCharType="begin" w:fldLock="1"/>
      </w:r>
      <w:r w:rsidR="003A7E3E">
        <w:instrText>ADDIN CSL_CITATION {"citationItems":[{"id":"ITEM-1","itemData":{"DOI":"10.1023/A","ISSN":"00138703","abstract":"The effects of topographic position on water regime in a semideciduous tropical forest on Barro Colorado Island in Panamá were assessed by measuring soil matric potential using the filter paper technique and by using measured soil water release characteristics to convert a long-term (20 years) gravimetric water content data-set to matric potential. These were also compared against predictions from a simple water balance model. Soil matric potentials on slope sites were significantly higher than on plateau sites throughout the measurement interval and slopes experienced a shorter duration of drought during the annual dry-season. Measured values of matric potential agreed with those predicted from converting the gravimetric measurements using water release characteristics. Annual duration of drought predicted by the simple water balance model agreed with values determined from the converted long term water content data-set and was able to predict the annual duration of drought on plateau sites. On slope sites, the water balance systematically and significantly overestimated the duration of drought obtained from the water content data-set, suggesting that slope sites were supplied with water from upslope. Predictions of annual drought duration from sites with higher annual rainfall than Barro Colorado Island (BCI), suggest that while plateau sites on BCI experience a water regime consistent with annual rainfall, slopes experience a water regime more similar to that of forests with much higher rainfall. We conclude that such large variations in water regime over small spatial scales may play a role in maintaining high species richness through providing opportunities for niche specialisation and by buffering slopes against possible climate change","author":[{"dropping-particle":"","family":"Daws","given":"Matthew I.","non-dropping-particle":"","parse-names":false,"suffix":""},{"dropping-particle":"","family":"Mullins","given":"Christopher E.","non-dropping-particle":"","parse-names":false,"suffix":""},{"dropping-particle":"","family":"Burslem","given":"David F.R.P.","non-dropping-particle":"","parse-names":false,"suffix":""},{"dropping-particle":"","family":"R.Paton","given":"Steven","non-dropping-particle":"","parse-names":false,"suffix":""},{"dropping-particle":"","family":"James W","given":"Dalling","non-dropping-particle":"","parse-names":false,"suffix":""}],"container-title":"Plant and Soil","id":"ITEM-1","issued":{"date-parts":[["2002"]]},"page":"79-90","title":"Topographic position affects the water regime in a semideciduous tropical forest in Panamá","type":"article-journal","volume":"238"},"uris":["http://www.mendeley.com/documents/?uuid=4b243c38-1e13-4afd-8641-f839df628b1f"]}],"mendeley":{"formattedCitation":"(Daws et al., 2002)","plainTextFormattedCitation":"(Daws et al., 2002)","previouslyFormattedCitation":"(Daws et al., 2002)"},"properties":{"noteIndex":0},"schema":"https://github.com/citation-style-language/schema/raw/master/csl-citation.json"}</w:instrText>
      </w:r>
      <w:r w:rsidR="00175272">
        <w:fldChar w:fldCharType="separate"/>
      </w:r>
      <w:r w:rsidR="00175272" w:rsidRPr="00175272">
        <w:rPr>
          <w:noProof/>
        </w:rPr>
        <w:t xml:space="preserve">(Daws </w:t>
      </w:r>
      <w:r w:rsidR="00175272" w:rsidRPr="002538E8">
        <w:rPr>
          <w:i/>
          <w:iCs/>
          <w:noProof/>
        </w:rPr>
        <w:t>et al</w:t>
      </w:r>
      <w:r w:rsidR="00175272" w:rsidRPr="00175272">
        <w:rPr>
          <w:noProof/>
        </w:rPr>
        <w:t>., 2002)</w:t>
      </w:r>
      <w:r w:rsidR="00175272">
        <w:fldChar w:fldCharType="end"/>
      </w:r>
      <w:r w:rsidR="00175272">
        <w:t xml:space="preserve"> </w:t>
      </w:r>
      <w:r>
        <w:t xml:space="preserve">afirma que en ambientes disturbados las temperaturas fluctuantes, la luz y la presencia de nitratos en el suelo son las señales más citadas que afectan la germinación, esto puede dar explicación al porcentaje de germinación del 76% y la tendencia general a lo largo del tiempo mostrada en dicho tratamiento </w:t>
      </w:r>
      <w:r>
        <w:rPr>
          <w:b/>
        </w:rPr>
        <w:t>(Figura 1)</w:t>
      </w:r>
      <w:r>
        <w:t xml:space="preserve">. </w:t>
      </w:r>
    </w:p>
    <w:p w14:paraId="0000002E" w14:textId="4655F488" w:rsidR="00B40B7D" w:rsidRDefault="002C12B5">
      <w:pPr>
        <w:spacing w:line="360" w:lineRule="auto"/>
        <w:ind w:firstLine="720"/>
      </w:pPr>
      <w:r>
        <w:t xml:space="preserve">Basados en los resultados de los otros tratamientos y dado el origen de la especie de </w:t>
      </w:r>
      <w:r>
        <w:rPr>
          <w:i/>
        </w:rPr>
        <w:t>A. gangetica</w:t>
      </w:r>
      <w:r>
        <w:t xml:space="preserve"> es factible considerar que los tratamientos en donde se usaron fluctuaciones de temperatura de 4 ºC y 30 ºC durante diferentes lapsos pudieron haber obtenido un mayor porcentaje de germinación si hubiesen estado </w:t>
      </w:r>
      <w:r>
        <w:lastRenderedPageBreak/>
        <w:t xml:space="preserve">cercanos a 40 ºC. </w:t>
      </w:r>
      <w:r w:rsidR="003A7E3E">
        <w:fldChar w:fldCharType="begin" w:fldLock="1"/>
      </w:r>
      <w:r w:rsidR="002538E8">
        <w:instrText>ADDIN CSL_CITATION {"citationItems":[{"id":"ITEM-1","itemData":{"abstract":"Germinación y dormancia de semillas Bases conceptuales, métodos de colecta, almacenamiento y manejo en laboratorio.","author":[{"dropping-particle":"","family":"Pérez-Martínez","given":"Laura Victoria","non-dropping-particle":"","parse-names":false,"suffix":""},{"dropping-particle":"","family":"Rodríguez-Castillo","given":"Natalia Alejandra","non-dropping-particle":"","parse-names":false,"suffix":""},{"dropping-particle":"","family":"Ríos","given":"Orlando Vargas","non-dropping-particle":"","parse-names":false,"suffix":""},{"dropping-particle":"","family":"Melgarejo","given":"Luz Marina","non-dropping-particle":"","parse-names":false,"suffix":""}],"container-title":"Germinación y dormancia de semillas","id":"ITEM-1","issue":"April 2018","issued":{"date-parts":[["2014"]]},"number-of-pages":"63-113","title":"Germinación y dormancia de semillas","type":"book","volume":"Capitulo 3"},"uris":["http://www.mendeley.com/documents/?uuid=6ee6e774-256a-4f16-a140-aabe1ff2a0d3"]}],"mendeley":{"formattedCitation":"(Pérez-Martínez et al., 2014)","manualFormatting":"(Schmit, 2000 citado por Pérez-Martínez et al., 2014)","plainTextFormattedCitation":"(Pérez-Martínez et al., 2014)","previouslyFormattedCitation":"(Pérez-Martínez et al., 2014)"},"properties":{"noteIndex":0},"schema":"https://github.com/citation-style-language/schema/raw/master/csl-citation.json"}</w:instrText>
      </w:r>
      <w:r w:rsidR="003A7E3E">
        <w:fldChar w:fldCharType="separate"/>
      </w:r>
      <w:r w:rsidR="003A7E3E" w:rsidRPr="003A7E3E">
        <w:rPr>
          <w:noProof/>
        </w:rPr>
        <w:t>(</w:t>
      </w:r>
      <w:r w:rsidR="003A7E3E">
        <w:rPr>
          <w:noProof/>
        </w:rPr>
        <w:t xml:space="preserve">Schmit, 2000 citado por </w:t>
      </w:r>
      <w:r w:rsidR="003A7E3E" w:rsidRPr="003A7E3E">
        <w:rPr>
          <w:noProof/>
        </w:rPr>
        <w:t xml:space="preserve">Pérez-Martínez </w:t>
      </w:r>
      <w:r w:rsidR="003A7E3E" w:rsidRPr="002538E8">
        <w:rPr>
          <w:i/>
          <w:iCs/>
          <w:noProof/>
        </w:rPr>
        <w:t>et al</w:t>
      </w:r>
      <w:r w:rsidR="003A7E3E" w:rsidRPr="003A7E3E">
        <w:rPr>
          <w:noProof/>
        </w:rPr>
        <w:t>., 2014)</w:t>
      </w:r>
      <w:r w:rsidR="003A7E3E">
        <w:fldChar w:fldCharType="end"/>
      </w:r>
      <w:r>
        <w:t xml:space="preserve">, afirman que en las especies de zonas tropicales húmedas es necesario exponer </w:t>
      </w:r>
      <w:r w:rsidR="00A137EB">
        <w:t>las semillas</w:t>
      </w:r>
      <w:r>
        <w:t xml:space="preserve"> a fluctuaciones de temperatura para simular claros y las especies zonas tropicales secas pueden romper la dormancia si se exponen a altas temperaturas </w:t>
      </w:r>
      <w:r w:rsidR="002538E8">
        <w:fldChar w:fldCharType="begin" w:fldLock="1"/>
      </w:r>
      <w:r w:rsidR="00332FF2">
        <w:instrText>ADDIN CSL_CITATION {"citationItems":[{"id":"ITEM-1","itemData":{"abstract":"Germinación y dormancia de semillas Bases conceptuales, métodos de colecta, almacenamiento y manejo en laboratorio.","author":[{"dropping-particle":"","family":"Pérez-Martínez","given":"Laura Victoria","non-dropping-particle":"","parse-names":false,"suffix":""},{"dropping-particle":"","family":"Rodríguez-Castillo","given":"Natalia Alejandra","non-dropping-particle":"","parse-names":false,"suffix":""},{"dropping-particle":"","family":"Ríos","given":"Orlando Vargas","non-dropping-particle":"","parse-names":false,"suffix":""},{"dropping-particle":"","family":"Melgarejo","given":"Luz Marina","non-dropping-particle":"","parse-names":false,"suffix":""}],"container-title":"Germinación y dormancia de semillas","id":"ITEM-1","issue":"April 2018","issued":{"date-parts":[["2014"]]},"number-of-pages":"63-113","title":"Germinación y dormancia de semillas","type":"book","volume":"Capitulo 3"},"uris":["http://www.mendeley.com/documents/?uuid=6ee6e774-256a-4f16-a140-aabe1ff2a0d3"]}],"mendeley":{"formattedCitation":"(Pérez-Martínez et al., 2014)","manualFormatting":"( Schmit, 2000 citado por Pérez-Martínez et al., 2014)","plainTextFormattedCitation":"(Pérez-Martínez et al., 2014)","previouslyFormattedCitation":"(Pérez-Martínez et al., 2014)"},"properties":{"noteIndex":0},"schema":"https://github.com/citation-style-language/schema/raw/master/csl-citation.json"}</w:instrText>
      </w:r>
      <w:r w:rsidR="002538E8">
        <w:fldChar w:fldCharType="separate"/>
      </w:r>
      <w:r w:rsidR="002538E8" w:rsidRPr="002538E8">
        <w:rPr>
          <w:noProof/>
        </w:rPr>
        <w:t xml:space="preserve">( </w:t>
      </w:r>
      <w:r w:rsidR="002538E8">
        <w:rPr>
          <w:noProof/>
        </w:rPr>
        <w:t>Schmit, 2000 citado por</w:t>
      </w:r>
      <w:r w:rsidR="002538E8" w:rsidRPr="002538E8">
        <w:rPr>
          <w:noProof/>
        </w:rPr>
        <w:t xml:space="preserve"> Pérez-Martínez </w:t>
      </w:r>
      <w:r w:rsidR="002538E8" w:rsidRPr="002538E8">
        <w:rPr>
          <w:i/>
          <w:iCs/>
          <w:noProof/>
        </w:rPr>
        <w:t>et al</w:t>
      </w:r>
      <w:r w:rsidR="002538E8" w:rsidRPr="002538E8">
        <w:rPr>
          <w:noProof/>
        </w:rPr>
        <w:t>., 2014)</w:t>
      </w:r>
      <w:r w:rsidR="002538E8">
        <w:fldChar w:fldCharType="end"/>
      </w:r>
      <w:r>
        <w:t xml:space="preserve">, es probable que la especie </w:t>
      </w:r>
      <w:r>
        <w:rPr>
          <w:i/>
        </w:rPr>
        <w:t xml:space="preserve">A. gangetica </w:t>
      </w:r>
      <w:r>
        <w:t>con la que se trabajó</w:t>
      </w:r>
      <w:r>
        <w:rPr>
          <w:i/>
        </w:rPr>
        <w:t xml:space="preserve"> </w:t>
      </w:r>
      <w:r>
        <w:t xml:space="preserve">se encuentre adaptada a ambos tipos de </w:t>
      </w:r>
      <w:r w:rsidR="00B91E95">
        <w:t>clima,</w:t>
      </w:r>
      <w:r>
        <w:t xml:space="preserve"> pero su germinación se ve favorecida cuando se usan temperaturas de 40 ºC.</w:t>
      </w:r>
    </w:p>
    <w:p w14:paraId="0000002F" w14:textId="261B3A2C" w:rsidR="00B40B7D" w:rsidRDefault="002C12B5">
      <w:pPr>
        <w:spacing w:line="360" w:lineRule="auto"/>
        <w:ind w:firstLine="720"/>
      </w:pPr>
      <w:r>
        <w:t xml:space="preserve">En </w:t>
      </w:r>
      <w:r w:rsidR="002538E8">
        <w:t>conclusión,</w:t>
      </w:r>
      <w:r>
        <w:t xml:space="preserve"> la dormancia de </w:t>
      </w:r>
      <w:r>
        <w:rPr>
          <w:i/>
        </w:rPr>
        <w:t xml:space="preserve">A. gangetica </w:t>
      </w:r>
      <w:r>
        <w:t xml:space="preserve">puede romperse si se usan estratificaciones cálidas por lo que puede estar relacionada a una termodormancia o una dormancia exógena de tipo mecánico. Se escogió el tratamiento de 40 ºC durante 1 hora por obtener el mayor porcentaje de germinación y además por ser un método de menor duración a la hora de emplearlo en futuros experimentos. Aunque el tratamiento de 40 y 60 ºC puede ser más rápido se recomiendan realizar más experimentos ya que si no se realiza de manera adecuada puede verse afectada la viabilidad del embrión. </w:t>
      </w:r>
    </w:p>
    <w:p w14:paraId="00000030" w14:textId="77777777" w:rsidR="00B40B7D" w:rsidRDefault="00B40B7D">
      <w:pPr>
        <w:pStyle w:val="Ttulo1"/>
        <w:spacing w:line="360" w:lineRule="auto"/>
      </w:pPr>
    </w:p>
    <w:p w14:paraId="00000032" w14:textId="5AE67480" w:rsidR="00B40B7D" w:rsidRDefault="002C12B5" w:rsidP="0002562F">
      <w:pPr>
        <w:pStyle w:val="Ttulo1"/>
        <w:spacing w:line="360" w:lineRule="auto"/>
      </w:pPr>
      <w:r>
        <w:t xml:space="preserve">Evaluación de la emergencia de </w:t>
      </w:r>
      <w:r>
        <w:rPr>
          <w:i/>
        </w:rPr>
        <w:t xml:space="preserve">A. gangetica </w:t>
      </w:r>
      <w:r>
        <w:t>a diferentes profundidades empleando rizotrones.</w:t>
      </w:r>
    </w:p>
    <w:p w14:paraId="56102FDC" w14:textId="77777777" w:rsidR="0002562F" w:rsidRPr="0002562F" w:rsidRDefault="0002562F" w:rsidP="0002562F"/>
    <w:p w14:paraId="00000033" w14:textId="32136360" w:rsidR="00B40B7D" w:rsidRDefault="002C12B5">
      <w:pPr>
        <w:spacing w:line="360" w:lineRule="auto"/>
        <w:ind w:firstLine="720"/>
      </w:pPr>
      <w:r>
        <w:t xml:space="preserve">El objetivo de este experimento fue determinar un rango de la profundidad de siembra máxima a la cuál podrían emerger las semillas de </w:t>
      </w:r>
      <w:r>
        <w:rPr>
          <w:i/>
        </w:rPr>
        <w:t>A. gangetica</w:t>
      </w:r>
      <w:r>
        <w:t xml:space="preserve"> usando rizotrones. Los resultados muestran mayores porcentajes de emergencia</w:t>
      </w:r>
      <w:r>
        <w:rPr>
          <w:i/>
        </w:rPr>
        <w:t xml:space="preserve"> </w:t>
      </w:r>
      <w:r>
        <w:t>en las profundidades de 2 y 5 cm (</w:t>
      </w:r>
      <w:r>
        <w:rPr>
          <w:b/>
        </w:rPr>
        <w:t>Figura 3 y 4</w:t>
      </w:r>
      <w:r>
        <w:t xml:space="preserve">). </w:t>
      </w:r>
      <w:r w:rsidR="00332FF2">
        <w:fldChar w:fldCharType="begin" w:fldLock="1"/>
      </w:r>
      <w:r w:rsidR="00E81E83">
        <w:instrText>ADDIN CSL_CITATION {"citationItems":[{"id":"ITEM-1","itemData":{"DOI":"10.1614/ws-07-144.1","ISSN":"0043-1745","abstract":"Venice mallow is an emerging weed problem in many regions of the world in various crops. Studies on its hard seed coat were conducted by scanning electron, light, and fluorescence microscopy. The effects of environmental factors on germination and seedling emergence were examined in laboratory experiments. Seeds possessed physical dormancy (90%) that required immersion for 0.5 h in concentrated sulfuric acid to break without damaging the seed. After scarification, 29% of seeds exhibited primary embryo dormancy. Exposure of seeds to even short periods of 15 d of prechilling induced secondary dormancy (10% germination). The surface of hard seeds had a velvety appearance from numerous papillate structures and deposits (hydrophilic material). The location of the water barrier was very superficial in the outer seed coat. Although, in hard seeds, the hilar area appeared to have vertical ruptures and the hilum fissure appeared to be open, there was no water entry. It was observed that microruptures could be the region of structural weakness of hard seeds in relation to water permeability during prolonged burial (8 mo).The highest (60%) germination was recorded at a day/night temperature of 30/20 C with a 12-h photoperiod. No germination was measured at either 10 or 45 C constant temperature. Germination was recorded with a broad range of pH (3-11) and seeds were rather tolerant to low water potential (20% germination at –1.2 MPa). Seedling emergence was higher for seeds buried at 2 cm than for those placed on the surface (54 vs. 38%, respectively). These results showed that Venice mallow is a rather unique species that possesses a complex mechanism of dormancy (physical, primary, and secondary). Information gained in this study will be used in developing management strategies for this species.","author":[{"dropping-particle":"","family":"Chachalis","given":"Demosthenis","non-dropping-particle":"","parse-names":false,"suffix":""},{"dropping-particle":"","family":"Korres","given":"Nikolaos","non-dropping-particle":"","parse-names":false,"suffix":""},{"dropping-particle":"","family":"Khah","given":"Embrahim M.","non-dropping-particle":"","parse-names":false,"suffix":""}],"container-title":"Weed Science","id":"ITEM-1","issue":"4","issued":{"date-parts":[["2008"]]},"page":"509-515","title":" Factors Affecting Seed Germination and Emergence of Venice Mallow ( Hibiscus trionum ) ","type":"article-journal","volume":"56"},"uris":["http://www.mendeley.com/documents/?uuid=a286f1dc-485f-4cad-afb9-ad62b7c848e7"]}],"mendeley":{"formattedCitation":"(Chachalis et al., 2008)","plainTextFormattedCitation":"(Chachalis et al., 2008)","previouslyFormattedCitation":"(Chachalis et al., 2008)"},"properties":{"noteIndex":0},"schema":"https://github.com/citation-style-language/schema/raw/master/csl-citation.json"}</w:instrText>
      </w:r>
      <w:r w:rsidR="00332FF2">
        <w:fldChar w:fldCharType="separate"/>
      </w:r>
      <w:r w:rsidR="00332FF2" w:rsidRPr="00332FF2">
        <w:rPr>
          <w:noProof/>
        </w:rPr>
        <w:t>(Chachalis et al., 2008)</w:t>
      </w:r>
      <w:r w:rsidR="00332FF2">
        <w:fldChar w:fldCharType="end"/>
      </w:r>
      <w:r>
        <w:t xml:space="preserve">, realizando un experimento en donde se evaluaba la profundidad de siembra como uno de los factores que afectaba la emergencia de </w:t>
      </w:r>
      <w:r>
        <w:rPr>
          <w:i/>
        </w:rPr>
        <w:t>Hibiscus trionum</w:t>
      </w:r>
      <w:r>
        <w:t xml:space="preserve">, concluyeron que a mayor </w:t>
      </w:r>
      <w:r w:rsidR="00BD2EAE">
        <w:t>profundidad menor</w:t>
      </w:r>
      <w:r>
        <w:t xml:space="preserve"> es el porcentaje de emergencia. Según las profundidades evaluadas en este experimento la respuesta de emergencia a una máxima profundidad fue a los 10 cm, los resultados se acercan con los obtenidos por </w:t>
      </w:r>
      <w:r w:rsidR="00E81E83">
        <w:fldChar w:fldCharType="begin" w:fldLock="1"/>
      </w:r>
      <w:r w:rsidR="00E81E83">
        <w:instrText>ADDIN CSL_CITATION {"citationItems":[{"id":"ITEM-1","itemData":{"DOI":"10.1111/wbm.12110","ISSN":"14456664","abstract":"Myagrum perfoliatum is a noxious broad-leaved weed in western Iranian farming systems. A better understanding of the timing of seedling emergence would facilitate the development of better control strategies for this weed. Therefore, the objective of this study was to examine the effects of different factors on muskweed seed germination. Only 2.8% of the seeds of this species, which are encapsulated in siliques, germinated by, while the seeds that had been removed from the siliques had a 50% germination rate. The immersion of muskweed fruits in concentrated sulfuric acid for 110 min was the best treatment for promoting germination. Gibberellic acid stimulated the germination of the naked seeds by 29.1%, potassium nitrate (40 mmol L-1) increased the germination rate to 71%, while higher concentrations of potassium nitrate inhibited germination. The optimum germination temperature for the naked seeds was 20/10°C (day/night) and light was not required for germination. No seedling emerged when the seeds were buried 6 cm deep. The seeds were sensitive to both osmotic and salinity stress, but they germinated to 46–49% over a pH range of 4–10. The results of this study revealed that the seeds of M. perfoliatum have physiological dormancy and that it is slowly broken via after-ripening. However, the fruit wall can prevent germination after physiological dormancy is broken. Thus, this species has the potential to form a persistent seed bank because of the presence of the fruit wall.","author":[{"dropping-particle":"","family":"Honarmand","given":"Saeid J.","non-dropping-particle":"","parse-names":false,"suffix":""},{"dropping-particle":"","family":"Nosratti","given":"Iraj","non-dropping-particle":"","parse-names":false,"suffix":""},{"dropping-particle":"","family":"Nazari","given":"Khadije","non-dropping-particle":"","parse-names":false,"suffix":""},{"dropping-particle":"","family":"Heidari","given":"Hassan","non-dropping-particle":"","parse-names":false,"suffix":""}],"container-title":"Weed Biology and Management","id":"ITEM-1","issue":"4","issued":{"date-parts":[["2016"]]},"page":"186-193","title":"Factors affecting the seed germination and seedling emergence of muskweed (Myagrum perfoliatum)","type":"article-journal","volume":"16"},"uris":["http://www.mendeley.com/documents/?uuid=738f2be9-0d43-45a9-b1d4-55ada0e96254"]},{"id":"ITEM-2","itemData":{"DOI":"10.1614/ws-07-144.1","ISSN":"0043-1745","abstract":"Venice mallow is an emerging weed problem in many regions of the world in various crops. Studies on its hard seed coat were conducted by scanning electron, light, and fluorescence microscopy. The effects of environmental factors on germination and seedling emergence were examined in laboratory experiments. Seeds possessed physical dormancy (90%) that required immersion for 0.5 h in concentrated sulfuric acid to break without damaging the seed. After scarification, 29% of seeds exhibited primary embryo dormancy. Exposure of seeds to even short periods of 15 d of prechilling induced secondary dormancy (10% germination). The surface of hard seeds had a velvety appearance from numerous papillate structures and deposits (hydrophilic material). The location of the water barrier was very superficial in the outer seed coat. Although, in hard seeds, the hilar area appeared to have vertical ruptures and the hilum fissure appeared to be open, there was no water entry. It was observed that microruptures could be the region of structural weakness of hard seeds in relation to water permeability during prolonged burial (8 mo).The highest (60%) germination was recorded at a day/night temperature of 30/20 C with a 12-h photoperiod. No germination was measured at either 10 or 45 C constant temperature. Germination was recorded with a broad range of pH (3-11) and seeds were rather tolerant to low water potential (20% germination at –1.2 MPa). Seedling emergence was higher for seeds buried at 2 cm than for those placed on the surface (54 vs. 38%, respectively). These results showed that Venice mallow is a rather unique species that possesses a complex mechanism of dormancy (physical, primary, and secondary). Information gained in this study will be used in developing management strategies for this species.","author":[{"dropping-particle":"","family":"Chachalis","given":"Demosthenis","non-dropping-particle":"","parse-names":false,"suffix":""},{"dropping-particle":"","family":"Korres","given":"Nikolaos","non-dropping-particle":"","parse-names":false,"suffix":""},{"dropping-particle":"","family":"Khah","given":"Embrahim M.","non-dropping-particle":"","parse-names":false,"suffix":""}],"container-title":"Weed Science","id":"ITEM-2","issue":"4","issued":{"date-parts":[["2008"]]},"page":"509-515","title":" Factors Affecting Seed Germination and Emergence of Venice Mallow ( Hibiscus trionum ) ","type":"article-journal","volume":"56"},"uris":["http://www.mendeley.com/documents/?uuid=a286f1dc-485f-4cad-afb9-ad62b7c848e7"]}],"mendeley":{"formattedCitation":"(Chachalis et al., 2008; Honarmand et al., 2016)","plainTextFormattedCitation":"(Chachalis et al., 2008; Honarmand et al., 2016)","previouslyFormattedCitation":"(Chachalis et al., 2008; Honarmand et al., 2016)"},"properties":{"noteIndex":0},"schema":"https://github.com/citation-style-language/schema/raw/master/csl-citation.json"}</w:instrText>
      </w:r>
      <w:r w:rsidR="00E81E83">
        <w:fldChar w:fldCharType="separate"/>
      </w:r>
      <w:r w:rsidR="00E81E83" w:rsidRPr="00E81E83">
        <w:rPr>
          <w:noProof/>
        </w:rPr>
        <w:t>(Chachalis et al., 2008; Honarmand et al., 2016)</w:t>
      </w:r>
      <w:r w:rsidR="00E81E83">
        <w:fldChar w:fldCharType="end"/>
      </w:r>
      <w:r>
        <w:t>, pues la profundidad máxima de respuesta de emergencia</w:t>
      </w:r>
      <w:r w:rsidR="001911A1">
        <w:t xml:space="preserve"> de ambos autores</w:t>
      </w:r>
      <w:r>
        <w:t xml:space="preserve"> era de 6 a 8 cm. Es importante </w:t>
      </w:r>
      <w:r>
        <w:lastRenderedPageBreak/>
        <w:t>mencionar que se observó la formación de agregados en el suelo que provocaron espacios vacíos, esto favoreció a que las semillas que se encontraban a una profundidad mayor lograran emerger hasta esos espacios y posteriormente hasta la superficie (</w:t>
      </w:r>
      <w:r>
        <w:rPr>
          <w:b/>
        </w:rPr>
        <w:t>Anexo</w:t>
      </w:r>
      <w:r>
        <w:t>), por lo que puede haber una alteración en los resultados en los 10 cm de profundidad.</w:t>
      </w:r>
    </w:p>
    <w:p w14:paraId="00000034" w14:textId="2FFAD553" w:rsidR="00B40B7D" w:rsidRDefault="002C12B5">
      <w:pPr>
        <w:spacing w:line="360" w:lineRule="auto"/>
        <w:ind w:firstLine="720"/>
      </w:pPr>
      <w:r>
        <w:t xml:space="preserve">Dado que se usaron rizotrones para la evaluación se pudo observar la germinación de las semillas de </w:t>
      </w:r>
      <w:r>
        <w:rPr>
          <w:i/>
        </w:rPr>
        <w:t>A. gangetica</w:t>
      </w:r>
      <w:r>
        <w:t xml:space="preserve"> que se encontraban en todas las profundidades. La tendencia observada a los 20 y 30 cm de </w:t>
      </w:r>
      <w:r w:rsidR="00CE4FC1">
        <w:t>profundidad</w:t>
      </w:r>
      <w:r>
        <w:t xml:space="preserve"> era que se daba la germinación y había un crecimiento longitudinal de la raíz y el tallo sin embargo no llegaban hasta la superficie </w:t>
      </w:r>
      <w:r>
        <w:rPr>
          <w:b/>
        </w:rPr>
        <w:t xml:space="preserve">(Anexo), </w:t>
      </w:r>
      <w:r>
        <w:t>probablemente por el agotamiento en las reservas de la semilla</w:t>
      </w:r>
      <w:r w:rsidR="009C4DEC">
        <w:t xml:space="preserve"> </w:t>
      </w:r>
      <w:r w:rsidR="003817BA">
        <w:fldChar w:fldCharType="begin" w:fldLock="1"/>
      </w:r>
      <w:r w:rsidR="00A935E8">
        <w:instrText>ADDIN CSL_CITATION {"citationItems":[{"id":"ITEM-1","itemData":{"author":[{"dropping-particle":"","family":"Guo","given":"Qinfeng","non-dropping-particle":"","parse-names":false,"suffix":""},{"dropping-particle":"","family":"Brown","given":"James H .","non-dropping-particle":"","parse-names":false,"suffix":""},{"dropping-particle":"","family":"Valone","given":"Thomas J .","non-dropping-particle":"","parse-names":false,"suffix":""}],"container-title":"Ecological Society of America","id":"ITEM-1","issue":"8","issued":{"date-parts":[["2000"]]},"page":"2149-2155","title":"Constraints of Seed Size on Plant Distribution and Abundance","type":"article-journal","volume":"81"},"uris":["http://www.mendeley.com/documents/?uuid=ed02e254-697c-4742-93cb-bc7a84ab26ef"]},{"id":"ITEM-2","itemData":{"DOI":"10.1007/s11258-007-9301-1","ISSN":"13850237","abstract":"In this study, we built up a database of 633 species (48 families, 205 genera) from an alpine meadow on the eastern Qinghai-Tibet plateau. Our objective was to assess the effects of phylogenetic and life-history (life form, perenniality, seed size, dispersal strategy and period) background on the community-wide germination strategies. We found that the seeds of shrubs, perennials, and well-dispersed plants, and the smaller seeds germinated more and comparatively earlier. In one-way ANOVAs, phylogenetic groups explained 12% of the variance in GT (mean germination time for all seeds germinated of each species); life-history attributes, such as seed size, dispersal strategy, perenniality and life form explained 10%, 7%, 5%, and 1% respectively, and dispersal period had no significant effect on GT. Multifactorial ANOVAs revealed that the three major factors contributing to differences in GT were phylogenetic relatedness, seed size and dispersal strategy (explained 4%, 5% and 4% of the interspecific variation independently, respectively). Thus, seeds germination strategies were significantly correlated with phylogenetic and life-history relatedness. In addition, phylogenetic relatedness had close associations and interactions with seed size and dispersal strategy. Then, we think phylogeny and life-history attributes could not be considered mutual exclusively. Seed germination, like any other trait, is shaped by the natural history of the species and by the evolutionary history of the lineage. And a large percentage of the variance remained unexplained by our model, which suggested important selective factors or parameters may have been left out of this analysis. © 2007 Springer Science+Business Media B.V.","author":[{"dropping-particle":"","family":"Bu","given":"Haiyan","non-dropping-particle":"","parse-names":false,"suffix":""},{"dropping-particle":"","family":"Du","given":"Guozhen","non-dropping-particle":"","parse-names":false,"suffix":""},{"dropping-particle":"","family":"Chen","given":"Xuelin","non-dropping-particle":"","parse-names":false,"suffix":""},{"dropping-particle":"","family":"Xu","given":"Xiuli","non-dropping-particle":"","parse-names":false,"suffix":""},{"dropping-particle":"","family":"Liu","given":"Kun","non-dropping-particle":"","parse-names":false,"suffix":""},{"dropping-particle":"","family":"Wen","given":"Shujun","non-dropping-particle":"","parse-names":false,"suffix":""}],"container-title":"Plant Ecology","id":"ITEM-2","issue":"1","issued":{"date-parts":[["2008"]]},"page":"87-98","title":"Community-wide germination strategies in an alpine meadow on the eastern Qinghai-Tibet plateau: Phylogenetic and life-history correlates","type":"article-journal","volume":"195"},"uris":["http://www.mendeley.com/documents/?uuid=91aade8a-5940-4786-8d5b-3f9e03bd3357"]}],"mendeley":{"formattedCitation":"(Bu et al., 2008; Guo et al., 2000)","manualFormatting":"(Guo et al., 2000; Bu et al., 2008)","plainTextFormattedCitation":"(Bu et al., 2008; Guo et al., 2000)","previouslyFormattedCitation":"(Bu et al., 2008; Guo et al., 2000)"},"properties":{"noteIndex":0},"schema":"https://github.com/citation-style-language/schema/raw/master/csl-citation.json"}</w:instrText>
      </w:r>
      <w:r w:rsidR="003817BA">
        <w:fldChar w:fldCharType="separate"/>
      </w:r>
      <w:r w:rsidR="00F1236F" w:rsidRPr="00F1236F">
        <w:rPr>
          <w:noProof/>
        </w:rPr>
        <w:t>(</w:t>
      </w:r>
      <w:r w:rsidR="00A935E8" w:rsidRPr="00F1236F">
        <w:rPr>
          <w:noProof/>
        </w:rPr>
        <w:t>Guo et al., 2000</w:t>
      </w:r>
      <w:r w:rsidR="00AE7941">
        <w:rPr>
          <w:noProof/>
        </w:rPr>
        <w:t>;</w:t>
      </w:r>
      <w:r w:rsidR="00A935E8">
        <w:rPr>
          <w:noProof/>
        </w:rPr>
        <w:t xml:space="preserve"> </w:t>
      </w:r>
      <w:r w:rsidR="00F1236F" w:rsidRPr="00F1236F">
        <w:rPr>
          <w:noProof/>
        </w:rPr>
        <w:t>Bu et al., 2008)</w:t>
      </w:r>
      <w:r w:rsidR="003817BA">
        <w:fldChar w:fldCharType="end"/>
      </w:r>
      <w:r>
        <w:t xml:space="preserve">. Se ha relacionado el tamaño de la semilla con las reservas, según </w:t>
      </w:r>
      <w:r w:rsidR="00A935E8">
        <w:fldChar w:fldCharType="begin" w:fldLock="1"/>
      </w:r>
      <w:r w:rsidR="00365D41">
        <w:instrText>ADDIN CSL_CITATION {"citationItems":[{"id":"ITEM-1","itemData":{"author":[{"dropping-particle":"","family":"Guo","given":"Qinfeng","non-dropping-particle":"","parse-names":false,"suffix":""},{"dropping-particle":"","family":"Brown","given":"James H .","non-dropping-particle":"","parse-names":false,"suffix":""},{"dropping-particle":"","family":"Valone","given":"Thomas J .","non-dropping-particle":"","parse-names":false,"suffix":""}],"container-title":"Ecological Society of America","id":"ITEM-1","issue":"8","issued":{"date-parts":[["2000"]]},"page":"2149-2155","title":"Constraints of Seed Size on Plant Distribution and Abundance","type":"article-journal","volume":"81"},"uris":["http://www.mendeley.com/documents/?uuid=ed02e254-697c-4742-93cb-bc7a84ab26ef"]},{"id":"ITEM-2","itemData":{"DOI":"10.1086/284795","ISSN":"00030147","abstract":"Seed size, dormancy, and dispersal share 3 population-dynamic functions in temporally and spatially varying environments: risk reduction of bet hedging, escape from crowding, and escape from sib competition. A model was developed to explore ways they may interact to reduce risk. The risk-reducing properties of these seed traits evolve only in response to global temporal variance. Thus, to understand how selection impinges on the seed traits, creating fitness interactions, one must understand the factors contributing to global temporal variance and how they are mitigated by the various seed traits. Since the traits interact to reduce variance, arbitarily fixing any 1 trait at different values alters the fitness-maximizing values of the others, resulting in trade-offs among traits. The authors explore how changes in the number of independent environmental patches, probability of favorable conditions, radius of dispersal, and spatial and temporal autocorrelation of environmental conditions alter selection on the interacting syndrome of seed traits. -from Authors","author":[{"dropping-particle":"","family":"Venable","given":"D. L.","non-dropping-particle":"","parse-names":false,"suffix":""},{"dropping-particle":"","family":"Brown","given":"J. S.","non-dropping-particle":"","parse-names":false,"suffix":""}],"container-title":"American Naturalist","id":"ITEM-2","issue":"3","issued":{"date-parts":[["1988"]]},"page":"360-384","title":"The selective interactions of dispersal, dormancy, and seed size as adaptations for reducing risk in variable environments","type":"article-journal","volume":"131"},"uris":["http://www.mendeley.com/documents/?uuid=5f04ee27-f03a-4dcb-9df8-4f7680b01940"]}],"mendeley":{"formattedCitation":"(Guo et al., 2000; Venable &amp; Brown, 1988)","manualFormatting":"(Venable &amp; Brown, 1988; Guo et al., 2000)","plainTextFormattedCitation":"(Guo et al., 2000; Venable &amp; Brown, 1988)","previouslyFormattedCitation":"(Guo et al., 2000; Venable &amp; Brown, 1988)"},"properties":{"noteIndex":0},"schema":"https://github.com/citation-style-language/schema/raw/master/csl-citation.json"}</w:instrText>
      </w:r>
      <w:r w:rsidR="00A935E8">
        <w:fldChar w:fldCharType="separate"/>
      </w:r>
      <w:r w:rsidR="00627479" w:rsidRPr="00627479">
        <w:rPr>
          <w:noProof/>
        </w:rPr>
        <w:t>(Venable &amp; Brown, 1988</w:t>
      </w:r>
      <w:r w:rsidR="00627479">
        <w:rPr>
          <w:noProof/>
        </w:rPr>
        <w:t xml:space="preserve">; </w:t>
      </w:r>
      <w:r w:rsidR="00627479" w:rsidRPr="00627479">
        <w:rPr>
          <w:noProof/>
        </w:rPr>
        <w:t>Guo et al., 2000)</w:t>
      </w:r>
      <w:r w:rsidR="00A935E8">
        <w:fldChar w:fldCharType="end"/>
      </w:r>
      <w:r>
        <w:t xml:space="preserve"> las semillas pequeñas tienen menos reservas de nutrientes y tienden a formar bancos de semillas.</w:t>
      </w:r>
    </w:p>
    <w:p w14:paraId="00000035" w14:textId="61D9CAD4" w:rsidR="00B40B7D" w:rsidRDefault="002C12B5">
      <w:pPr>
        <w:spacing w:line="360" w:lineRule="auto"/>
        <w:ind w:firstLine="720"/>
      </w:pPr>
      <w:r>
        <w:t xml:space="preserve">Los pesos secos obtenidos según las profundidades son consecuentes con el porcentaje de emergencia, sin </w:t>
      </w:r>
      <w:r w:rsidR="0002562F">
        <w:t>embargo,</w:t>
      </w:r>
      <w:r>
        <w:t xml:space="preserve"> el hecho de que la biomasa de la raíz haya sido mayor a la foliar puede estar relacionado al contenido de agua presente en las raíces al momento de la medición o puede que los resultados obtenidos se encuentren influenciados no tanto por la profundidad si no por ambiente en donde se desarrolló el experimento. </w:t>
      </w:r>
    </w:p>
    <w:p w14:paraId="00000036" w14:textId="1FF16866" w:rsidR="00B40B7D" w:rsidRDefault="002C12B5">
      <w:pPr>
        <w:spacing w:line="360" w:lineRule="auto"/>
        <w:ind w:firstLine="720"/>
      </w:pPr>
      <w:r>
        <w:t xml:space="preserve">Según los resultados obtenidos, se puede concluir que la profundidad máxima de emergencia de </w:t>
      </w:r>
      <w:r>
        <w:rPr>
          <w:i/>
        </w:rPr>
        <w:t>A. gangetica</w:t>
      </w:r>
      <w:r>
        <w:t xml:space="preserve"> fue de 10 cm y esto se encuentra relacionado con las reservas de nutrientes</w:t>
      </w:r>
      <w:r w:rsidR="00BC6BC4">
        <w:t xml:space="preserve"> presentes en la semilla</w:t>
      </w:r>
      <w:r>
        <w:t xml:space="preserve">. </w:t>
      </w:r>
    </w:p>
    <w:p w14:paraId="00000037" w14:textId="77777777" w:rsidR="00B40B7D" w:rsidRDefault="00B40B7D">
      <w:pPr>
        <w:jc w:val="left"/>
      </w:pPr>
    </w:p>
    <w:p w14:paraId="00000038" w14:textId="77777777" w:rsidR="00B40B7D" w:rsidRDefault="002C12B5">
      <w:pPr>
        <w:pStyle w:val="Ttulo1"/>
        <w:spacing w:line="360" w:lineRule="auto"/>
      </w:pPr>
      <w:r>
        <w:t xml:space="preserve">Evaluación de la emergencia de </w:t>
      </w:r>
      <w:r>
        <w:rPr>
          <w:i/>
        </w:rPr>
        <w:t xml:space="preserve">A. gangetica </w:t>
      </w:r>
      <w:r>
        <w:t>a diferentes profundidades empleando potes.</w:t>
      </w:r>
    </w:p>
    <w:p w14:paraId="00000039" w14:textId="77777777" w:rsidR="00B40B7D" w:rsidRDefault="00B40B7D"/>
    <w:p w14:paraId="0000003A" w14:textId="29ADA19E" w:rsidR="00B40B7D" w:rsidRDefault="002C12B5">
      <w:pPr>
        <w:spacing w:line="360" w:lineRule="auto"/>
      </w:pPr>
      <w:r>
        <w:tab/>
        <w:t xml:space="preserve">En este experimento el objetivo principal era determinar la profundidad de siembra máxima en la cual la emergencia de </w:t>
      </w:r>
      <w:r>
        <w:rPr>
          <w:i/>
        </w:rPr>
        <w:t xml:space="preserve">A. gangetica </w:t>
      </w:r>
      <w:r>
        <w:t xml:space="preserve">podría emerger usando </w:t>
      </w:r>
      <w:r>
        <w:lastRenderedPageBreak/>
        <w:t>potes. Los porcentajes de emergencia obtenidos a los 0 y 2 cm (</w:t>
      </w:r>
      <w:r>
        <w:rPr>
          <w:b/>
        </w:rPr>
        <w:t>Figura 6</w:t>
      </w:r>
      <w:r>
        <w:t xml:space="preserve">) concuerdan con </w:t>
      </w:r>
      <w:r w:rsidR="00365D41">
        <w:fldChar w:fldCharType="begin" w:fldLock="1"/>
      </w:r>
      <w:r w:rsidR="00E77C63">
        <w:instrText>ADDIN CSL_CITATION {"citationItems":[{"id":"ITEM-1","itemData":{"DOI":"10.1614/ws-07-144.1","ISSN":"0043-1745","abstract":"Venice mallow is an emerging weed problem in many regions of the world in various crops. Studies on its hard seed coat were conducted by scanning electron, light, and fluorescence microscopy. The effects of environmental factors on germination and seedling emergence were examined in laboratory experiments. Seeds possessed physical dormancy (90%) that required immersion for 0.5 h in concentrated sulfuric acid to break without damaging the seed. After scarification, 29% of seeds exhibited primary embryo dormancy. Exposure of seeds to even short periods of 15 d of prechilling induced secondary dormancy (10% germination). The surface of hard seeds had a velvety appearance from numerous papillate structures and deposits (hydrophilic material). The location of the water barrier was very superficial in the outer seed coat. Although, in hard seeds, the hilar area appeared to have vertical ruptures and the hilum fissure appeared to be open, there was no water entry. It was observed that microruptures could be the region of structural weakness of hard seeds in relation to water permeability during prolonged burial (8 mo).The highest (60%) germination was recorded at a day/night temperature of 30/20 C with a 12-h photoperiod. No germination was measured at either 10 or 45 C constant temperature. Germination was recorded with a broad range of pH (3-11) and seeds were rather tolerant to low water potential (20% germination at –1.2 MPa). Seedling emergence was higher for seeds buried at 2 cm than for those placed on the surface (54 vs. 38%, respectively). These results showed that Venice mallow is a rather unique species that possesses a complex mechanism of dormancy (physical, primary, and secondary). Information gained in this study will be used in developing management strategies for this species.","author":[{"dropping-particle":"","family":"Chachalis","given":"Demosthenis","non-dropping-particle":"","parse-names":false,"suffix":""},{"dropping-particle":"","family":"Korres","given":"Nikolaos","non-dropping-particle":"","parse-names":false,"suffix":""},{"dropping-particle":"","family":"Khah","given":"Embrahim M.","non-dropping-particle":"","parse-names":false,"suffix":""}],"container-title":"Weed Science","id":"ITEM-1","issue":"4","issued":{"date-parts":[["2008"]]},"page":"509-515","title":" Factors Affecting Seed Germination and Emergence of Venice Mallow ( Hibiscus trionum ) ","type":"article-journal","volume":"56"},"uris":["http://www.mendeley.com/documents/?uuid=a286f1dc-485f-4cad-afb9-ad62b7c848e7"]},{"id":"ITEM-2","itemData":{"DOI":"10.1111/wbm.12110","ISSN":"14456664","abstract":"Myagrum perfoliatum is a noxious broad-leaved weed in western Iranian farming systems. A better understanding of the timing of seedling emergence would facilitate the development of better control strategies for this weed. Therefore, the objective of this study was to examine the effects of different factors on muskweed seed germination. Only 2.8% of the seeds of this species, which are encapsulated in siliques, germinated by, while the seeds that had been removed from the siliques had a 50% germination rate. The immersion of muskweed fruits in concentrated sulfuric acid for 110 min was the best treatment for promoting germination. Gibberellic acid stimulated the germination of the naked seeds by 29.1%, potassium nitrate (40 mmol L-1) increased the germination rate to 71%, while higher concentrations of potassium nitrate inhibited germination. The optimum germination temperature for the naked seeds was 20/10°C (day/night) and light was not required for germination. No seedling emerged when the seeds were buried 6 cm deep. The seeds were sensitive to both osmotic and salinity stress, but they germinated to 46–49% over a pH range of 4–10. The results of this study revealed that the seeds of M. perfoliatum have physiological dormancy and that it is slowly broken via after-ripening. However, the fruit wall can prevent germination after physiological dormancy is broken. Thus, this species has the potential to form a persistent seed bank because of the presence of the fruit wall.","author":[{"dropping-particle":"","family":"Honarmand","given":"Saeid J.","non-dropping-particle":"","parse-names":false,"suffix":""},{"dropping-particle":"","family":"Nosratti","given":"Iraj","non-dropping-particle":"","parse-names":false,"suffix":""},{"dropping-particle":"","family":"Nazari","given":"Khadije","non-dropping-particle":"","parse-names":false,"suffix":""},{"dropping-particle":"","family":"Heidari","given":"Hassan","non-dropping-particle":"","parse-names":false,"suffix":""}],"container-title":"Weed Biology and Management","id":"ITEM-2","issue":"4","issued":{"date-parts":[["2016"]]},"page":"186-193","title":"Factors affecting the seed germination and seedling emergence of muskweed (Myagrum perfoliatum)","type":"article-journal","volume":"16"},"uris":["http://www.mendeley.com/documents/?uuid=738f2be9-0d43-45a9-b1d4-55ada0e96254"]},{"id":"ITEM-3","itemData":{"DOI":"10.1614/w-06-099.1","ISSN":"0043-1745","abstract":" Fatal germination of weed seeds occurs when a weed seed germinates, but the seedling dies before reaching the soil surface. Controlled-environment bioassays of velvetleaf and giant foxtail seed fate in Michigan field soil (Kalamazoo silt loam, 1.1% soil organic matter) were used to determine the role of pathogenic fungi and seed burial depth in fatal germination of these species. Fatal germination at 2 cm seed depth was nonexistent for giant foxtail, and rare (&lt; 10% of seeds studied) for velvetleaf. At greater depths, fatal germination remained close to zero for giant foxtail, whereas it increased to as high as 40% for velvetleaf at a 10-cm burial depth. Cultures taken from fatally germinated velvetleaf seedlings were found to contain Pythium ultimum , a soilborne pathogen known as the causal agent for pea root rot. When samples of infected media taken from these cultures were used to inoculate field soil in pots, fatal germination of velvetleaf from depths of 4 to 6 cm increased, compared with field soil inoculated with sterile media. At seed burial depths of 8 and 10 cm, fatal germination of velvetleaf increased to 20 and 40%, respectively, and was the same for unsterilized soil and P. ultimum –inoculated soil. Given that maximal fatal germination of velvetleaf occurred in the unsterilized soil treatment at the 10 cm depth, burial of newly shed velvetleaf seeds to a 10 cm, or possibly greater, depth with tillage equipment may be a practical way of reducing velvetleaf seed banks through fatal germination. ","author":[{"dropping-particle":"","family":"Davis","given":"Adam S.","non-dropping-particle":"","parse-names":false,"suffix":""},{"dropping-particle":"","family":"Renner","given":"Karen A.","non-dropping-particle":"","parse-names":false,"suffix":""}],"container-title":"Weed Science","id":"ITEM-3","issue":"1","issued":{"date-parts":[["2007"]]},"page":"30-35","title":" Influence of Seed Depth and Pathogens on Fatal Germination of Velvetleaf ( Abutilon theophrasti ) and Giant Foxtail ( Setaria faberi ) ","type":"article-journal","volume":"55"},"uris":["http://www.mendeley.com/documents/?uuid=b9002a96-8bff-46eb-a656-57a3237a3104"]}],"mendeley":{"formattedCitation":"(Chachalis et al., 2008; Davis &amp; Renner, 2007; Honarmand et al., 2016)","manualFormatting":"(Davis &amp; Renner, 2007; Chachalis et al., 2008; Honarmand et al., 2016)","plainTextFormattedCitation":"(Chachalis et al., 2008; Davis &amp; Renner, 2007; Honarmand et al., 2016)","previouslyFormattedCitation":"(Chachalis et al., 2008; Davis &amp; Renner, 2007; Honarmand et al., 2016)"},"properties":{"noteIndex":0},"schema":"https://github.com/citation-style-language/schema/raw/master/csl-citation.json"}</w:instrText>
      </w:r>
      <w:r w:rsidR="00365D41">
        <w:fldChar w:fldCharType="separate"/>
      </w:r>
      <w:r w:rsidR="00BC111F" w:rsidRPr="00BC111F">
        <w:rPr>
          <w:noProof/>
        </w:rPr>
        <w:t>(Davis &amp; Renner, 2007</w:t>
      </w:r>
      <w:r w:rsidR="00BC111F">
        <w:rPr>
          <w:noProof/>
        </w:rPr>
        <w:t xml:space="preserve">; </w:t>
      </w:r>
      <w:r w:rsidR="00BC111F" w:rsidRPr="00BC111F">
        <w:rPr>
          <w:noProof/>
        </w:rPr>
        <w:t>Chachalis et al., 2008; Honarmand et al., 2016)</w:t>
      </w:r>
      <w:r w:rsidR="00365D41">
        <w:fldChar w:fldCharType="end"/>
      </w:r>
      <w:r>
        <w:t xml:space="preserve">, pues a profundidades superficiales es probable que haya una mayor respuesta de emergencia, ya que como se mencionó anteriormente es probable que las semillas de </w:t>
      </w:r>
      <w:r>
        <w:rPr>
          <w:i/>
        </w:rPr>
        <w:t xml:space="preserve">A. gangetica </w:t>
      </w:r>
      <w:r>
        <w:t xml:space="preserve">al ser pequeñas tengan una cantidad de reservas limitadas que alcanzan solo para profundidades superficiales </w:t>
      </w:r>
      <w:r w:rsidR="00E77C63">
        <w:fldChar w:fldCharType="begin" w:fldLock="1"/>
      </w:r>
      <w:r w:rsidR="00696A43">
        <w:instrText>ADDIN CSL_CITATION {"citationItems":[{"id":"ITEM-1","itemData":{"DOI":"10.1046/j.1442-1984.2000.00034.x","ISSN":"0913557X","abstract":"Physical dormancy (PY) is caused by a water-impermeable seed or fruit coat. It is known, or highly suspected, to occur in nine orders and 15 families of angiosperms (sensu Angiosperm Phylogeny Group 1998), 13 of which are core eudicots. The Zingiberales is the only monocot order, and Cannaceae (Canna) the only monocot family, in which PY is known to occur. Six of the nine orders, and 12 of the 15 families, in which PY occurs are rosids. Furthermore, six of the families belong to the Malvales. The water-impermeable palisade layer(s) of cells are located in the seed coats of 13 of the families, and in the fruit coats of Anacardiaceae and Nelumbonaceae. In all 15 families, a specialized structure is associated with the water-impermeable layer(s). The breaking of PY involves disruption or dislodgment of these structures, which act as environmental 'signal detectors' for germination. Representatives of the nine angiosperm orders in which PY occurs had evolved by the late Cretaceous or early Tertiary (Paleogene). Anatomical evidence for PY in fruits of the extinct species Rhus rooseae (Anacardiaceae, middle Eocene) suggests that PY had evolved by 43 Ma, and probably much earlier. We have constructed a conceptual model for the evolution of PY, and of PY+ physiological dormancy (PD), within Anacardiaceae. The model begins in pre-Eocene times with an ancestral species that has large, pachychalazal, non-dormant (ND), recalcitrant seeds. By the middle Eocene, a derived species with relatively small, partial pachychalazal, orthodox seeds and a water-impermeable endocarp (thus PY) had evolved, and by the Oligocene, PD had been added to the seed (true seed + endocarp) dormancy mechanism. It is suggested that climatic drying (Eocene), followed by climatic cooling (Eocene-Oligocene transition), were the primary selective agents in the development of PY. An evolutionary connection between PY and recalcitrance is suggested by the relatively high concentration of these two character states in the rosids. Phylogenetic data and fossil evidence seem to support the PY→(PY+PD) evolutionary sequence in Anacardiaceae, which also may have occured in Leguminosae.","author":[{"dropping-particle":"","family":"Baskin","given":"Jerry M.","non-dropping-particle":"","parse-names":false,"suffix":""},{"dropping-particle":"","family":"Baskin","given":"Carol C.","non-dropping-particle":"","parse-names":false,"suffix":""},{"dropping-particle":"","family":"Li","given":"Xiaojie","non-dropping-particle":"","parse-names":false,"suffix":""}],"container-title":"Plant Species Biology","id":"ITEM-1","issue":"2","issued":{"date-parts":[["2000"]]},"page":"139-152","title":"Taxonomy, anatomy and evolution of physical dormancy in seeds","type":"article-journal","volume":"15"},"uris":["http://www.mendeley.com/documents/?uuid=b0913456-da08-40df-8049-cb5c3eb37f72"]},{"id":"ITEM-2","itemData":{"DOI":"10.1093/aob/mcm070","ISSN":"03057364","PMID":"17513869","abstract":"• Background and Aims: Convolvulaceae is the most advanced plant family (asterid clade) that produces seeds with physical dormancy (water-impermeable seed coat). There are several different opinions about the nature of the specialized structure ('water gap') in the seed coat through which water initially enters seeds of Convolvulaceae, but none of them has been documented clearly. The primary aim of the study was to identify the water gap in seeds of Ipomoea lacunosa (Convolvulaceae) and to describe its morphology, anatomy and function. • Methods: Light microscopy, scanning electron microscopy, tissue-sectioning, dye-tracking and blocking experiments were used to describe the morphology, anatomy and function of the water gap in seeds of I. lacunosa. • Key Results: Dormancy-breaking treatments caused slits to form around the two bulges on the seed coat adjacent to the hilum, and dye entered the seed only via the disrupted bulges. Bulge anatomy differs from that of the rest of the seed coat. Sclereid cells of the bulges are more compacted and elongated than those in the hilum pad and in the rest of the seed coat away from the bulges. • Conclusions: The transition area between elongated and square-shaped sclereid cells is the place where the water gap opens. Morphology/anatomy of the water gap in Convolvulaceae differs from that of taxa in the other 11 angiosperm plant families that produce seeds with physical dormancy for which it has been described. © The Author 2007. Published by Oxford University Press on behalf of the Annals of Botany Company. All rights reserved.","author":[{"dropping-particle":"","family":"Jayasuriya","given":"K. M.G.Gehan","non-dropping-particle":"","parse-names":false,"suffix":""},{"dropping-particle":"","family":"Baskin","given":"Jerry M.","non-dropping-particle":"","parse-names":false,"suffix":""},{"dropping-particle":"","family":"Geneve","given":"Robert L.","non-dropping-particle":"","parse-names":false,"suffix":""},{"dropping-particle":"","family":"Baskin","given":"Carol C.","non-dropping-particle":"","parse-names":false,"suffix":""}],"container-title":"Annals of Botany","id":"ITEM-2","issue":"1","issued":{"date-parts":[["2007"]]},"page":"13-22","title":"Morphology and anatomy of physical dormancy in Ipomoea lacunosa: Identification of the water gap in seeds of convolvulaceae (Solanales)","type":"article-journal","volume":"100"},"uris":["http://www.mendeley.com/documents/?uuid=58c8a4e9-8982-40ea-8f07-1055974f9583"]},{"id":"ITEM-3","itemData":{"abstract":"Germinación y dormancia de semillas Bases conceptuales, métodos de colecta, almacenamiento y manejo en laboratorio.","author":[{"dropping-particle":"","family":"Pérez-Martínez","given":"Laura Victoria","non-dropping-particle":"","parse-names":false,"suffix":""},{"dropping-particle":"","family":"Rodríguez-Castillo","given":"Natalia Alejandra","non-dropping-particle":"","parse-names":false,"suffix":""},{"dropping-particle":"","family":"Ríos","given":"Orlando Vargas","non-dropping-particle":"","parse-names":false,"suffix":""},{"dropping-particle":"","family":"Melgarejo","given":"Luz Marina","non-dropping-particle":"","parse-names":false,"suffix":""}],"container-title":"Germinación y dormancia de semillas","id":"ITEM-3","issue":"April 2018","issued":{"date-parts":[["2014"]]},"number-of-pages":"63-113","title":"Germinación y dormancia de semillas","type":"book","volume":"Capitulo 3"},"uris":["http://www.mendeley.com/documents/?uuid=6ee6e774-256a-4f16-a140-aabe1ff2a0d3"]}],"mendeley":{"formattedCitation":"(Baskin et al., 2000; Jayasuriya et al., 2007; Pérez-Martínez et al., 2014)","manualFormatting":"(Baskin et al., 2000; Jayasuriya et al., 2007; Baskin &amp; Baskin, 2001 citado por Pérez-Martínez et al., 2014)","plainTextFormattedCitation":"(Baskin et al., 2000; Jayasuriya et al., 2007; Pérez-Martínez et al., 2014)","previouslyFormattedCitation":"(Baskin et al., 2000; Jayasuriya et al., 2007; Pérez-Martínez et al., 2014)"},"properties":{"noteIndex":0},"schema":"https://github.com/citation-style-language/schema/raw/master/csl-citation.json"}</w:instrText>
      </w:r>
      <w:r w:rsidR="00E77C63">
        <w:fldChar w:fldCharType="separate"/>
      </w:r>
      <w:r w:rsidR="005A7857" w:rsidRPr="005A7857">
        <w:rPr>
          <w:noProof/>
        </w:rPr>
        <w:t xml:space="preserve">(Baskin et al., 2000; Jayasuriya et al., 2007; </w:t>
      </w:r>
      <w:r w:rsidR="005A7857">
        <w:rPr>
          <w:noProof/>
        </w:rPr>
        <w:t>Baskin &amp; Baskin</w:t>
      </w:r>
      <w:r w:rsidR="005615D1">
        <w:rPr>
          <w:noProof/>
        </w:rPr>
        <w:t>, 2001</w:t>
      </w:r>
      <w:r w:rsidR="005A7857">
        <w:rPr>
          <w:noProof/>
        </w:rPr>
        <w:t xml:space="preserve"> citado por </w:t>
      </w:r>
      <w:r w:rsidR="005A7857" w:rsidRPr="005A7857">
        <w:rPr>
          <w:noProof/>
        </w:rPr>
        <w:t>Pérez-Martínez et al., 2014)</w:t>
      </w:r>
      <w:r w:rsidR="00E77C63">
        <w:fldChar w:fldCharType="end"/>
      </w:r>
      <w:r>
        <w:t>. La respuesta de emergencia de los otros tratamientos se dio a una velocidad menor debido a que se encontraban más alejadas de la superficie (</w:t>
      </w:r>
      <w:r>
        <w:rPr>
          <w:b/>
        </w:rPr>
        <w:t>Figura 6</w:t>
      </w:r>
      <w:r>
        <w:t>).</w:t>
      </w:r>
    </w:p>
    <w:p w14:paraId="0000003B" w14:textId="77777777" w:rsidR="00B40B7D" w:rsidRDefault="002C12B5">
      <w:pPr>
        <w:spacing w:line="360" w:lineRule="auto"/>
      </w:pPr>
      <w:r>
        <w:tab/>
        <w:t xml:space="preserve">Los resultados en la última evaluación son consistentes por lo que es posible afirmar que la emergencia de </w:t>
      </w:r>
      <w:r>
        <w:rPr>
          <w:i/>
        </w:rPr>
        <w:t>A. gangetica</w:t>
      </w:r>
      <w:r>
        <w:t xml:space="preserve"> probablemente se dé en profundidades entre los 0 y 8 cm (</w:t>
      </w:r>
      <w:r w:rsidRPr="00E86CAB">
        <w:rPr>
          <w:b/>
          <w:bCs/>
        </w:rPr>
        <w:t>Figura 6 y 7</w:t>
      </w:r>
      <w:r>
        <w:t>).</w:t>
      </w:r>
    </w:p>
    <w:p w14:paraId="0000003C" w14:textId="13D2E17C" w:rsidR="00B40B7D" w:rsidRDefault="002C12B5">
      <w:pPr>
        <w:spacing w:line="360" w:lineRule="auto"/>
      </w:pPr>
      <w:r>
        <w:tab/>
        <w:t xml:space="preserve">La magnitud de la biomasa evaluada en la parte radical es menor que la parte aérea ya que generalmente la planta suele almacenar los fotoasimilados en las hojas </w:t>
      </w:r>
      <w:r w:rsidR="00696A43">
        <w:fldChar w:fldCharType="begin" w:fldLock="1"/>
      </w:r>
      <w:r w:rsidR="008C5398">
        <w:instrText>ADDIN CSL_CITATION {"citationItems":[{"id":"ITEM-1","itemData":{"DOI":"10.1007/s11104-016-2974-2","ISSN":"15735036","abstract":"Aims: Cover crops play an important role in soil fertility as they can accumulate large amounts of nutrients. This study aimed at understanding the nutrient uptake capacity of a wide range of cover crops and at assessing the relevance of acquisition strategies. Methods: A field experiment was conducted to characterize 20 species in terms of leaf and root traits. Plant traits were related to nutrient concentration and shoot biomass production with a redundancy analysis. Acquisition strategies were identified using a cluster analysis. Results: Root systems varied greatly among cover crop species. Five nutrient acquisition strategies were delineated. Significant amounts of nutrients (about 120 kg ha−1 of nitrogen, 30 kg ha−1 of phosphorus and 190 kg ha−1 of potassium) were accumulated by the species in a short period. Nutrient acquisition strategies related to high accumulations of nutrients consisted in either high shoot biomass and root mass and dense tissues, or high nutrient concentrations and root length densities. Species with high root length densities showed lower C/N ratios. Conclusions: The same amounts of nutrients were accumulated by groups with different acquisition strategies. However, their nutrient concentrations offer different perspectives in terms of nutrient release for the subsequent crop and nutrient cycling improvement.","author":[{"dropping-particle":"","family":"Wendling","given":"Marina","non-dropping-particle":"","parse-names":false,"suffix":""},{"dropping-particle":"","family":"Büchi","given":"Lucie","non-dropping-particle":"","parse-names":false,"suffix":""},{"dropping-particle":"","family":"Amossé","given":"Camille","non-dropping-particle":"","parse-names":false,"suffix":""},{"dropping-particle":"","family":"Sinaj","given":"Sokrat","non-dropping-particle":"","parse-names":false,"suffix":""},{"dropping-particle":"","family":"Walter","given":"Achim","non-dropping-particle":"","parse-names":false,"suffix":""},{"dropping-particle":"","family":"Charles","given":"Raphaël","non-dropping-particle":"","parse-names":false,"suffix":""}],"container-title":"Plant and Soil","id":"ITEM-1","issue":"1-2","issued":{"date-parts":[["2016"]]},"page":"419-434","publisher":"Plant and Soil","title":"Influence of root and leaf traits on the uptake of nutrients in cover crops","type":"article-journal","volume":"409"},"uris":["http://www.mendeley.com/documents/?uuid=4f12d5d4-d60f-4273-a88c-6f5af8ca78a4"]}],"mendeley":{"formattedCitation":"(Wendling et al., 2016)","manualFormatting":"(García y Guardiola, 2013; Wendling et al., 2016)","plainTextFormattedCitation":"(Wendling et al., 2016)","previouslyFormattedCitation":"(Wendling et al., 2016)"},"properties":{"noteIndex":0},"schema":"https://github.com/citation-style-language/schema/raw/master/csl-citation.json"}</w:instrText>
      </w:r>
      <w:r w:rsidR="00696A43">
        <w:fldChar w:fldCharType="separate"/>
      </w:r>
      <w:r w:rsidR="00696A43" w:rsidRPr="00696A43">
        <w:rPr>
          <w:noProof/>
        </w:rPr>
        <w:t>(</w:t>
      </w:r>
      <w:r w:rsidR="00EF1556">
        <w:rPr>
          <w:noProof/>
        </w:rPr>
        <w:t>García y Guard</w:t>
      </w:r>
      <w:r w:rsidR="006D1FA4">
        <w:rPr>
          <w:noProof/>
        </w:rPr>
        <w:t xml:space="preserve">iola, 2013; </w:t>
      </w:r>
      <w:r w:rsidR="00696A43" w:rsidRPr="00696A43">
        <w:rPr>
          <w:noProof/>
        </w:rPr>
        <w:t>Wendling et al., 2016)</w:t>
      </w:r>
      <w:r w:rsidR="00696A43">
        <w:fldChar w:fldCharType="end"/>
      </w:r>
      <w:r>
        <w:t xml:space="preserve">, y la raíz por lo general en etapas tempranas suelen tener estructuras finas y muy suculentas </w:t>
      </w:r>
      <w:r w:rsidR="008C5398">
        <w:fldChar w:fldCharType="begin" w:fldLock="1"/>
      </w:r>
      <w:r w:rsidR="005C087B">
        <w:instrText>ADDIN CSL_CITATION {"citationItems":[{"id":"ITEM-1","itemData":{"DOI":"10.1007/s11104-016-2974-2","ISSN":"15735036","abstract":"Aims: Cover crops play an important role in soil fertility as they can accumulate large amounts of nutrients. This study aimed at understanding the nutrient uptake capacity of a wide range of cover crops and at assessing the relevance of acquisition strategies. Methods: A field experiment was conducted to characterize 20 species in terms of leaf and root traits. Plant traits were related to nutrient concentration and shoot biomass production with a redundancy analysis. Acquisition strategies were identified using a cluster analysis. Results: Root systems varied greatly among cover crop species. Five nutrient acquisition strategies were delineated. Significant amounts of nutrients (about 120 kg ha−1 of nitrogen, 30 kg ha−1 of phosphorus and 190 kg ha−1 of potassium) were accumulated by the species in a short period. Nutrient acquisition strategies related to high accumulations of nutrients consisted in either high shoot biomass and root mass and dense tissues, or high nutrient concentrations and root length densities. Species with high root length densities showed lower C/N ratios. Conclusions: The same amounts of nutrients were accumulated by groups with different acquisition strategies. However, their nutrient concentrations offer different perspectives in terms of nutrient release for the subsequent crop and nutrient cycling improvement.","author":[{"dropping-particle":"","family":"Wendling","given":"Marina","non-dropping-particle":"","parse-names":false,"suffix":""},{"dropping-particle":"","family":"Büchi","given":"Lucie","non-dropping-particle":"","parse-names":false,"suffix":""},{"dropping-particle":"","family":"Amossé","given":"Camille","non-dropping-particle":"","parse-names":false,"suffix":""},{"dropping-particle":"","family":"Sinaj","given":"Sokrat","non-dropping-particle":"","parse-names":false,"suffix":""},{"dropping-particle":"","family":"Walter","given":"Achim","non-dropping-particle":"","parse-names":false,"suffix":""},{"dropping-particle":"","family":"Charles","given":"Raphaël","non-dropping-particle":"","parse-names":false,"suffix":""}],"container-title":"Plant and Soil","id":"ITEM-1","issue":"1-2","issued":{"date-parts":[["2016"]]},"page":"419-434","publisher":"Plant and Soil","title":"Influence of root and leaf traits on the uptake of nutrients in cover crops","type":"article-journal","volume":"409"},"uris":["http://www.mendeley.com/documents/?uuid=4f12d5d4-d60f-4273-a88c-6f5af8ca78a4"]}],"mendeley":{"formattedCitation":"(Wendling et al., 2016)","manualFormatting":"(García y Guardiola, 2013; Wendling et al., 2016)","plainTextFormattedCitation":"(Wendling et al., 2016)","previouslyFormattedCitation":"(Wendling et al., 2016)"},"properties":{"noteIndex":0},"schema":"https://github.com/citation-style-language/schema/raw/master/csl-citation.json"}</w:instrText>
      </w:r>
      <w:r w:rsidR="008C5398">
        <w:fldChar w:fldCharType="separate"/>
      </w:r>
      <w:r w:rsidR="008C5398" w:rsidRPr="008C5398">
        <w:rPr>
          <w:noProof/>
        </w:rPr>
        <w:t>(</w:t>
      </w:r>
      <w:r w:rsidR="00851898">
        <w:rPr>
          <w:noProof/>
        </w:rPr>
        <w:t xml:space="preserve">García y Guardiola, 2013; </w:t>
      </w:r>
      <w:r w:rsidR="008C5398" w:rsidRPr="008C5398">
        <w:rPr>
          <w:noProof/>
        </w:rPr>
        <w:t>Wendling et al., 2016)</w:t>
      </w:r>
      <w:r w:rsidR="008C5398">
        <w:fldChar w:fldCharType="end"/>
      </w:r>
      <w:r>
        <w:t>. La profundidad a 6 cm no fue consecuente con el porcentaje de emergencia (Figura 6 y 7), probablemente la textura del suelo favoreció la emergencia y desarrollo de plántulas en dicha profundidad lo que influyó en los pesos secos (</w:t>
      </w:r>
      <w:r w:rsidRPr="00A01044">
        <w:rPr>
          <w:b/>
          <w:bCs/>
        </w:rPr>
        <w:t>Figura 8</w:t>
      </w:r>
      <w:r>
        <w:t>).</w:t>
      </w:r>
    </w:p>
    <w:p w14:paraId="0000003D" w14:textId="65CD605A" w:rsidR="00B40B7D" w:rsidRDefault="002C12B5">
      <w:pPr>
        <w:spacing w:line="360" w:lineRule="auto"/>
      </w:pPr>
      <w:r>
        <w:tab/>
        <w:t>A diferencia de los pesos secos la longitud radical fue mayor que la foliar, posiblemente sea una estrategia de supervivencia invertir en el desarrollo radical para aumentar la capacidad de absorción de agua y nutrientes</w:t>
      </w:r>
      <w:r w:rsidR="00C03459">
        <w:t xml:space="preserve"> </w:t>
      </w:r>
      <w:r w:rsidR="005C087B">
        <w:fldChar w:fldCharType="begin" w:fldLock="1"/>
      </w:r>
      <w:r w:rsidR="00A01044">
        <w:instrText>ADDIN CSL_CITATION {"citationItems":[{"id":"ITEM-1","itemData":{"DOI":"10.1007/s11104-016-2974-2","ISSN":"15735036","abstract":"Aims: Cover crops play an important role in soil fertility as they can accumulate large amounts of nutrients. This study aimed at understanding the nutrient uptake capacity of a wide range of cover crops and at assessing the relevance of acquisition strategies. Methods: A field experiment was conducted to characterize 20 species in terms of leaf and root traits. Plant traits were related to nutrient concentration and shoot biomass production with a redundancy analysis. Acquisition strategies were identified using a cluster analysis. Results: Root systems varied greatly among cover crop species. Five nutrient acquisition strategies were delineated. Significant amounts of nutrients (about 120 kg ha−1 of nitrogen, 30 kg ha−1 of phosphorus and 190 kg ha−1 of potassium) were accumulated by the species in a short period. Nutrient acquisition strategies related to high accumulations of nutrients consisted in either high shoot biomass and root mass and dense tissues, or high nutrient concentrations and root length densities. Species with high root length densities showed lower C/N ratios. Conclusions: The same amounts of nutrients were accumulated by groups with different acquisition strategies. However, their nutrient concentrations offer different perspectives in terms of nutrient release for the subsequent crop and nutrient cycling improvement.","author":[{"dropping-particle":"","family":"Wendling","given":"Marina","non-dropping-particle":"","parse-names":false,"suffix":""},{"dropping-particle":"","family":"Büchi","given":"Lucie","non-dropping-particle":"","parse-names":false,"suffix":""},{"dropping-particle":"","family":"Amossé","given":"Camille","non-dropping-particle":"","parse-names":false,"suffix":""},{"dropping-particle":"","family":"Sinaj","given":"Sokrat","non-dropping-particle":"","parse-names":false,"suffix":""},{"dropping-particle":"","family":"Walter","given":"Achim","non-dropping-particle":"","parse-names":false,"suffix":""},{"dropping-particle":"","family":"Charles","given":"Raphaël","non-dropping-particle":"","parse-names":false,"suffix":""}],"container-title":"Plant and Soil","id":"ITEM-1","issue":"1-2","issued":{"date-parts":[["2016"]]},"page":"419-434","publisher":"Plant and Soil","title":"Influence of root and leaf traits on the uptake of nutrients in cover crops","type":"article-journal","volume":"409"},"uris":["http://www.mendeley.com/documents/?uuid=4f12d5d4-d60f-4273-a88c-6f5af8ca78a4"]}],"mendeley":{"formattedCitation":"(Wendling et al., 2016)","manualFormatting":"(Segura, 2013; Wendling et al., 2016)","plainTextFormattedCitation":"(Wendling et al., 2016)","previouslyFormattedCitation":"(Wendling et al., 2016)"},"properties":{"noteIndex":0},"schema":"https://github.com/citation-style-language/schema/raw/master/csl-citation.json"}</w:instrText>
      </w:r>
      <w:r w:rsidR="005C087B">
        <w:fldChar w:fldCharType="separate"/>
      </w:r>
      <w:r w:rsidR="005C087B" w:rsidRPr="005C087B">
        <w:rPr>
          <w:noProof/>
        </w:rPr>
        <w:t>(</w:t>
      </w:r>
      <w:r w:rsidR="00A01044">
        <w:rPr>
          <w:noProof/>
        </w:rPr>
        <w:t xml:space="preserve">Segura, 2013; </w:t>
      </w:r>
      <w:r w:rsidR="005C087B" w:rsidRPr="005C087B">
        <w:rPr>
          <w:noProof/>
        </w:rPr>
        <w:t>Wendling et al., 2016)</w:t>
      </w:r>
      <w:r w:rsidR="005C087B">
        <w:fldChar w:fldCharType="end"/>
      </w:r>
      <w:r>
        <w:t xml:space="preserve">. El hecho de que las plántulas sembradas en profundidades superficiales tuvieran un mayor desarrollo radical y foliar que </w:t>
      </w:r>
      <w:r w:rsidR="00F41B04">
        <w:t>las profundidades mayores posiblemente estén</w:t>
      </w:r>
      <w:r>
        <w:t xml:space="preserve"> relacionado a la profundidad, ya que un inicio las plántulas invierten los recursos en alcanzar la superficie, entonces las plántulas en profundidades superficiales gastan menos recursos en emerger y pueden destinarlos a un mayor desarrollo radical o foliar.    </w:t>
      </w:r>
    </w:p>
    <w:p w14:paraId="0000003E" w14:textId="228F3F74" w:rsidR="00B40B7D" w:rsidRDefault="002C12B5">
      <w:pPr>
        <w:spacing w:line="360" w:lineRule="auto"/>
      </w:pPr>
      <w:r>
        <w:lastRenderedPageBreak/>
        <w:tab/>
        <w:t xml:space="preserve">En </w:t>
      </w:r>
      <w:r w:rsidR="00F41B04">
        <w:t>conclusión,</w:t>
      </w:r>
      <w:r>
        <w:t xml:space="preserve"> es posible afirmar que la profundidad máxima a la cual se da la emergencia de las semillas de </w:t>
      </w:r>
      <w:r>
        <w:rPr>
          <w:i/>
        </w:rPr>
        <w:t>A. gangetica</w:t>
      </w:r>
      <w:r>
        <w:t xml:space="preserve"> es de 8 cm. Además de la influencia directa que tuvo la profundidad de siembra en el desarrollo radical y foliar, entonces a mayor profundidad no solo se da una menor germinación si no que hay menos desarrollo en las plántulas debido al gasto energético que hacen las semillas para salir a la superficie.</w:t>
      </w:r>
    </w:p>
    <w:p w14:paraId="6C821889" w14:textId="6E0831E7" w:rsidR="00A01044" w:rsidRDefault="00A01044" w:rsidP="00A01044">
      <w:pPr>
        <w:pStyle w:val="Ttulo1"/>
      </w:pPr>
      <w:r>
        <w:t>Literatura citada</w:t>
      </w:r>
    </w:p>
    <w:p w14:paraId="709A8761" w14:textId="77777777" w:rsidR="00A702D9" w:rsidRPr="007D1494" w:rsidRDefault="00A702D9">
      <w:pPr>
        <w:spacing w:line="360" w:lineRule="auto"/>
      </w:pPr>
    </w:p>
    <w:p w14:paraId="0000003F" w14:textId="54698EDD" w:rsidR="00B40B7D" w:rsidRPr="00E07384" w:rsidRDefault="008C23F4">
      <w:pPr>
        <w:spacing w:line="360" w:lineRule="auto"/>
        <w:rPr>
          <w:lang w:val="en-US"/>
        </w:rPr>
      </w:pPr>
      <w:proofErr w:type="spellStart"/>
      <w:r w:rsidRPr="007D1494">
        <w:t>Baskin</w:t>
      </w:r>
      <w:proofErr w:type="spellEnd"/>
      <w:r w:rsidRPr="007D1494">
        <w:t xml:space="preserve">, </w:t>
      </w:r>
      <w:r w:rsidR="00E07384" w:rsidRPr="007D1494">
        <w:t xml:space="preserve">C; </w:t>
      </w:r>
      <w:proofErr w:type="spellStart"/>
      <w:r w:rsidR="00E07384" w:rsidRPr="007D1494">
        <w:t>Baskin</w:t>
      </w:r>
      <w:proofErr w:type="spellEnd"/>
      <w:r w:rsidR="00E07384" w:rsidRPr="007D1494">
        <w:t xml:space="preserve">, J. (2001). </w:t>
      </w:r>
      <w:r w:rsidR="00E07384" w:rsidRPr="00E07384">
        <w:rPr>
          <w:lang w:val="en-US"/>
        </w:rPr>
        <w:t>S</w:t>
      </w:r>
      <w:r w:rsidR="00E07384">
        <w:rPr>
          <w:lang w:val="en-US"/>
        </w:rPr>
        <w:t>eeds: Ecology, biogeography</w:t>
      </w:r>
      <w:r w:rsidR="00EE748B">
        <w:rPr>
          <w:lang w:val="en-US"/>
        </w:rPr>
        <w:t>, and evolution of dormancy and germination</w:t>
      </w:r>
      <w:r w:rsidR="00247658">
        <w:rPr>
          <w:lang w:val="en-US"/>
        </w:rPr>
        <w:t>. San Diego, California. Academic Press</w:t>
      </w:r>
      <w:r w:rsidR="00A702D9">
        <w:rPr>
          <w:lang w:val="en-US"/>
        </w:rPr>
        <w:t>.</w:t>
      </w:r>
    </w:p>
    <w:p w14:paraId="6AA60521" w14:textId="45CA3E36" w:rsidR="00A01044" w:rsidRPr="007D1494" w:rsidRDefault="00A01044" w:rsidP="00A01044">
      <w:pPr>
        <w:widowControl w:val="0"/>
        <w:autoSpaceDE w:val="0"/>
        <w:autoSpaceDN w:val="0"/>
        <w:adjustRightInd w:val="0"/>
        <w:spacing w:line="360" w:lineRule="auto"/>
        <w:ind w:left="480" w:hanging="480"/>
        <w:rPr>
          <w:noProof/>
          <w:lang w:val="en-US"/>
        </w:rPr>
      </w:pPr>
      <w:r>
        <w:fldChar w:fldCharType="begin" w:fldLock="1"/>
      </w:r>
      <w:r w:rsidRPr="007D1494">
        <w:rPr>
          <w:lang w:val="en-US"/>
        </w:rPr>
        <w:instrText xml:space="preserve">ADDIN Mendeley Bibliography CSL_BIBLIOGRAPHY </w:instrText>
      </w:r>
      <w:r>
        <w:fldChar w:fldCharType="separate"/>
      </w:r>
      <w:r w:rsidRPr="007D1494">
        <w:rPr>
          <w:noProof/>
          <w:lang w:val="en-US"/>
        </w:rPr>
        <w:t xml:space="preserve">Baskin, J. M., Baskin, C. C., &amp; Li, X. (2000). Taxonomy, anatomy and evolution of physical dormancy in seeds. </w:t>
      </w:r>
      <w:r w:rsidRPr="007D1494">
        <w:rPr>
          <w:i/>
          <w:iCs/>
          <w:noProof/>
          <w:lang w:val="en-US"/>
        </w:rPr>
        <w:t>Plant Species Biology</w:t>
      </w:r>
      <w:r w:rsidRPr="007D1494">
        <w:rPr>
          <w:noProof/>
          <w:lang w:val="en-US"/>
        </w:rPr>
        <w:t xml:space="preserve">, </w:t>
      </w:r>
      <w:r w:rsidRPr="007D1494">
        <w:rPr>
          <w:i/>
          <w:iCs/>
          <w:noProof/>
          <w:lang w:val="en-US"/>
        </w:rPr>
        <w:t>15</w:t>
      </w:r>
      <w:r w:rsidRPr="007D1494">
        <w:rPr>
          <w:noProof/>
          <w:lang w:val="en-US"/>
        </w:rPr>
        <w:t>(2), 139–152. https://doi.org/10.1046/j.1442-1984.2000.00034.x</w:t>
      </w:r>
    </w:p>
    <w:p w14:paraId="7E1FBB52" w14:textId="77777777" w:rsidR="00A01044" w:rsidRPr="007D1494" w:rsidRDefault="00A01044" w:rsidP="00A01044">
      <w:pPr>
        <w:widowControl w:val="0"/>
        <w:autoSpaceDE w:val="0"/>
        <w:autoSpaceDN w:val="0"/>
        <w:adjustRightInd w:val="0"/>
        <w:spacing w:line="360" w:lineRule="auto"/>
        <w:ind w:left="480" w:hanging="480"/>
        <w:rPr>
          <w:noProof/>
          <w:lang w:val="en-US"/>
        </w:rPr>
      </w:pPr>
      <w:r w:rsidRPr="007D1494">
        <w:rPr>
          <w:noProof/>
          <w:lang w:val="en-US"/>
        </w:rPr>
        <w:t xml:space="preserve">Bu, H., Du, G., Chen, X., Xu, X., Liu, K., &amp; Wen, S. (2008). Community-wide germination strategies in an alpine meadow on the eastern Qinghai-Tibet plateau: Phylogenetic and life-history correlates. </w:t>
      </w:r>
      <w:r w:rsidRPr="007D1494">
        <w:rPr>
          <w:i/>
          <w:iCs/>
          <w:noProof/>
          <w:lang w:val="en-US"/>
        </w:rPr>
        <w:t>Plant Ecology</w:t>
      </w:r>
      <w:r w:rsidRPr="007D1494">
        <w:rPr>
          <w:noProof/>
          <w:lang w:val="en-US"/>
        </w:rPr>
        <w:t xml:space="preserve">, </w:t>
      </w:r>
      <w:r w:rsidRPr="007D1494">
        <w:rPr>
          <w:i/>
          <w:iCs/>
          <w:noProof/>
          <w:lang w:val="en-US"/>
        </w:rPr>
        <w:t>195</w:t>
      </w:r>
      <w:r w:rsidRPr="007D1494">
        <w:rPr>
          <w:noProof/>
          <w:lang w:val="en-US"/>
        </w:rPr>
        <w:t>(1), 87–98. https://doi.org/10.1007/s11258-007-9301-1</w:t>
      </w:r>
    </w:p>
    <w:p w14:paraId="22622E0E" w14:textId="77777777" w:rsidR="00A01044" w:rsidRPr="007D1494" w:rsidRDefault="00A01044" w:rsidP="00A01044">
      <w:pPr>
        <w:widowControl w:val="0"/>
        <w:autoSpaceDE w:val="0"/>
        <w:autoSpaceDN w:val="0"/>
        <w:adjustRightInd w:val="0"/>
        <w:spacing w:line="360" w:lineRule="auto"/>
        <w:ind w:left="480" w:hanging="480"/>
        <w:rPr>
          <w:noProof/>
          <w:lang w:val="en-US"/>
        </w:rPr>
      </w:pPr>
      <w:r w:rsidRPr="007D1494">
        <w:rPr>
          <w:noProof/>
          <w:lang w:val="en-US"/>
        </w:rPr>
        <w:t xml:space="preserve">Chachalis, D., Korres, N., &amp; Khah, E. M. (2008).  Factors Affecting Seed Germination and Emergence of Venice Mallow ( Hibiscus trionum ) . </w:t>
      </w:r>
      <w:r w:rsidRPr="007D1494">
        <w:rPr>
          <w:i/>
          <w:iCs/>
          <w:noProof/>
          <w:lang w:val="en-US"/>
        </w:rPr>
        <w:t>Weed Science</w:t>
      </w:r>
      <w:r w:rsidRPr="007D1494">
        <w:rPr>
          <w:noProof/>
          <w:lang w:val="en-US"/>
        </w:rPr>
        <w:t xml:space="preserve">, </w:t>
      </w:r>
      <w:r w:rsidRPr="007D1494">
        <w:rPr>
          <w:i/>
          <w:iCs/>
          <w:noProof/>
          <w:lang w:val="en-US"/>
        </w:rPr>
        <w:t>56</w:t>
      </w:r>
      <w:r w:rsidRPr="007D1494">
        <w:rPr>
          <w:noProof/>
          <w:lang w:val="en-US"/>
        </w:rPr>
        <w:t>(4), 509–515. https://doi.org/10.1614/ws-07-144.1</w:t>
      </w:r>
    </w:p>
    <w:p w14:paraId="2B8D8CE7" w14:textId="77777777" w:rsidR="00A01044" w:rsidRPr="007D1494" w:rsidRDefault="00A01044" w:rsidP="00A01044">
      <w:pPr>
        <w:widowControl w:val="0"/>
        <w:autoSpaceDE w:val="0"/>
        <w:autoSpaceDN w:val="0"/>
        <w:adjustRightInd w:val="0"/>
        <w:spacing w:line="360" w:lineRule="auto"/>
        <w:ind w:left="480" w:hanging="480"/>
        <w:rPr>
          <w:noProof/>
          <w:lang w:val="en-US"/>
        </w:rPr>
      </w:pPr>
      <w:r w:rsidRPr="007D1494">
        <w:rPr>
          <w:noProof/>
          <w:lang w:val="en-US"/>
        </w:rPr>
        <w:t xml:space="preserve">Davis, A. S., &amp; Renner, K. A. (2007).  Influence of Seed Depth and Pathogens on Fatal Germination of Velvetleaf ( Abutilon theophrasti ) and Giant Foxtail ( Setaria faberi ) . </w:t>
      </w:r>
      <w:r w:rsidRPr="007D1494">
        <w:rPr>
          <w:i/>
          <w:iCs/>
          <w:noProof/>
          <w:lang w:val="en-US"/>
        </w:rPr>
        <w:t>Weed Science</w:t>
      </w:r>
      <w:r w:rsidRPr="007D1494">
        <w:rPr>
          <w:noProof/>
          <w:lang w:val="en-US"/>
        </w:rPr>
        <w:t xml:space="preserve">, </w:t>
      </w:r>
      <w:r w:rsidRPr="007D1494">
        <w:rPr>
          <w:i/>
          <w:iCs/>
          <w:noProof/>
          <w:lang w:val="en-US"/>
        </w:rPr>
        <w:t>55</w:t>
      </w:r>
      <w:r w:rsidRPr="007D1494">
        <w:rPr>
          <w:noProof/>
          <w:lang w:val="en-US"/>
        </w:rPr>
        <w:t>(1), 30–35. https://doi.org/10.1614/w-06-099.1</w:t>
      </w:r>
    </w:p>
    <w:p w14:paraId="70634E22" w14:textId="2C726FA2" w:rsidR="00A01044" w:rsidRPr="007D1494" w:rsidRDefault="00A01044" w:rsidP="00A01044">
      <w:pPr>
        <w:widowControl w:val="0"/>
        <w:autoSpaceDE w:val="0"/>
        <w:autoSpaceDN w:val="0"/>
        <w:adjustRightInd w:val="0"/>
        <w:spacing w:line="360" w:lineRule="auto"/>
        <w:ind w:left="480" w:hanging="480"/>
        <w:rPr>
          <w:noProof/>
          <w:lang w:val="en-US"/>
        </w:rPr>
      </w:pPr>
      <w:r w:rsidRPr="007D1494">
        <w:rPr>
          <w:noProof/>
          <w:lang w:val="en-US"/>
        </w:rPr>
        <w:t xml:space="preserve">Daws, M. I., Mullins, C. E., Burslem, D. F. R. P., R.Paton, S., &amp; James W, D. (2002). Topographic position affects the water regime in a semideciduous tropical forest in Panamá. </w:t>
      </w:r>
      <w:r w:rsidRPr="007D1494">
        <w:rPr>
          <w:i/>
          <w:iCs/>
          <w:noProof/>
          <w:lang w:val="en-US"/>
        </w:rPr>
        <w:t>Plant and Soil</w:t>
      </w:r>
      <w:r w:rsidRPr="007D1494">
        <w:rPr>
          <w:noProof/>
          <w:lang w:val="en-US"/>
        </w:rPr>
        <w:t xml:space="preserve">, </w:t>
      </w:r>
      <w:r w:rsidRPr="007D1494">
        <w:rPr>
          <w:i/>
          <w:iCs/>
          <w:noProof/>
          <w:lang w:val="en-US"/>
        </w:rPr>
        <w:t>238</w:t>
      </w:r>
      <w:r w:rsidRPr="007D1494">
        <w:rPr>
          <w:noProof/>
          <w:lang w:val="en-US"/>
        </w:rPr>
        <w:t>, 79–90. https://doi.org/10.1023/A</w:t>
      </w:r>
    </w:p>
    <w:p w14:paraId="3D315B1D" w14:textId="03BCF590" w:rsidR="00B866D4" w:rsidRPr="00A01044" w:rsidRDefault="00B866D4" w:rsidP="00A01044">
      <w:pPr>
        <w:widowControl w:val="0"/>
        <w:autoSpaceDE w:val="0"/>
        <w:autoSpaceDN w:val="0"/>
        <w:adjustRightInd w:val="0"/>
        <w:spacing w:line="360" w:lineRule="auto"/>
        <w:ind w:left="480" w:hanging="480"/>
        <w:rPr>
          <w:noProof/>
        </w:rPr>
      </w:pPr>
      <w:r w:rsidRPr="007D1494">
        <w:rPr>
          <w:noProof/>
          <w:lang w:val="en-US"/>
        </w:rPr>
        <w:t>García</w:t>
      </w:r>
      <w:r w:rsidR="00BB1741" w:rsidRPr="007D1494">
        <w:rPr>
          <w:noProof/>
          <w:lang w:val="en-US"/>
        </w:rPr>
        <w:t xml:space="preserve">, A; </w:t>
      </w:r>
      <w:r w:rsidR="00F604F4" w:rsidRPr="007D1494">
        <w:rPr>
          <w:noProof/>
          <w:lang w:val="en-US"/>
        </w:rPr>
        <w:t xml:space="preserve">Guradiola, L. (2013). </w:t>
      </w:r>
      <w:r w:rsidR="002D4F4C">
        <w:rPr>
          <w:noProof/>
        </w:rPr>
        <w:t>Capítulo 5:</w:t>
      </w:r>
      <w:r w:rsidR="009855D5">
        <w:rPr>
          <w:noProof/>
        </w:rPr>
        <w:t xml:space="preserve"> </w:t>
      </w:r>
      <w:r w:rsidR="002D4F4C">
        <w:rPr>
          <w:noProof/>
        </w:rPr>
        <w:t>Transporte en el floema</w:t>
      </w:r>
      <w:r w:rsidR="009855D5">
        <w:rPr>
          <w:noProof/>
        </w:rPr>
        <w:t xml:space="preserve"> en Fudamentos </w:t>
      </w:r>
      <w:r w:rsidR="009855D5">
        <w:rPr>
          <w:noProof/>
        </w:rPr>
        <w:lastRenderedPageBreak/>
        <w:t>de Fisiología Vegetal.</w:t>
      </w:r>
      <w:r w:rsidR="005D02D8">
        <w:rPr>
          <w:noProof/>
        </w:rPr>
        <w:t xml:space="preserve"> pp 81-103.</w:t>
      </w:r>
      <w:r w:rsidR="009855D5">
        <w:rPr>
          <w:noProof/>
        </w:rPr>
        <w:t xml:space="preserve"> </w:t>
      </w:r>
    </w:p>
    <w:p w14:paraId="2CB974D9" w14:textId="77777777" w:rsidR="00A01044" w:rsidRPr="007D1494" w:rsidRDefault="00A01044" w:rsidP="00A01044">
      <w:pPr>
        <w:widowControl w:val="0"/>
        <w:autoSpaceDE w:val="0"/>
        <w:autoSpaceDN w:val="0"/>
        <w:adjustRightInd w:val="0"/>
        <w:spacing w:line="360" w:lineRule="auto"/>
        <w:ind w:left="480" w:hanging="480"/>
        <w:rPr>
          <w:noProof/>
          <w:lang w:val="en-US"/>
        </w:rPr>
      </w:pPr>
      <w:r w:rsidRPr="007D1494">
        <w:rPr>
          <w:noProof/>
          <w:lang w:val="en-US"/>
        </w:rPr>
        <w:t xml:space="preserve">Guo, Q., Brown, J. H. ., &amp; Valone, T. J. . (2000). Constraints of Seed Size on Plant Distribution and Abundance. </w:t>
      </w:r>
      <w:r w:rsidRPr="007D1494">
        <w:rPr>
          <w:i/>
          <w:iCs/>
          <w:noProof/>
          <w:lang w:val="en-US"/>
        </w:rPr>
        <w:t>Ecological Society of America</w:t>
      </w:r>
      <w:r w:rsidRPr="007D1494">
        <w:rPr>
          <w:noProof/>
          <w:lang w:val="en-US"/>
        </w:rPr>
        <w:t xml:space="preserve">, </w:t>
      </w:r>
      <w:r w:rsidRPr="007D1494">
        <w:rPr>
          <w:i/>
          <w:iCs/>
          <w:noProof/>
          <w:lang w:val="en-US"/>
        </w:rPr>
        <w:t>81</w:t>
      </w:r>
      <w:r w:rsidRPr="007D1494">
        <w:rPr>
          <w:noProof/>
          <w:lang w:val="en-US"/>
        </w:rPr>
        <w:t>(8), 2149–2155. http://www.jstor.org/stable/177103</w:t>
      </w:r>
    </w:p>
    <w:p w14:paraId="61C48478" w14:textId="77777777" w:rsidR="00A01044" w:rsidRPr="007D1494" w:rsidRDefault="00A01044" w:rsidP="00A01044">
      <w:pPr>
        <w:widowControl w:val="0"/>
        <w:autoSpaceDE w:val="0"/>
        <w:autoSpaceDN w:val="0"/>
        <w:adjustRightInd w:val="0"/>
        <w:spacing w:line="360" w:lineRule="auto"/>
        <w:ind w:left="480" w:hanging="480"/>
        <w:rPr>
          <w:noProof/>
          <w:lang w:val="en-US"/>
        </w:rPr>
      </w:pPr>
      <w:r w:rsidRPr="007D1494">
        <w:rPr>
          <w:noProof/>
          <w:lang w:val="en-US"/>
        </w:rPr>
        <w:t xml:space="preserve">Honarmand, S. J., Nosratti, I., Nazari, K., &amp; Heidari, H. (2016). Factors affecting the seed germination and seedling emergence of muskweed (Myagrum perfoliatum). </w:t>
      </w:r>
      <w:r w:rsidRPr="007D1494">
        <w:rPr>
          <w:i/>
          <w:iCs/>
          <w:noProof/>
          <w:lang w:val="en-US"/>
        </w:rPr>
        <w:t>Weed Biology and Management</w:t>
      </w:r>
      <w:r w:rsidRPr="007D1494">
        <w:rPr>
          <w:noProof/>
          <w:lang w:val="en-US"/>
        </w:rPr>
        <w:t xml:space="preserve">, </w:t>
      </w:r>
      <w:r w:rsidRPr="007D1494">
        <w:rPr>
          <w:i/>
          <w:iCs/>
          <w:noProof/>
          <w:lang w:val="en-US"/>
        </w:rPr>
        <w:t>16</w:t>
      </w:r>
      <w:r w:rsidRPr="007D1494">
        <w:rPr>
          <w:noProof/>
          <w:lang w:val="en-US"/>
        </w:rPr>
        <w:t>(4), 186–193. https://doi.org/10.1111/wbm.12110</w:t>
      </w:r>
    </w:p>
    <w:p w14:paraId="4B1ACF0D" w14:textId="212797AC" w:rsidR="00A01044" w:rsidRPr="007D1494" w:rsidRDefault="00A01044" w:rsidP="00A01044">
      <w:pPr>
        <w:widowControl w:val="0"/>
        <w:autoSpaceDE w:val="0"/>
        <w:autoSpaceDN w:val="0"/>
        <w:adjustRightInd w:val="0"/>
        <w:spacing w:line="360" w:lineRule="auto"/>
        <w:ind w:left="480" w:hanging="480"/>
        <w:rPr>
          <w:noProof/>
          <w:lang w:val="en-US"/>
        </w:rPr>
      </w:pPr>
      <w:r w:rsidRPr="007D1494">
        <w:rPr>
          <w:noProof/>
          <w:lang w:val="en-US"/>
        </w:rPr>
        <w:t xml:space="preserve">Jayasuriya, K. M. G. G., Baskin, J. M., Geneve, R. L., &amp; Baskin, C. C. (2007). Morphology and anatomy of physical dormancy in Ipomoea lacunosa: Identification of the water gap in seeds of convolvulaceae (Solanales). </w:t>
      </w:r>
      <w:r w:rsidRPr="007D1494">
        <w:rPr>
          <w:i/>
          <w:iCs/>
          <w:noProof/>
          <w:lang w:val="en-US"/>
        </w:rPr>
        <w:t>Annals of Botany</w:t>
      </w:r>
      <w:r w:rsidRPr="007D1494">
        <w:rPr>
          <w:noProof/>
          <w:lang w:val="en-US"/>
        </w:rPr>
        <w:t xml:space="preserve">, </w:t>
      </w:r>
      <w:r w:rsidRPr="007D1494">
        <w:rPr>
          <w:i/>
          <w:iCs/>
          <w:noProof/>
          <w:lang w:val="en-US"/>
        </w:rPr>
        <w:t>100</w:t>
      </w:r>
      <w:r w:rsidRPr="007D1494">
        <w:rPr>
          <w:noProof/>
          <w:lang w:val="en-US"/>
        </w:rPr>
        <w:t>(1), 13–22. https://doi.org/10.1093/aob/mcm070</w:t>
      </w:r>
    </w:p>
    <w:p w14:paraId="06F25856" w14:textId="4BA96DF3" w:rsidR="00E35305" w:rsidRPr="007D1494" w:rsidRDefault="00E35305" w:rsidP="00A01044">
      <w:pPr>
        <w:widowControl w:val="0"/>
        <w:autoSpaceDE w:val="0"/>
        <w:autoSpaceDN w:val="0"/>
        <w:adjustRightInd w:val="0"/>
        <w:spacing w:line="360" w:lineRule="auto"/>
        <w:ind w:left="480" w:hanging="480"/>
        <w:rPr>
          <w:noProof/>
        </w:rPr>
      </w:pPr>
      <w:r w:rsidRPr="002755D8">
        <w:rPr>
          <w:noProof/>
          <w:lang w:val="en-US"/>
        </w:rPr>
        <w:t>Sc</w:t>
      </w:r>
      <w:r w:rsidR="00986CC3" w:rsidRPr="002755D8">
        <w:rPr>
          <w:noProof/>
          <w:lang w:val="en-US"/>
        </w:rPr>
        <w:t xml:space="preserve">hmidt, L. (2000). Guide to handling </w:t>
      </w:r>
      <w:r w:rsidR="002755D8">
        <w:rPr>
          <w:noProof/>
          <w:lang w:val="en-US"/>
        </w:rPr>
        <w:t xml:space="preserve">of tropical and subtropical forest seed. </w:t>
      </w:r>
      <w:r w:rsidR="002755D8" w:rsidRPr="007D1494">
        <w:rPr>
          <w:noProof/>
        </w:rPr>
        <w:t>Hum</w:t>
      </w:r>
      <w:r w:rsidR="00524370" w:rsidRPr="007D1494">
        <w:rPr>
          <w:noProof/>
        </w:rPr>
        <w:t>lebaek, Dinamarca: Donida</w:t>
      </w:r>
      <w:r w:rsidR="00887A26" w:rsidRPr="007D1494">
        <w:rPr>
          <w:noProof/>
        </w:rPr>
        <w:t xml:space="preserve"> Forest Seed Centre.</w:t>
      </w:r>
    </w:p>
    <w:p w14:paraId="439C1267" w14:textId="10501A87" w:rsidR="0091620C" w:rsidRPr="00A01044" w:rsidRDefault="0091620C" w:rsidP="00A01044">
      <w:pPr>
        <w:widowControl w:val="0"/>
        <w:autoSpaceDE w:val="0"/>
        <w:autoSpaceDN w:val="0"/>
        <w:adjustRightInd w:val="0"/>
        <w:spacing w:line="360" w:lineRule="auto"/>
        <w:ind w:left="480" w:hanging="480"/>
        <w:rPr>
          <w:noProof/>
        </w:rPr>
      </w:pPr>
      <w:r w:rsidRPr="007D1494">
        <w:rPr>
          <w:noProof/>
        </w:rPr>
        <w:t>Segura, J. (2013).</w:t>
      </w:r>
      <w:r w:rsidR="002D4F4C" w:rsidRPr="007D1494">
        <w:rPr>
          <w:noProof/>
        </w:rPr>
        <w:t xml:space="preserve"> </w:t>
      </w:r>
      <w:r w:rsidR="002D4F4C">
        <w:rPr>
          <w:noProof/>
        </w:rPr>
        <w:t xml:space="preserve">Capítulo </w:t>
      </w:r>
      <w:r w:rsidR="009855D5">
        <w:rPr>
          <w:noProof/>
        </w:rPr>
        <w:t>18</w:t>
      </w:r>
      <w:r w:rsidR="002D4F4C">
        <w:rPr>
          <w:noProof/>
        </w:rPr>
        <w:t>:</w:t>
      </w:r>
      <w:r>
        <w:rPr>
          <w:noProof/>
        </w:rPr>
        <w:t xml:space="preserve"> Introducción al desarrollo</w:t>
      </w:r>
      <w:r w:rsidR="00810DF2">
        <w:rPr>
          <w:noProof/>
        </w:rPr>
        <w:t xml:space="preserve">: Concepto de hormona vegetal en </w:t>
      </w:r>
      <w:r w:rsidR="00DF2F49">
        <w:rPr>
          <w:noProof/>
        </w:rPr>
        <w:t>Fundamentos de</w:t>
      </w:r>
      <w:r w:rsidR="00810DF2">
        <w:rPr>
          <w:noProof/>
        </w:rPr>
        <w:t xml:space="preserve"> Fisiología Vegetal. </w:t>
      </w:r>
      <w:r w:rsidR="00B866D4">
        <w:rPr>
          <w:noProof/>
        </w:rPr>
        <w:t xml:space="preserve">pp. </w:t>
      </w:r>
      <w:r w:rsidR="004E7FB7">
        <w:rPr>
          <w:noProof/>
        </w:rPr>
        <w:t>349-</w:t>
      </w:r>
      <w:r w:rsidR="00B866D4">
        <w:rPr>
          <w:noProof/>
        </w:rPr>
        <w:t xml:space="preserve">374. </w:t>
      </w:r>
    </w:p>
    <w:p w14:paraId="5E860F4C" w14:textId="77777777" w:rsidR="00A01044" w:rsidRPr="007D1494" w:rsidRDefault="00A01044" w:rsidP="00A01044">
      <w:pPr>
        <w:widowControl w:val="0"/>
        <w:autoSpaceDE w:val="0"/>
        <w:autoSpaceDN w:val="0"/>
        <w:adjustRightInd w:val="0"/>
        <w:spacing w:line="360" w:lineRule="auto"/>
        <w:ind w:left="480" w:hanging="480"/>
        <w:rPr>
          <w:noProof/>
          <w:lang w:val="en-US"/>
        </w:rPr>
      </w:pPr>
      <w:r w:rsidRPr="00A01044">
        <w:rPr>
          <w:noProof/>
        </w:rPr>
        <w:t xml:space="preserve">Pérez-Martínez, L. V., Rodríguez-Castillo, N. A., Ríos, O. V., &amp; Melgarejo, L. M. (2014). Germinación y dormancia de semillas. In </w:t>
      </w:r>
      <w:r w:rsidRPr="00A01044">
        <w:rPr>
          <w:i/>
          <w:iCs/>
          <w:noProof/>
        </w:rPr>
        <w:t xml:space="preserve">Germinación y dormancia de semillas: Vol. </w:t>
      </w:r>
      <w:r w:rsidRPr="007D1494">
        <w:rPr>
          <w:i/>
          <w:iCs/>
          <w:noProof/>
          <w:lang w:val="en-US"/>
        </w:rPr>
        <w:t>Capitulo 3</w:t>
      </w:r>
      <w:r w:rsidRPr="007D1494">
        <w:rPr>
          <w:noProof/>
          <w:lang w:val="en-US"/>
        </w:rPr>
        <w:t xml:space="preserve"> (Issue April 2018).</w:t>
      </w:r>
    </w:p>
    <w:p w14:paraId="5805ADD3" w14:textId="77777777" w:rsidR="00A01044" w:rsidRPr="007D1494" w:rsidRDefault="00A01044" w:rsidP="00A01044">
      <w:pPr>
        <w:widowControl w:val="0"/>
        <w:autoSpaceDE w:val="0"/>
        <w:autoSpaceDN w:val="0"/>
        <w:adjustRightInd w:val="0"/>
        <w:spacing w:line="360" w:lineRule="auto"/>
        <w:ind w:left="480" w:hanging="480"/>
        <w:rPr>
          <w:noProof/>
          <w:lang w:val="en-US"/>
        </w:rPr>
      </w:pPr>
      <w:r w:rsidRPr="007D1494">
        <w:rPr>
          <w:noProof/>
          <w:lang w:val="en-US"/>
        </w:rPr>
        <w:t xml:space="preserve">Venable, D. L., &amp; Brown, J. S. (1988). The selective interactions of dispersal, dormancy, and seed size as adaptations for reducing risk in variable environments. </w:t>
      </w:r>
      <w:r w:rsidRPr="007D1494">
        <w:rPr>
          <w:i/>
          <w:iCs/>
          <w:noProof/>
          <w:lang w:val="en-US"/>
        </w:rPr>
        <w:t>American Naturalist</w:t>
      </w:r>
      <w:r w:rsidRPr="007D1494">
        <w:rPr>
          <w:noProof/>
          <w:lang w:val="en-US"/>
        </w:rPr>
        <w:t xml:space="preserve">, </w:t>
      </w:r>
      <w:r w:rsidRPr="007D1494">
        <w:rPr>
          <w:i/>
          <w:iCs/>
          <w:noProof/>
          <w:lang w:val="en-US"/>
        </w:rPr>
        <w:t>131</w:t>
      </w:r>
      <w:r w:rsidRPr="007D1494">
        <w:rPr>
          <w:noProof/>
          <w:lang w:val="en-US"/>
        </w:rPr>
        <w:t>(3), 360–384. https://doi.org/10.1086/284795</w:t>
      </w:r>
    </w:p>
    <w:p w14:paraId="6CEA61F9" w14:textId="77777777" w:rsidR="00A01044" w:rsidRPr="00A01044" w:rsidRDefault="00A01044" w:rsidP="00A01044">
      <w:pPr>
        <w:widowControl w:val="0"/>
        <w:autoSpaceDE w:val="0"/>
        <w:autoSpaceDN w:val="0"/>
        <w:adjustRightInd w:val="0"/>
        <w:spacing w:line="360" w:lineRule="auto"/>
        <w:ind w:left="480" w:hanging="480"/>
        <w:rPr>
          <w:noProof/>
        </w:rPr>
      </w:pPr>
      <w:r w:rsidRPr="007D1494">
        <w:rPr>
          <w:noProof/>
          <w:lang w:val="en-US"/>
        </w:rPr>
        <w:t xml:space="preserve">Wendling, M., Büchi, L., Amossé, C., Sinaj, S., Walter, A., &amp; Charles, R. (2016). Influence of root and leaf traits on the uptake of nutrients in cover crops. </w:t>
      </w:r>
      <w:r w:rsidRPr="00A01044">
        <w:rPr>
          <w:i/>
          <w:iCs/>
          <w:noProof/>
        </w:rPr>
        <w:t>Plant and Soil</w:t>
      </w:r>
      <w:r w:rsidRPr="00A01044">
        <w:rPr>
          <w:noProof/>
        </w:rPr>
        <w:t xml:space="preserve">, </w:t>
      </w:r>
      <w:r w:rsidRPr="00A01044">
        <w:rPr>
          <w:i/>
          <w:iCs/>
          <w:noProof/>
        </w:rPr>
        <w:t>409</w:t>
      </w:r>
      <w:r w:rsidRPr="00A01044">
        <w:rPr>
          <w:noProof/>
        </w:rPr>
        <w:t>(1–2), 419–434. https://doi.org/10.1007/s11104-016-2974-2</w:t>
      </w:r>
    </w:p>
    <w:p w14:paraId="00000040" w14:textId="27824355" w:rsidR="00B40B7D" w:rsidRDefault="00A01044" w:rsidP="002C12B5">
      <w:pPr>
        <w:spacing w:line="360" w:lineRule="auto"/>
      </w:pPr>
      <w:r>
        <w:fldChar w:fldCharType="end"/>
      </w:r>
    </w:p>
    <w:sectPr w:rsidR="00B40B7D">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7D"/>
    <w:rsid w:val="0002562F"/>
    <w:rsid w:val="00175272"/>
    <w:rsid w:val="001911A1"/>
    <w:rsid w:val="00247658"/>
    <w:rsid w:val="002538E8"/>
    <w:rsid w:val="002755D8"/>
    <w:rsid w:val="002C12B5"/>
    <w:rsid w:val="002D4F4C"/>
    <w:rsid w:val="002E2FB4"/>
    <w:rsid w:val="002F306F"/>
    <w:rsid w:val="00332FF2"/>
    <w:rsid w:val="00365D41"/>
    <w:rsid w:val="003817BA"/>
    <w:rsid w:val="003A7E3E"/>
    <w:rsid w:val="004E7FB7"/>
    <w:rsid w:val="00524370"/>
    <w:rsid w:val="005615D1"/>
    <w:rsid w:val="005A6957"/>
    <w:rsid w:val="005A7857"/>
    <w:rsid w:val="005C087B"/>
    <w:rsid w:val="005D02D8"/>
    <w:rsid w:val="00627479"/>
    <w:rsid w:val="00633D23"/>
    <w:rsid w:val="00696A43"/>
    <w:rsid w:val="006D1FA4"/>
    <w:rsid w:val="007C015F"/>
    <w:rsid w:val="007D1494"/>
    <w:rsid w:val="00810DF2"/>
    <w:rsid w:val="00830DB5"/>
    <w:rsid w:val="00851898"/>
    <w:rsid w:val="00887A26"/>
    <w:rsid w:val="008C23F4"/>
    <w:rsid w:val="008C5398"/>
    <w:rsid w:val="0091620C"/>
    <w:rsid w:val="009855D5"/>
    <w:rsid w:val="00986CC3"/>
    <w:rsid w:val="009C4DEC"/>
    <w:rsid w:val="009D14B5"/>
    <w:rsid w:val="00A01044"/>
    <w:rsid w:val="00A137EB"/>
    <w:rsid w:val="00A45685"/>
    <w:rsid w:val="00A702D9"/>
    <w:rsid w:val="00A935E8"/>
    <w:rsid w:val="00AE7941"/>
    <w:rsid w:val="00B40B7D"/>
    <w:rsid w:val="00B866D4"/>
    <w:rsid w:val="00B91E95"/>
    <w:rsid w:val="00BB1741"/>
    <w:rsid w:val="00BC111F"/>
    <w:rsid w:val="00BC6BC4"/>
    <w:rsid w:val="00BD2EAE"/>
    <w:rsid w:val="00BF7A40"/>
    <w:rsid w:val="00C03459"/>
    <w:rsid w:val="00C45170"/>
    <w:rsid w:val="00CE4FC1"/>
    <w:rsid w:val="00DA32F0"/>
    <w:rsid w:val="00DF2F49"/>
    <w:rsid w:val="00E07384"/>
    <w:rsid w:val="00E35305"/>
    <w:rsid w:val="00E77C63"/>
    <w:rsid w:val="00E81D65"/>
    <w:rsid w:val="00E81E83"/>
    <w:rsid w:val="00E86CAB"/>
    <w:rsid w:val="00EA4B35"/>
    <w:rsid w:val="00EB5D1F"/>
    <w:rsid w:val="00EE748B"/>
    <w:rsid w:val="00EF1556"/>
    <w:rsid w:val="00F1236F"/>
    <w:rsid w:val="00F41B04"/>
    <w:rsid w:val="00F604F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B3F75"/>
  <w15:docId w15:val="{ACBBDEE1-84AF-4F3E-804D-1C4E6D6E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R" w:eastAsia="es-C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BA2"/>
  </w:style>
  <w:style w:type="paragraph" w:styleId="Ttulo1">
    <w:name w:val="heading 1"/>
    <w:basedOn w:val="Normal"/>
    <w:next w:val="Normal"/>
    <w:link w:val="Ttulo1Car"/>
    <w:uiPriority w:val="9"/>
    <w:qFormat/>
    <w:rsid w:val="00402083"/>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semiHidden/>
    <w:unhideWhenUsed/>
    <w:qFormat/>
    <w:rsid w:val="009C4A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402083"/>
    <w:rPr>
      <w:rFonts w:ascii="Arial" w:eastAsiaTheme="majorEastAsia" w:hAnsi="Arial" w:cstheme="majorBidi"/>
      <w:b/>
      <w:sz w:val="24"/>
      <w:szCs w:val="32"/>
    </w:rPr>
  </w:style>
  <w:style w:type="character" w:customStyle="1" w:styleId="Ttulo2Car">
    <w:name w:val="Título 2 Car"/>
    <w:basedOn w:val="Fuentedeprrafopredeter"/>
    <w:link w:val="Ttulo2"/>
    <w:uiPriority w:val="9"/>
    <w:rsid w:val="009C4A06"/>
    <w:rPr>
      <w:rFonts w:asciiTheme="majorHAnsi" w:eastAsiaTheme="majorEastAsia" w:hAnsiTheme="majorHAnsi" w:cstheme="majorBidi"/>
      <w:color w:val="2F5496" w:themeColor="accent1" w:themeShade="BF"/>
      <w:sz w:val="26"/>
      <w:szCs w:val="2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DDWeHXIMeHu5j8ibLr4ad7yzQQ==">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</go:docsCustomData>
</go:gDocsCustomXmlDataStorage>
</file>

<file path=customXml/itemProps1.xml><?xml version="1.0" encoding="utf-8"?>
<ds:datastoreItem xmlns:ds="http://schemas.openxmlformats.org/officeDocument/2006/customXml" ds:itemID="{E7B0EC5E-B1A7-4A36-A23C-EAD2D1A1F2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12161</Words>
  <Characters>66889</Characters>
  <Application>Microsoft Office Word</Application>
  <DocSecurity>0</DocSecurity>
  <Lines>557</Lines>
  <Paragraphs>157</Paragraphs>
  <ScaleCrop>false</ScaleCrop>
  <Company/>
  <LinksUpToDate>false</LinksUpToDate>
  <CharactersWithSpaces>78893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J.Antonio Rodriguez</dc:creator>
  <cp:lastModifiedBy>antonio rodriguez</cp:lastModifiedBy>
  <cp:revision>4</cp:revision>
  <dcterms:created xsi:type="dcterms:W3CDTF">2022-06-10T16:52:00Z</dcterms:created>
  <dcterms:modified xsi:type="dcterms:W3CDTF">2022-06-10T17:08:00Z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http://www.zotero.org/styles/iica-catie</vt:lpwstr>
  </property>
  <property fmtid="{D5CDD505-2E9C-101B-9397-08002B2CF9AE}" pid="17" name="Mendeley Recent Style Name 7_1">
    <vt:lpwstr>IICA-CATIE (Spanish)</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8d92c8b3-8897-3104-a6f3-8e7db0143607</vt:lpwstr>
  </property>
  <property fmtid="{D5CDD505-2E9C-101B-9397-08002B2CF9AE}" pid="24" name="Mendeley Citation Style_1">
    <vt:lpwstr>http://www.zotero.org/styles/apa</vt:lpwstr>
  </property>
</Properties>
</file>