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media/image11.png" ContentType="image/png"/>
  <Override PartName="/word/media/image13.png" ContentType="image/png"/>
  <Override PartName="/word/media/image8.png" ContentType="image/png"/>
  <Override PartName="/word/media/image9.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6.emf" ContentType="image/x-emf"/>
  <Override PartName="/word/media/image1.emf" ContentType="image/x-emf"/>
  <Override PartName="/word/media/image2.emf" ContentType="image/x-emf"/>
  <Override PartName="/word/media/image5.png" ContentType="image/png"/>
  <Override PartName="/word/media/image10.png" ContentType="image/png"/>
  <Override PartName="/word/media/image3.png" ContentType="image/png"/>
  <Override PartName="/word/media/image4.emf" ContentType="image/x-emf"/>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Supplement 1:</w:t>
      </w:r>
    </w:p>
    <w:p>
      <w:pPr>
        <w:pStyle w:val="Title"/>
        <w:rPr/>
      </w:pPr>
      <w:r>
        <w:rPr/>
        <w:t>MultiGWAS report for Full GWAS model with filters</w:t>
      </w:r>
    </w:p>
    <w:sdt>
      <w:sdtPr>
        <w:docPartObj>
          <w:docPartGallery w:val="Table of Contents"/>
          <w:docPartUnique w:val="true"/>
        </w:docPartObj>
      </w:sdtPr>
      <w:sdtContent>
        <w:p>
          <w:pPr>
            <w:pStyle w:val="ContentsHeading"/>
            <w:suppressLineNumbers/>
            <w:ind w:left="0" w:hanging="0"/>
            <w:rPr>
              <w:b/>
              <w:b/>
              <w:bCs/>
              <w:color w:val="0000CD"/>
              <w:sz w:val="32"/>
              <w:szCs w:val="32"/>
            </w:rPr>
          </w:pPr>
          <w:r>
            <w:rPr>
              <w:b/>
              <w:bCs/>
              <w:color w:val="0000CD"/>
              <w:sz w:val="32"/>
              <w:szCs w:val="32"/>
            </w:rPr>
            <w:t>Table of Contents</w:t>
          </w:r>
        </w:p>
        <w:p>
          <w:pPr>
            <w:pStyle w:val="Contents1"/>
            <w:spacing w:before="29" w:after="29"/>
            <w:rPr/>
          </w:pPr>
          <w:r>
            <w:fldChar w:fldCharType="begin"/>
          </w:r>
          <w:r>
            <w:rPr>
              <w:rStyle w:val="IndexLink"/>
              <w:color w:val="0000CD"/>
            </w:rPr>
            <w:instrText> TOC \o "1-9" \h</w:instrText>
          </w:r>
          <w:r>
            <w:rPr>
              <w:rStyle w:val="IndexLink"/>
              <w:color w:val="0000CD"/>
            </w:rPr>
            <w:fldChar w:fldCharType="separate"/>
          </w:r>
          <w:hyperlink w:anchor="__RefHeading___Toc4247_140265589">
            <w:r>
              <w:rPr>
                <w:rStyle w:val="IndexLink"/>
                <w:color w:val="0000CD"/>
              </w:rPr>
              <w:t>1 Input Parameters</w:t>
              <w:tab/>
              <w:t>2</w:t>
            </w:r>
          </w:hyperlink>
        </w:p>
        <w:p>
          <w:pPr>
            <w:pStyle w:val="Contents1"/>
            <w:spacing w:before="29" w:after="29"/>
            <w:rPr/>
          </w:pPr>
          <w:hyperlink w:anchor="__RefHeading___Toc4249_140265589">
            <w:r>
              <w:rPr>
                <w:rStyle w:val="IndexLink"/>
                <w:color w:val="0000CD"/>
              </w:rPr>
              <w:t xml:space="preserve">2 SNPs in Linkage Disequilibrium above </w:t>
            </w:r>
            <w:r>
              <w:rPr>
                <w:rStyle w:val="IndexLink"/>
                <w:i/>
                <w:iCs/>
                <w:color w:val="0000CD"/>
              </w:rPr>
              <w:t>R</w:t>
            </w:r>
            <w:r>
              <w:rPr>
                <w:rStyle w:val="IndexLink"/>
                <w:i/>
                <w:iCs/>
                <w:color w:val="0000CD"/>
                <w:vertAlign w:val="superscript"/>
              </w:rPr>
              <w:t>2</w:t>
            </w:r>
            <w:r>
              <w:rPr>
                <w:rStyle w:val="IndexLink"/>
                <w:color w:val="0000CD"/>
              </w:rPr>
              <w:t xml:space="preserve"> = 0.9</w:t>
              <w:tab/>
              <w:t>3</w:t>
            </w:r>
          </w:hyperlink>
        </w:p>
        <w:p>
          <w:pPr>
            <w:pStyle w:val="Contents1"/>
            <w:spacing w:before="29" w:after="29"/>
            <w:rPr/>
          </w:pPr>
          <w:hyperlink w:anchor="__RefHeading___Toc4253_140265589">
            <w:r>
              <w:rPr>
                <w:rStyle w:val="IndexLink"/>
                <w:color w:val="0000CD"/>
              </w:rPr>
              <w:t>2 Best-ranked SNPs</w:t>
              <w:tab/>
              <w:t>4</w:t>
            </w:r>
          </w:hyperlink>
        </w:p>
        <w:p>
          <w:pPr>
            <w:pStyle w:val="Contents2"/>
            <w:tabs>
              <w:tab w:val="clear" w:pos="10517"/>
              <w:tab w:val="right" w:pos="10800" w:leader="dot"/>
            </w:tabs>
            <w:spacing w:before="29" w:after="29"/>
            <w:rPr/>
          </w:pPr>
          <w:hyperlink w:anchor="__RefHeading___Toc4255_140265589">
            <w:r>
              <w:rPr>
                <w:rStyle w:val="IndexLink"/>
                <w:color w:val="0000CD"/>
              </w:rPr>
              <w:t>2.1 Table of best-ranked SNPs</w:t>
              <w:tab/>
              <w:t>4</w:t>
            </w:r>
          </w:hyperlink>
        </w:p>
        <w:p>
          <w:pPr>
            <w:pStyle w:val="Contents2"/>
            <w:tabs>
              <w:tab w:val="clear" w:pos="10517"/>
              <w:tab w:val="right" w:pos="10800" w:leader="dot"/>
            </w:tabs>
            <w:spacing w:before="29" w:after="29"/>
            <w:rPr/>
          </w:pPr>
          <w:hyperlink w:anchor="__RefHeading___Toc4257_140265589">
            <w:r>
              <w:rPr>
                <w:rStyle w:val="IndexLink"/>
                <w:color w:val="0000CD"/>
              </w:rPr>
              <w:t>2.2 Venn diagram of best-ranked SNPs</w:t>
              <w:tab/>
              <w:t>5</w:t>
            </w:r>
          </w:hyperlink>
        </w:p>
        <w:p>
          <w:pPr>
            <w:pStyle w:val="Contents1"/>
            <w:spacing w:before="29" w:after="29"/>
            <w:rPr/>
          </w:pPr>
          <w:hyperlink w:anchor="__RefHeading___Toc4259_140265589">
            <w:r>
              <w:rPr>
                <w:rStyle w:val="IndexLink"/>
                <w:color w:val="0000CD"/>
              </w:rPr>
              <w:t>3 Significative SNPs</w:t>
              <w:tab/>
              <w:t>6</w:t>
            </w:r>
          </w:hyperlink>
        </w:p>
        <w:p>
          <w:pPr>
            <w:pStyle w:val="Contents2"/>
            <w:tabs>
              <w:tab w:val="clear" w:pos="10517"/>
              <w:tab w:val="right" w:pos="10800" w:leader="dot"/>
            </w:tabs>
            <w:spacing w:before="29" w:after="29"/>
            <w:rPr/>
          </w:pPr>
          <w:hyperlink w:anchor="__RefHeading___Toc4261_140265589">
            <w:r>
              <w:rPr>
                <w:rStyle w:val="IndexLink"/>
                <w:color w:val="0000CD"/>
              </w:rPr>
              <w:t>3.1 Table of significative SNPs</w:t>
              <w:tab/>
              <w:t>6</w:t>
            </w:r>
          </w:hyperlink>
        </w:p>
        <w:p>
          <w:pPr>
            <w:pStyle w:val="Contents2"/>
            <w:tabs>
              <w:tab w:val="clear" w:pos="10517"/>
              <w:tab w:val="right" w:pos="10800" w:leader="dot"/>
            </w:tabs>
            <w:spacing w:before="29" w:after="29"/>
            <w:rPr/>
          </w:pPr>
          <w:hyperlink w:anchor="__RefHeading___Toc4263_140265589">
            <w:r>
              <w:rPr>
                <w:rStyle w:val="IndexLink"/>
                <w:color w:val="0000CD"/>
              </w:rPr>
              <w:t>3.2 Venn diagram of significative SNPs</w:t>
              <w:tab/>
              <w:t>7</w:t>
            </w:r>
          </w:hyperlink>
        </w:p>
        <w:p>
          <w:pPr>
            <w:pStyle w:val="Contents1"/>
            <w:spacing w:before="29" w:after="29"/>
            <w:rPr/>
          </w:pPr>
          <w:hyperlink w:anchor="__RefHeading___Toc4265_140265589">
            <w:r>
              <w:rPr>
                <w:rStyle w:val="IndexLink"/>
                <w:color w:val="0000CD"/>
              </w:rPr>
              <w:t>4 Manhattan and QQ plots</w:t>
              <w:tab/>
              <w:t>8</w:t>
            </w:r>
          </w:hyperlink>
        </w:p>
        <w:p>
          <w:pPr>
            <w:pStyle w:val="Contents1"/>
            <w:spacing w:before="29" w:after="29"/>
            <w:rPr/>
          </w:pPr>
          <w:hyperlink w:anchor="__RefHeading___Toc4267_140265589">
            <w:r>
              <w:rPr>
                <w:rStyle w:val="IndexLink"/>
                <w:color w:val="0000CD"/>
              </w:rPr>
              <w:t>5 Chord diagrams for SNPs by chromosome</w:t>
              <w:tab/>
              <w:t>9</w:t>
            </w:r>
          </w:hyperlink>
        </w:p>
        <w:p>
          <w:pPr>
            <w:pStyle w:val="Contents1"/>
            <w:spacing w:lineRule="auto" w:line="240" w:before="29" w:after="29"/>
            <w:rPr/>
          </w:pPr>
          <w:hyperlink w:anchor="__RefHeading___Toc4269_140265589">
            <w:r>
              <w:rPr>
                <w:rStyle w:val="IndexLink"/>
                <w:color w:val="0000CD"/>
              </w:rPr>
              <w:t>6 Profiles for common significative SNPs</w:t>
              <w:tab/>
              <w:t>10</w:t>
            </w:r>
          </w:hyperlink>
          <w:r>
            <w:rPr>
              <w:rStyle w:val="IndexLink"/>
              <w:color w:val="0000CD"/>
            </w:rPr>
            <w:fldChar w:fldCharType="end"/>
          </w:r>
        </w:p>
      </w:sdtContent>
    </w:sdt>
    <w:p>
      <w:pPr>
        <w:pStyle w:val="Compact"/>
        <w:spacing w:before="36" w:after="36"/>
        <w:rPr>
          <w:rStyle w:val="InternetLink"/>
          <w:sz w:val="16"/>
        </w:rPr>
      </w:pPr>
      <w:r>
        <w:rPr>
          <w:sz w:val="16"/>
        </w:rPr>
      </w:r>
    </w:p>
    <w:p>
      <w:pPr>
        <w:pStyle w:val="FirstParagraph"/>
        <w:rPr/>
      </w:pPr>
      <w:r>
        <w:rPr/>
        <w:t>MultiGWAS is a tool to do GWAS analysis in tetraploid organisms by executing in parallel and integrating the results from four existing GWAS software: two available for polyploids (GWASpoly and SHEsis) and two frequently used for diploids (GAPIT and TASSEL).</w:t>
      </w:r>
    </w:p>
    <w:p>
      <w:pPr>
        <w:pStyle w:val="TextBody"/>
        <w:rPr/>
      </w:pPr>
      <w:r>
        <w:rPr/>
        <w:t>MultiGWAS executes two types of GWAS models: Full and Naive. The Full model with control for population structure and individual relatedness and the Naive model without any control. In both models, users can apply different control quality filters for the genomic data.</w:t>
      </w:r>
    </w:p>
    <w:p>
      <w:pPr>
        <w:pStyle w:val="TextBody"/>
        <w:rPr/>
      </w:pPr>
      <w:r>
        <w:rPr/>
        <w:t>This report, created by the MultiGWAS tool, is a summary of the input parameters used to run the tool and its main outputs, including (1) Score tables with detailed information on the associations for each tool. (2) Venn diagrams of shared SNPs among the four tools. (3) Heatmaps of significative SNP profiles among the four tools. (4) Manhattan and QQ plots for the association found by each tool. And (5) Chord diagrams for the chromosomes vs. SNP by each tool.</w:t>
      </w:r>
    </w:p>
    <w:p>
      <w:pPr>
        <w:pStyle w:val="Heading1"/>
        <w:rPr/>
      </w:pPr>
      <w:r>
        <w:rPr/>
      </w:r>
      <w:r>
        <w:br w:type="page"/>
      </w:r>
    </w:p>
    <w:p>
      <w:pPr>
        <w:pStyle w:val="Heading1"/>
        <w:rPr/>
      </w:pPr>
      <w:bookmarkStart w:id="0" w:name="__RefHeading___Toc4247_140265589"/>
      <w:bookmarkStart w:id="1" w:name="input-parameters"/>
      <w:bookmarkEnd w:id="0"/>
      <w:bookmarkEnd w:id="1"/>
      <w:r>
        <w:rPr/>
        <w:t>1 Input Parameters</w:t>
      </w:r>
    </w:p>
    <w:p>
      <w:pPr>
        <w:pStyle w:val="FirstParagraph"/>
        <w:rPr/>
      </w:pPr>
      <w:r>
        <w:rPr/>
        <w:t>MultiGWAS uses as input a configuration file where the user specifies the input genomic data (genotype and phenotype files) along with different values for parameters used by the MultiGWAS tool and by the other four GWAS software (GWASpoly, SHEsis, GAPIT, and TASSEL).</w:t>
      </w:r>
    </w:p>
    <w:p>
      <w:pPr>
        <w:pStyle w:val="TextBody"/>
        <w:rPr/>
      </w:pPr>
      <w:r>
        <w:rPr/>
        <w:t>The following table shows the current input parameters specified by the user in the configuration file:</w:t>
      </w:r>
    </w:p>
    <w:p>
      <w:pPr>
        <w:pStyle w:val="TextBody"/>
        <w:rPr/>
      </w:pPr>
      <w:r>
        <w:rPr/>
      </w:r>
    </w:p>
    <w:p>
      <w:pPr>
        <w:pStyle w:val="TextBody"/>
        <w:rPr/>
      </w:pPr>
      <w:r>
        <w:rPr/>
        <w:object w:dxaOrig="9561" w:dyaOrig="4352">
          <v:shape id="ole_rId2" style="width:478.05pt;height:217.6pt" o:ole="">
            <v:imagedata r:id="rId3" o:title=""/>
          </v:shape>
          <o:OLEObject Type="Embed" ProgID="Excel.Sheet.12" ShapeID="ole_rId2" DrawAspect="Content" ObjectID="_489218429" r:id="rId2"/>
        </w:object>
      </w:r>
      <w:r>
        <w:br w:type="page"/>
      </w:r>
    </w:p>
    <w:p>
      <w:pPr>
        <w:pStyle w:val="Heading1"/>
        <w:jc w:val="left"/>
        <w:rPr/>
      </w:pPr>
      <w:bookmarkStart w:id="2" w:name="__RefHeading___Toc4249_140265589"/>
      <w:bookmarkEnd w:id="2"/>
      <w:r>
        <w:rPr/>
        <w:t xml:space="preserve">2 SNPs in Linkage Disequilibrium above </w:t>
      </w:r>
      <w:r>
        <w:rPr>
          <w:i/>
          <w:iCs/>
        </w:rPr>
        <w:t>R</w:t>
      </w:r>
      <w:r>
        <w:rPr>
          <w:i/>
          <w:iCs/>
          <w:vertAlign w:val="superscript"/>
        </w:rPr>
        <w:t>2</w:t>
      </w:r>
      <w:r>
        <w:rPr/>
        <w:t xml:space="preserve"> = 0.9</w:t>
      </w:r>
    </w:p>
    <w:p>
      <w:pPr>
        <w:pStyle w:val="Normal"/>
        <w:jc w:val="both"/>
        <w:rPr/>
      </w:pPr>
      <w:r>
        <w:rPr/>
        <w:t xml:space="preserve">MultiGWAS reports a Venn diagram and a table  for pairs of SNPs with squared correlation equal to or greater than the threshold </w:t>
      </w:r>
      <w:r>
        <w:rPr>
          <w:i/>
          <w:iCs/>
        </w:rPr>
        <w:t>R</w:t>
      </w:r>
      <w:r>
        <w:rPr>
          <w:i/>
          <w:iCs/>
          <w:vertAlign w:val="superscript"/>
        </w:rPr>
        <w:t>2</w:t>
      </w:r>
      <w:r>
        <w:rPr/>
        <w:t xml:space="preserve">, where </w:t>
      </w:r>
      <w:r>
        <w:rPr>
          <w:i/>
          <w:iCs/>
        </w:rPr>
        <w:t>R</w:t>
      </w:r>
      <w:r>
        <w:rPr>
          <w:i/>
          <w:iCs/>
          <w:vertAlign w:val="superscript"/>
        </w:rPr>
        <w:t>2</w:t>
      </w:r>
      <w:r>
        <w:rPr/>
        <w:t xml:space="preserve"> is defined by the user in the configuration file. MultiGWAS joins the N best associations found for each GWAS packages (SNPs with the lowest </w:t>
      </w:r>
      <w:r>
        <w:rPr>
          <w:rStyle w:val="Emphasis"/>
        </w:rPr>
        <w:t>p-value</w:t>
      </w:r>
      <w:r>
        <w:rPr/>
        <w:t xml:space="preserve">), calculates for each pair of SNPs the </w:t>
      </w:r>
      <w:r>
        <w:rPr>
          <w:i/>
          <w:iCs/>
        </w:rPr>
        <w:t>R</w:t>
      </w:r>
      <w:r>
        <w:rPr>
          <w:i/>
          <w:iCs/>
          <w:vertAlign w:val="superscript"/>
        </w:rPr>
        <w:t>2</w:t>
      </w:r>
      <w:r>
        <w:rPr/>
        <w:t xml:space="preserve">, </w:t>
      </w:r>
      <w:r>
        <w:rPr/>
        <w:t xml:space="preserve">and </w:t>
      </w:r>
      <w:r>
        <w:rPr/>
        <w:t xml:space="preserve">summarizes the results in a table with pairs of SNPs per row along with their calculated </w:t>
      </w:r>
      <w:r>
        <w:rPr>
          <w:i/>
          <w:iCs/>
        </w:rPr>
        <w:t>R</w:t>
      </w:r>
      <w:r>
        <w:rPr>
          <w:i/>
          <w:iCs/>
          <w:vertAlign w:val="superscript"/>
        </w:rPr>
        <w:t>2</w:t>
      </w:r>
      <w:r>
        <w:rPr/>
        <w:t xml:space="preserve">. </w:t>
      </w:r>
    </w:p>
    <w:p>
      <w:pPr>
        <w:pStyle w:val="Normal"/>
        <w:jc w:val="both"/>
        <w:rPr/>
      </w:pPr>
      <w:r>
        <w:rPr/>
        <w:t>Pairs of SNPs in LD are assigned a new ID (LD_SNP) and reported in a Venn diagram highlighting the shared SNPs in LD detected between the GWAS software. This view allows for quick identification of related SNPs with different names instead of a plain table, as most GWAS packages report their results.</w:t>
      </w:r>
    </w:p>
    <w:p>
      <w:pPr>
        <w:pStyle w:val="Normal"/>
        <w:jc w:val="center"/>
        <w:rPr/>
      </w:pPr>
      <w:r>
        <w:rPr/>
        <w:object w:dxaOrig="5189" w:dyaOrig="768">
          <v:shape id="ole_rId4" style="width:259.45pt;height:38.4pt" o:ole="">
            <v:imagedata r:id="rId5" o:title=""/>
          </v:shape>
          <o:OLEObject Type="Embed" ProgID="Excel.Sheet.12" ShapeID="ole_rId4" DrawAspect="Content" ObjectID="_2004788801" r:id="rId4"/>
        </w:object>
      </w:r>
    </w:p>
    <w:p>
      <w:pPr>
        <w:pStyle w:val="Normal"/>
        <w:jc w:val="center"/>
        <w:rPr/>
      </w:pPr>
      <w:r>
        <w:rPr/>
      </w:r>
    </w:p>
    <w:p>
      <w:pPr>
        <w:pStyle w:val="Normal"/>
        <w:jc w:val="center"/>
        <w:rPr/>
      </w:pPr>
      <w:r>
        <w:rPr/>
      </w:r>
    </w:p>
    <w:p>
      <w:pPr>
        <w:pStyle w:val="Heading1"/>
        <w:jc w:val="center"/>
        <w:rPr/>
      </w:pPr>
      <w:bookmarkStart w:id="3" w:name="__RefHeading___Toc4251_140265589"/>
      <w:bookmarkEnd w:id="3"/>
      <w:r>
        <w:rPr/>
        <w:drawing>
          <wp:inline distT="0" distB="0" distL="0" distR="0">
            <wp:extent cx="5487035" cy="4927600"/>
            <wp:effectExtent l="0" t="0" r="0" b="0"/>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6"/>
                    <a:stretch>
                      <a:fillRect/>
                    </a:stretch>
                  </pic:blipFill>
                  <pic:spPr bwMode="auto">
                    <a:xfrm>
                      <a:off x="0" y="0"/>
                      <a:ext cx="5487035" cy="4927600"/>
                    </a:xfrm>
                    <a:prstGeom prst="rect">
                      <a:avLst/>
                    </a:prstGeom>
                  </pic:spPr>
                </pic:pic>
              </a:graphicData>
            </a:graphic>
          </wp:inline>
        </w:drawing>
      </w:r>
      <w:r>
        <w:br w:type="page"/>
      </w:r>
    </w:p>
    <w:p>
      <w:pPr>
        <w:pStyle w:val="Heading1"/>
        <w:rPr/>
      </w:pPr>
      <w:bookmarkStart w:id="4" w:name="__RefHeading___Toc4253_140265589"/>
      <w:bookmarkStart w:id="5" w:name="best-ranked-snps"/>
      <w:bookmarkEnd w:id="4"/>
      <w:bookmarkEnd w:id="5"/>
      <w:r>
        <w:rPr/>
        <w:t>2 Best-ranked SNPs</w:t>
      </w:r>
    </w:p>
    <w:p>
      <w:pPr>
        <w:pStyle w:val="FirstParagraph"/>
        <w:rPr/>
      </w:pPr>
      <w:r>
        <w:rPr/>
        <w:t>This section shows a table and a Venn diagram for the best ranked SNPs (For this report, N=10). The configuration file allows defining the parameter N.</w:t>
      </w:r>
    </w:p>
    <w:p>
      <w:pPr>
        <w:pStyle w:val="Heading2"/>
        <w:rPr/>
      </w:pPr>
      <w:bookmarkStart w:id="6" w:name="__RefHeading___Toc4255_140265589"/>
      <w:bookmarkStart w:id="7" w:name="table-of-best-ranked-snps"/>
      <w:bookmarkEnd w:id="6"/>
      <w:bookmarkEnd w:id="7"/>
      <w:r>
        <w:rPr/>
        <w:t>2.1 Table of best-ranked SNPs</w:t>
      </w:r>
    </w:p>
    <w:p>
      <w:pPr>
        <w:pStyle w:val="FirstParagraph"/>
        <w:rPr/>
      </w:pPr>
      <w:r>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 Also, based on the threshold calculated by a multiple testing correction (i.e., Bonferroni or FDR), the table marks the significance of each SNP as a TRUE or FALSE.</w:t>
      </w:r>
    </w:p>
    <w:p>
      <w:pPr>
        <w:pStyle w:val="TextBody"/>
        <w:rPr/>
      </w:pPr>
      <w:r>
        <w:rPr/>
      </w:r>
    </w:p>
    <w:p>
      <w:pPr>
        <w:pStyle w:val="TextBody"/>
        <w:rPr/>
      </w:pPr>
      <w:r>
        <w:rPr/>
        <w:object w:dxaOrig="10617" w:dyaOrig="10496">
          <v:shape id="ole_rId7" style="width:530.85pt;height:460.3pt" o:ole="">
            <v:imagedata r:id="rId8" o:title=""/>
          </v:shape>
          <o:OLEObject Type="Embed" ProgID="Excel.Sheet.12" ShapeID="ole_rId7" DrawAspect="Content" ObjectID="_1808635483" r:id="rId7"/>
        </w:object>
      </w:r>
    </w:p>
    <w:p>
      <w:pPr>
        <w:pStyle w:val="TextBody"/>
        <w:rPr/>
      </w:pPr>
      <w:r>
        <w:rPr/>
      </w:r>
    </w:p>
    <w:p>
      <w:pPr>
        <w:pStyle w:val="Heading2"/>
        <w:rPr/>
      </w:pPr>
      <w:bookmarkStart w:id="8" w:name="__RefHeading___Toc4257_140265589"/>
      <w:bookmarkStart w:id="9" w:name="venn-diagram-of-best-ranked-snps"/>
      <w:bookmarkEnd w:id="8"/>
      <w:bookmarkEnd w:id="9"/>
      <w:r>
        <w:rPr/>
        <w:t>2.2 Venn diagram of best-ranked SNPs</w:t>
      </w:r>
    </w:p>
    <w:p>
      <w:pPr>
        <w:pStyle w:val="FirstParagraph"/>
        <w:rPr/>
      </w:pPr>
      <w:r>
        <w:rPr/>
        <w:t>The Venn diagram shows the best-ranked SNPs with high scores that are either unique or shared by the four software. Shared SNPs appear in the intersection areas of the diagram.</w:t>
      </w:r>
    </w:p>
    <w:p>
      <w:pPr>
        <w:pStyle w:val="TextBody"/>
        <w:jc w:val="center"/>
        <w:rPr/>
      </w:pPr>
      <w:r>
        <w:rPr/>
        <w:drawing>
          <wp:inline distT="0" distB="0" distL="0" distR="0">
            <wp:extent cx="5440680" cy="5111750"/>
            <wp:effectExtent l="0" t="0" r="0" b="0"/>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9"/>
                    <a:stretch>
                      <a:fillRect/>
                    </a:stretch>
                  </pic:blipFill>
                  <pic:spPr bwMode="auto">
                    <a:xfrm>
                      <a:off x="0" y="0"/>
                      <a:ext cx="5440680" cy="5111750"/>
                    </a:xfrm>
                    <a:prstGeom prst="rect">
                      <a:avLst/>
                    </a:prstGeom>
                  </pic:spPr>
                </pic:pic>
              </a:graphicData>
            </a:graphic>
          </wp:inline>
        </w:drawing>
      </w:r>
    </w:p>
    <w:p>
      <w:pPr>
        <w:pStyle w:val="Heading1"/>
        <w:rPr/>
      </w:pPr>
      <w:r>
        <w:rPr/>
      </w:r>
      <w:r>
        <w:br w:type="page"/>
      </w:r>
    </w:p>
    <w:p>
      <w:pPr>
        <w:pStyle w:val="Heading1"/>
        <w:rPr/>
      </w:pPr>
      <w:bookmarkStart w:id="10" w:name="__RefHeading___Toc4259_140265589"/>
      <w:bookmarkStart w:id="11" w:name="significative-snps"/>
      <w:bookmarkEnd w:id="10"/>
      <w:bookmarkEnd w:id="11"/>
      <w:r>
        <w:rPr/>
        <w:t>3 Significative SNPs</w:t>
      </w:r>
    </w:p>
    <w:p>
      <w:pPr>
        <w:pStyle w:val="FirstParagraph"/>
        <w:rPr/>
      </w:pPr>
      <w:r>
        <w:rPr/>
        <w:t>This section shows a table and a Venn diagram for the signifcative SNPs (score is above the significance threshold for each tool).</w:t>
      </w:r>
    </w:p>
    <w:p>
      <w:pPr>
        <w:pStyle w:val="Heading2"/>
        <w:rPr/>
      </w:pPr>
      <w:bookmarkStart w:id="12" w:name="__RefHeading___Toc4261_140265589"/>
      <w:bookmarkStart w:id="13" w:name="table-of-significative-snps"/>
      <w:bookmarkEnd w:id="12"/>
      <w:bookmarkEnd w:id="13"/>
      <w:r>
        <w:rPr/>
        <w:t>3.1 Table of significative SNPs</w:t>
      </w:r>
    </w:p>
    <w:p>
      <w:pPr>
        <w:pStyle w:val="FirstParagraph"/>
        <w:rPr/>
      </w:pPr>
      <w:r>
        <w:rPr/>
        <w:t>The following table shows the associations between SNPs and the trait as transformed p-values to scores as -log 10 (p-value) sorted from the highest to the lowest scores based on each tool analysis and the model selected (Full or Naive). Each SNP has its a</w:t>
      </w:r>
      <w:r>
        <w:object w:dxaOrig="10542" w:dyaOrig="3328">
          <v:shape id="ole_rId10" style="width:527.1pt;height:166.4pt" o:ole="">
            <v:imagedata r:id="rId11" o:title=""/>
          </v:shape>
          <o:OLEObject Type="Embed" ProgID="Excel.Sheet.12" ShapeID="ole_rId10" DrawAspect="Content" ObjectID="_754438870" r:id="rId10"/>
        </w:object>
      </w:r>
      <w:r>
        <w:rPr/>
        <w:t>s</w:t>
      </w:r>
      <w:r>
        <w:rPr/>
        <w:t>sociated information, such as the chromosome, position in the genome, and name.</w:t>
      </w:r>
    </w:p>
    <w:p>
      <w:pPr>
        <w:pStyle w:val="TextBody"/>
        <w:rPr/>
      </w:pPr>
      <w:r>
        <w:rPr/>
      </w:r>
    </w:p>
    <w:p>
      <w:pPr>
        <w:pStyle w:val="TextBody"/>
        <w:rPr/>
      </w:pPr>
      <w:r>
        <w:rPr/>
      </w:r>
    </w:p>
    <w:p>
      <w:pPr>
        <w:pStyle w:val="TextBody"/>
        <w:rPr/>
      </w:pPr>
      <w:r>
        <w:rPr/>
      </w:r>
      <w:r>
        <w:br w:type="page"/>
      </w:r>
    </w:p>
    <w:p>
      <w:pPr>
        <w:pStyle w:val="Heading2"/>
        <w:rPr/>
      </w:pPr>
      <w:bookmarkStart w:id="14" w:name="__RefHeading___Toc4263_140265589"/>
      <w:bookmarkStart w:id="15" w:name="venn-diagram-of-significative-snps"/>
      <w:bookmarkEnd w:id="14"/>
      <w:bookmarkEnd w:id="15"/>
      <w:r>
        <w:rPr/>
        <w:t>3.2 Venn diagram of significative SNPs</w:t>
      </w:r>
    </w:p>
    <w:p>
      <w:pPr>
        <w:pStyle w:val="FirstParagraph"/>
        <w:rPr/>
      </w:pPr>
      <w:r>
        <w:rPr/>
        <w:t>The Venn diagram shows the significative SNPs that are either unique or shared by the four software. Shared SNPs appear in the intersection areas of the diagram.</w:t>
      </w:r>
    </w:p>
    <w:p>
      <w:pPr>
        <w:pStyle w:val="TextBody"/>
        <w:jc w:val="center"/>
        <w:rPr/>
      </w:pPr>
      <w:r>
        <w:rPr/>
        <w:drawing>
          <wp:inline distT="0" distB="0" distL="0" distR="0">
            <wp:extent cx="5440680" cy="51117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2"/>
                    <a:stretch>
                      <a:fillRect/>
                    </a:stretch>
                  </pic:blipFill>
                  <pic:spPr bwMode="auto">
                    <a:xfrm>
                      <a:off x="0" y="0"/>
                      <a:ext cx="5440680" cy="5111750"/>
                    </a:xfrm>
                    <a:prstGeom prst="rect">
                      <a:avLst/>
                    </a:prstGeom>
                  </pic:spPr>
                </pic:pic>
              </a:graphicData>
            </a:graphic>
          </wp:inline>
        </w:drawing>
      </w:r>
    </w:p>
    <w:p>
      <w:pPr>
        <w:pStyle w:val="Heading1"/>
        <w:rPr/>
      </w:pPr>
      <w:r>
        <w:rPr/>
      </w:r>
      <w:r>
        <w:br w:type="page"/>
      </w:r>
    </w:p>
    <w:p>
      <w:pPr>
        <w:pStyle w:val="Heading1"/>
        <w:rPr/>
      </w:pPr>
      <w:bookmarkStart w:id="16" w:name="__RefHeading___Toc4265_140265589"/>
      <w:bookmarkStart w:id="17" w:name="manhattan-and-qq-plots"/>
      <w:bookmarkEnd w:id="16"/>
      <w:bookmarkEnd w:id="17"/>
      <w:r>
        <w:rPr/>
        <w:t>4 Manhattan and QQ plots</w:t>
      </w:r>
    </w:p>
    <w:p>
      <w:pPr>
        <w:pStyle w:val="FirstParagraph"/>
        <w:rPr/>
      </w:pPr>
      <w:r>
        <w:rPr/>
        <w:t>MultiGWAS uses classical Manhattan and Quantile–Quantile (QQ) plots to visually summarize GWAS results and identify both best-ranked and significative SNPs for each GWAS software. The Manhattan plot shows each SNPs distributed in the genetic location (x-axis) vs. the p-value (y-axis). The best-ranked SNPs are above the blue line and the significative SNPs above the blue line. In green are the SNPs that got high scores in more than one software.</w:t>
      </w:r>
    </w:p>
    <w:p>
      <w:pPr>
        <w:pStyle w:val="TextBody"/>
        <w:rPr/>
      </w:pPr>
      <w:r>
        <w:rPr/>
        <w:t>The QQ plot plots the observed (black dot lines) vs. expected -log 10 (p-value) (red line).</w:t>
      </w:r>
    </w:p>
    <w:p>
      <w:pPr>
        <w:pStyle w:val="TextBody"/>
        <w:jc w:val="center"/>
        <w:rPr/>
      </w:pPr>
      <w:r>
        <w:rPr/>
        <w:t xml:space="preserve">  </w:t>
      </w:r>
      <w:r>
        <w:rPr/>
        <w:drawing>
          <wp:inline distT="0" distB="0" distL="0" distR="0">
            <wp:extent cx="5486400" cy="6583680"/>
            <wp:effectExtent l="0" t="0" r="0" b="0"/>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13"/>
                    <a:stretch>
                      <a:fillRect/>
                    </a:stretch>
                  </pic:blipFill>
                  <pic:spPr bwMode="auto">
                    <a:xfrm>
                      <a:off x="0" y="0"/>
                      <a:ext cx="5486400" cy="6583680"/>
                    </a:xfrm>
                    <a:prstGeom prst="rect">
                      <a:avLst/>
                    </a:prstGeom>
                  </pic:spPr>
                </pic:pic>
              </a:graphicData>
            </a:graphic>
          </wp:inline>
        </w:drawing>
      </w:r>
    </w:p>
    <w:p>
      <w:pPr>
        <w:pStyle w:val="TextBody"/>
        <w:jc w:val="center"/>
        <w:rPr/>
      </w:pPr>
      <w:r>
        <w:rPr/>
      </w:r>
    </w:p>
    <w:p>
      <w:pPr>
        <w:pStyle w:val="Heading1"/>
        <w:rPr/>
      </w:pPr>
      <w:bookmarkStart w:id="18" w:name="__RefHeading___Toc4267_140265589"/>
      <w:bookmarkStart w:id="19" w:name="chord-diagrams-for-snps-by-chromosome"/>
      <w:bookmarkEnd w:id="18"/>
      <w:bookmarkEnd w:id="19"/>
      <w:r>
        <w:rPr/>
        <w:t>5 Chord diagrams for SNPs by chromosome</w:t>
      </w:r>
    </w:p>
    <w:p>
      <w:pPr>
        <w:pStyle w:val="FirstParagraph"/>
        <w:rPr/>
      </w:pPr>
      <w:r>
        <w:rPr/>
        <w:t>Chord diagrams are used in MultiGWAS to highlight nearby SNPs found on the same chromosome. These SNPs may have been identified simultaneously by multiple GWAS packets, which can be interpreted as a possible strong association, as in the Manhattan charts, where these associations form clean peaks with multiple SNPs displaying the same signal.</w:t>
      </w:r>
    </w:p>
    <w:p>
      <w:pPr>
        <w:pStyle w:val="TextBody"/>
        <w:rPr/>
      </w:pPr>
      <w:r>
        <w:rPr/>
        <w:t>Next, we show the chord diagram for the shared SNPs shown in the Venn diagram of the best-ranked SNPs (Section 2.2).</w:t>
      </w:r>
    </w:p>
    <w:p>
      <w:pPr>
        <w:pStyle w:val="TextBody"/>
        <w:jc w:val="center"/>
        <w:rPr/>
      </w:pPr>
      <w:r>
        <w:rPr/>
        <w:drawing>
          <wp:inline distT="0" distB="0" distL="0" distR="0">
            <wp:extent cx="5486400" cy="5486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4"/>
                    <a:stretch>
                      <a:fillRect/>
                    </a:stretch>
                  </pic:blipFill>
                  <pic:spPr bwMode="auto">
                    <a:xfrm>
                      <a:off x="0" y="0"/>
                      <a:ext cx="5486400" cy="5486400"/>
                    </a:xfrm>
                    <a:prstGeom prst="rect">
                      <a:avLst/>
                    </a:prstGeom>
                  </pic:spPr>
                </pic:pic>
              </a:graphicData>
            </a:graphic>
          </wp:inline>
        </w:drawing>
      </w:r>
    </w:p>
    <w:p>
      <w:pPr>
        <w:pStyle w:val="Heading1"/>
        <w:rPr/>
      </w:pPr>
      <w:r>
        <w:rPr/>
      </w:r>
      <w:r>
        <w:br w:type="page"/>
      </w:r>
    </w:p>
    <w:p>
      <w:pPr>
        <w:pStyle w:val="Heading1"/>
        <w:rPr/>
      </w:pPr>
      <w:bookmarkStart w:id="20" w:name="__RefHeading___Toc4269_140265589"/>
      <w:bookmarkStart w:id="21" w:name="profiles-for-common-significative-snps"/>
      <w:bookmarkEnd w:id="20"/>
      <w:bookmarkEnd w:id="21"/>
      <w:r>
        <w:rPr/>
        <w:t>6 Profiles for common significative SNPs</w:t>
      </w:r>
    </w:p>
    <w:p>
      <w:pPr>
        <w:pStyle w:val="FirstParagraph"/>
        <w:rPr/>
      </w:pPr>
      <w:r>
        <w:rPr/>
        <w:t>For the common significative SNPs, MultiGWAS provides a figure to visualize each trait by individuals (rows) and genotypes (columns). At the left, the individuals are grouped in a dendrogram by their genotype. At the right, there is the name or ID of each individual. At the bottom, the genotypes are ordered from left to right, starting from the major to the minor allele (i.e., AAAA, AAAB, AABB, ABBB, BBBB). At the top, there is a description of the trait based on a histogram of frequency (top left) and by an assigned color for each numerical phenotype value using a grayscale (top right). Thus, each individual appears as a colored line by its phenotype value on its genotype column. For each column, there is a solid cyan line with the mean of each column and a broken cyan line that indicates how far the cell deviates from the mean.</w:t>
      </w:r>
    </w:p>
    <w:p>
      <w:pPr>
        <w:pStyle w:val="TextBody"/>
        <w:rPr/>
      </w:pPr>
      <w:r>
        <w:rPr/>
        <w:t>Because each multiGWAS report shows one specific trait at a time, the histogram and color key will remain the same for all the best-ranked SNPs.</w:t>
      </w:r>
    </w:p>
    <w:p>
      <w:pPr>
        <w:pStyle w:val="TextBody"/>
        <w:rPr/>
      </w:pPr>
      <w:r>
        <w:rPr/>
        <w:drawing>
          <wp:inline distT="0" distB="0" distL="0" distR="0">
            <wp:extent cx="3291840" cy="329184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5"/>
                    <a:stretch>
                      <a:fillRect/>
                    </a:stretch>
                  </pic:blipFill>
                  <pic:spPr bwMode="auto">
                    <a:xfrm>
                      <a:off x="0" y="0"/>
                      <a:ext cx="3291840" cy="3291840"/>
                    </a:xfrm>
                    <a:prstGeom prst="rect">
                      <a:avLst/>
                    </a:prstGeom>
                  </pic:spPr>
                </pic:pic>
              </a:graphicData>
            </a:graphic>
          </wp:inline>
        </w:drawing>
      </w:r>
      <w:r>
        <w:rPr/>
        <w:t xml:space="preserve">   </w:t>
      </w:r>
      <w:r>
        <w:rPr/>
        <w:drawing>
          <wp:inline distT="0" distB="0" distL="0" distR="0">
            <wp:extent cx="3291840" cy="329184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16"/>
                    <a:stretch>
                      <a:fillRect/>
                    </a:stretch>
                  </pic:blipFill>
                  <pic:spPr bwMode="auto">
                    <a:xfrm>
                      <a:off x="0" y="0"/>
                      <a:ext cx="3291840" cy="3291840"/>
                    </a:xfrm>
                    <a:prstGeom prst="rect">
                      <a:avLst/>
                    </a:prstGeom>
                  </pic:spPr>
                </pic:pic>
              </a:graphicData>
            </a:graphic>
          </wp:inline>
        </w:drawing>
      </w:r>
    </w:p>
    <w:p>
      <w:pPr>
        <w:pStyle w:val="TextBody"/>
        <w:rPr/>
      </w:pPr>
      <w:r>
        <w:rPr/>
        <w:drawing>
          <wp:inline distT="0" distB="0" distL="0" distR="0">
            <wp:extent cx="3291840" cy="329184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7"/>
                    <a:stretch>
                      <a:fillRect/>
                    </a:stretch>
                  </pic:blipFill>
                  <pic:spPr bwMode="auto">
                    <a:xfrm>
                      <a:off x="0" y="0"/>
                      <a:ext cx="3291840" cy="3291840"/>
                    </a:xfrm>
                    <a:prstGeom prst="rect">
                      <a:avLst/>
                    </a:prstGeom>
                  </pic:spPr>
                </pic:pic>
              </a:graphicData>
            </a:graphic>
          </wp:inline>
        </w:drawing>
      </w:r>
      <w:r>
        <w:rPr/>
        <w:t xml:space="preserve">   </w:t>
      </w:r>
      <w:r>
        <w:rPr/>
        <w:drawing>
          <wp:inline distT="0" distB="0" distL="0" distR="0">
            <wp:extent cx="3291840" cy="329184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8"/>
                    <a:stretch>
                      <a:fillRect/>
                    </a:stretch>
                  </pic:blipFill>
                  <pic:spPr bwMode="auto">
                    <a:xfrm>
                      <a:off x="0" y="0"/>
                      <a:ext cx="3291840" cy="3291840"/>
                    </a:xfrm>
                    <a:prstGeom prst="rect">
                      <a:avLst/>
                    </a:prstGeom>
                  </pic:spPr>
                </pic:pic>
              </a:graphicData>
            </a:graphic>
          </wp:inline>
        </w:drawing>
      </w:r>
    </w:p>
    <w:p>
      <w:pPr>
        <w:pStyle w:val="TextBody"/>
        <w:rPr/>
      </w:pPr>
      <w:r>
        <w:rPr/>
        <w:drawing>
          <wp:inline distT="0" distB="0" distL="0" distR="0">
            <wp:extent cx="3291840" cy="329184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9"/>
                    <a:stretch>
                      <a:fillRect/>
                    </a:stretch>
                  </pic:blipFill>
                  <pic:spPr bwMode="auto">
                    <a:xfrm>
                      <a:off x="0" y="0"/>
                      <a:ext cx="3291840" cy="3291840"/>
                    </a:xfrm>
                    <a:prstGeom prst="rect">
                      <a:avLst/>
                    </a:prstGeom>
                  </pic:spPr>
                </pic:pic>
              </a:graphicData>
            </a:graphic>
          </wp:inline>
        </w:drawing>
      </w:r>
      <w:r>
        <w:rPr/>
        <w:t xml:space="preserve">   </w:t>
      </w:r>
      <w:r>
        <w:rPr/>
        <w:drawing>
          <wp:inline distT="0" distB="0" distL="0" distR="0">
            <wp:extent cx="3291840" cy="329184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20"/>
                    <a:stretch>
                      <a:fillRect/>
                    </a:stretch>
                  </pic:blipFill>
                  <pic:spPr bwMode="auto">
                    <a:xfrm>
                      <a:off x="0" y="0"/>
                      <a:ext cx="3291840" cy="3291840"/>
                    </a:xfrm>
                    <a:prstGeom prst="rect">
                      <a:avLst/>
                    </a:prstGeom>
                  </pic:spPr>
                </pic:pic>
              </a:graphicData>
            </a:graphic>
          </wp:inline>
        </w:drawing>
      </w:r>
    </w:p>
    <w:p>
      <w:pPr>
        <w:pStyle w:val="TextBody"/>
        <w:rPr/>
      </w:pPr>
      <w:r>
        <w:rPr/>
        <w:drawing>
          <wp:inline distT="0" distB="0" distL="0" distR="0">
            <wp:extent cx="3291840" cy="329184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21"/>
                    <a:stretch>
                      <a:fillRect/>
                    </a:stretch>
                  </pic:blipFill>
                  <pic:spPr bwMode="auto">
                    <a:xfrm>
                      <a:off x="0" y="0"/>
                      <a:ext cx="3291840" cy="3291840"/>
                    </a:xfrm>
                    <a:prstGeom prst="rect">
                      <a:avLst/>
                    </a:prstGeom>
                  </pic:spPr>
                </pic:pic>
              </a:graphicData>
            </a:graphic>
          </wp:inline>
        </w:drawing>
      </w:r>
      <w:r>
        <w:rPr/>
        <w:t xml:space="preserve">   </w:t>
      </w:r>
      <w:r>
        <w:rPr/>
        <w:drawing>
          <wp:inline distT="0" distB="0" distL="0" distR="0">
            <wp:extent cx="3291840" cy="329184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2"/>
                    <a:stretch>
                      <a:fillRect/>
                    </a:stretch>
                  </pic:blipFill>
                  <pic:spPr bwMode="auto">
                    <a:xfrm>
                      <a:off x="0" y="0"/>
                      <a:ext cx="3291840" cy="3291840"/>
                    </a:xfrm>
                    <a:prstGeom prst="rect">
                      <a:avLst/>
                    </a:prstGeom>
                  </pic:spPr>
                </pic:pic>
              </a:graphicData>
            </a:graphic>
          </wp:inline>
        </w:drawing>
      </w:r>
      <w:r>
        <w:rPr/>
        <w:t xml:space="preserve">   </w:t>
      </w:r>
    </w:p>
    <w:p>
      <w:pPr>
        <w:pStyle w:val="TextBody"/>
        <w:spacing w:before="180" w:after="180"/>
        <w:jc w:val="both"/>
        <w:rPr/>
      </w:pPr>
      <w:r>
        <w:rPr/>
        <w:t xml:space="preserve">   </w:t>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jc w:val="both"/>
    </w:pPr>
    <w:rPr/>
  </w:style>
  <w:style w:type="paragraph" w:styleId="Compact" w:customStyle="1">
    <w:name w:val="Compact"/>
    <w:basedOn w:val="TextBody"/>
    <w:qFormat/>
    <w:pPr>
      <w:spacing w:before="36" w:after="36"/>
    </w:pPr>
    <w:rPr>
      <w:sz w:val="16"/>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20"/>
        <w:tab w:val="right" w:pos="10800" w:leader="dot"/>
      </w:tabs>
      <w:ind w:left="0" w:hanging="0"/>
    </w:pPr>
    <w:rPr/>
  </w:style>
  <w:style w:type="paragraph" w:styleId="Contents2">
    <w:name w:val="TOC 2"/>
    <w:basedOn w:val="Index"/>
    <w:pPr>
      <w:tabs>
        <w:tab w:val="clear" w:pos="720"/>
        <w:tab w:val="right" w:pos="10517" w:leader="dot"/>
      </w:tabs>
      <w:ind w:left="283" w:hanging="0"/>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package" Target="embeddings/oleObject3.xlsx"/><Relationship Id="rId8" Type="http://schemas.openxmlformats.org/officeDocument/2006/relationships/image" Target="media/image4.emf"/><Relationship Id="rId9" Type="http://schemas.openxmlformats.org/officeDocument/2006/relationships/image" Target="media/image5.png"/><Relationship Id="rId10" Type="http://schemas.openxmlformats.org/officeDocument/2006/relationships/package" Target="embeddings/oleObject4.xlsx"/><Relationship Id="rId11" Type="http://schemas.openxmlformats.org/officeDocument/2006/relationships/image" Target="media/image6.emf"/><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LibreOffice/6.4.6.2$Linux_X86_64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2020-07-23T16:37:53Z</dcterms:created>
  <dc:creator/>
  <dc:description/>
  <dc:language>en-US</dc:language>
  <cp:lastModifiedBy/>
  <dcterms:modified xsi:type="dcterms:W3CDTF">2021-03-25T19:04:07Z</dcterms:modified>
  <cp:revision>13</cp:revision>
  <dc:subject/>
  <dc:title>MultiGWAS report for Full GWAS model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