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3FA" w:rsidRDefault="008533FA" w:rsidP="0016684F">
      <w:pPr>
        <w:spacing w:after="0" w:line="480" w:lineRule="auto"/>
        <w:contextualSpacing/>
        <w:jc w:val="both"/>
        <w:rPr>
          <w:rFonts w:ascii="Times New Roman" w:hAnsi="Times New Roman" w:cs="Times New Roman"/>
          <w:b/>
          <w:sz w:val="24"/>
          <w:szCs w:val="24"/>
          <w:lang w:val="en-US"/>
        </w:rPr>
      </w:pPr>
      <w:r w:rsidRPr="008533FA">
        <w:rPr>
          <w:rFonts w:ascii="Times New Roman" w:hAnsi="Times New Roman" w:cs="Times New Roman"/>
          <w:b/>
          <w:sz w:val="24"/>
          <w:szCs w:val="24"/>
          <w:lang w:val="en-US"/>
        </w:rPr>
        <w:t>INEQUALITIES IN MORBIMORTALITY DUE TO COVID-19 IN THE AUTONOMOUS CITY OF BUENOS AIRES</w:t>
      </w:r>
    </w:p>
    <w:p w:rsidR="001A23A1" w:rsidRPr="008005A0" w:rsidRDefault="001A23A1" w:rsidP="0016684F">
      <w:pPr>
        <w:spacing w:after="0" w:line="480" w:lineRule="auto"/>
        <w:contextualSpacing/>
        <w:jc w:val="both"/>
        <w:rPr>
          <w:rFonts w:ascii="Times New Roman" w:hAnsi="Times New Roman" w:cs="Times New Roman"/>
          <w:sz w:val="24"/>
          <w:szCs w:val="24"/>
          <w:lang w:val="en-US"/>
        </w:rPr>
      </w:pPr>
      <w:proofErr w:type="spellStart"/>
      <w:r w:rsidRPr="008005A0">
        <w:rPr>
          <w:rFonts w:ascii="Times New Roman" w:hAnsi="Times New Roman" w:cs="Times New Roman"/>
          <w:sz w:val="24"/>
          <w:szCs w:val="24"/>
          <w:lang w:val="en-US"/>
        </w:rPr>
        <w:t>Adrián</w:t>
      </w:r>
      <w:proofErr w:type="spellEnd"/>
      <w:r w:rsidRPr="008005A0">
        <w:rPr>
          <w:rFonts w:ascii="Times New Roman" w:hAnsi="Times New Roman" w:cs="Times New Roman"/>
          <w:sz w:val="24"/>
          <w:szCs w:val="24"/>
          <w:lang w:val="en-US"/>
        </w:rPr>
        <w:t xml:space="preserve"> Santoro</w:t>
      </w:r>
    </w:p>
    <w:p w:rsidR="00D57FBD" w:rsidRPr="008005A0" w:rsidRDefault="00D57FBD" w:rsidP="0016684F">
      <w:pPr>
        <w:spacing w:after="0" w:line="480" w:lineRule="auto"/>
        <w:contextualSpacing/>
        <w:jc w:val="both"/>
        <w:rPr>
          <w:rFonts w:ascii="Times New Roman" w:hAnsi="Times New Roman" w:cs="Times New Roman"/>
          <w:b/>
          <w:sz w:val="24"/>
          <w:szCs w:val="24"/>
          <w:lang w:val="en-US"/>
        </w:rPr>
      </w:pPr>
    </w:p>
    <w:p w:rsidR="00A82D02" w:rsidRDefault="008005A0" w:rsidP="0016684F">
      <w:pPr>
        <w:spacing w:after="0" w:line="48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PRESENTATION</w:t>
      </w:r>
    </w:p>
    <w:p w:rsidR="001C6486" w:rsidRDefault="001C6486" w:rsidP="0016684F">
      <w:pPr>
        <w:spacing w:after="0" w:line="480" w:lineRule="auto"/>
        <w:contextualSpacing/>
        <w:jc w:val="both"/>
        <w:rPr>
          <w:rFonts w:ascii="Times New Roman" w:hAnsi="Times New Roman" w:cs="Times New Roman"/>
          <w:sz w:val="24"/>
          <w:szCs w:val="24"/>
          <w:lang w:val="en-US"/>
        </w:rPr>
      </w:pPr>
    </w:p>
    <w:p w:rsidR="001C5E82" w:rsidRDefault="008005A0" w:rsidP="0016684F">
      <w:pPr>
        <w:spacing w:after="0" w:line="480" w:lineRule="auto"/>
        <w:contextualSpacing/>
        <w:jc w:val="both"/>
        <w:rPr>
          <w:rFonts w:ascii="Times New Roman" w:hAnsi="Times New Roman" w:cs="Times New Roman"/>
          <w:sz w:val="24"/>
          <w:szCs w:val="24"/>
          <w:lang w:val="en-US"/>
        </w:rPr>
      </w:pPr>
      <w:r w:rsidRPr="008005A0">
        <w:rPr>
          <w:rFonts w:ascii="Times New Roman" w:hAnsi="Times New Roman" w:cs="Times New Roman"/>
          <w:sz w:val="24"/>
          <w:szCs w:val="24"/>
          <w:lang w:val="en-US"/>
        </w:rPr>
        <w:t>The first confirmed cases of SARS-CoV-2 infection in Argentina were in the Autonomous City of Buenos Aires (</w:t>
      </w:r>
      <w:r w:rsidR="0015734E">
        <w:rPr>
          <w:rFonts w:ascii="Times New Roman" w:hAnsi="Times New Roman" w:cs="Times New Roman"/>
          <w:sz w:val="24"/>
          <w:szCs w:val="24"/>
          <w:lang w:val="en-US"/>
        </w:rPr>
        <w:t>CABA</w:t>
      </w:r>
      <w:r w:rsidRPr="008005A0">
        <w:rPr>
          <w:rFonts w:ascii="Times New Roman" w:hAnsi="Times New Roman" w:cs="Times New Roman"/>
          <w:sz w:val="24"/>
          <w:szCs w:val="24"/>
          <w:lang w:val="en-US"/>
        </w:rPr>
        <w:t xml:space="preserve">) in early March 2020. They were tourists returning from European cities that were registering high levels of COVID-19 incidence. The virus quickly began to circulate in the community and spread to other jurisdictions. However, until early September 2020, the </w:t>
      </w:r>
      <w:r w:rsidR="0015734E">
        <w:rPr>
          <w:rFonts w:ascii="Times New Roman" w:hAnsi="Times New Roman" w:cs="Times New Roman"/>
          <w:sz w:val="24"/>
          <w:szCs w:val="24"/>
          <w:lang w:val="en-US"/>
        </w:rPr>
        <w:t>CABA</w:t>
      </w:r>
      <w:r w:rsidRPr="008005A0">
        <w:rPr>
          <w:rFonts w:ascii="Times New Roman" w:hAnsi="Times New Roman" w:cs="Times New Roman"/>
          <w:sz w:val="24"/>
          <w:szCs w:val="24"/>
          <w:lang w:val="en-US"/>
        </w:rPr>
        <w:t xml:space="preserve"> and the 40 </w:t>
      </w:r>
      <w:r w:rsidR="0015734E">
        <w:rPr>
          <w:rFonts w:ascii="Times New Roman" w:hAnsi="Times New Roman" w:cs="Times New Roman"/>
          <w:sz w:val="24"/>
          <w:szCs w:val="24"/>
          <w:lang w:val="en-US"/>
        </w:rPr>
        <w:t>districts</w:t>
      </w:r>
      <w:r w:rsidRPr="008005A0">
        <w:rPr>
          <w:rFonts w:ascii="Times New Roman" w:hAnsi="Times New Roman" w:cs="Times New Roman"/>
          <w:sz w:val="24"/>
          <w:szCs w:val="24"/>
          <w:lang w:val="en-US"/>
        </w:rPr>
        <w:t xml:space="preserve"> of the Province of Buenos Aires that surround it (the geographic aggregate known as the Buenos Aires Metropolitan Area) accounted for nearly 95</w:t>
      </w:r>
      <w:r w:rsidR="0015734E">
        <w:rPr>
          <w:rFonts w:ascii="Times New Roman" w:hAnsi="Times New Roman" w:cs="Times New Roman"/>
          <w:sz w:val="24"/>
          <w:szCs w:val="24"/>
          <w:lang w:val="en-US"/>
        </w:rPr>
        <w:t>%</w:t>
      </w:r>
      <w:r w:rsidRPr="008005A0">
        <w:rPr>
          <w:rFonts w:ascii="Times New Roman" w:hAnsi="Times New Roman" w:cs="Times New Roman"/>
          <w:sz w:val="24"/>
          <w:szCs w:val="24"/>
          <w:lang w:val="en-US"/>
        </w:rPr>
        <w:t xml:space="preserve"> of the country's incident cases and deaths.</w:t>
      </w:r>
    </w:p>
    <w:p w:rsidR="0015734E" w:rsidRDefault="0015734E" w:rsidP="0016684F">
      <w:pPr>
        <w:spacing w:after="0" w:line="480" w:lineRule="auto"/>
        <w:contextualSpacing/>
        <w:jc w:val="both"/>
        <w:rPr>
          <w:rFonts w:ascii="Times New Roman" w:hAnsi="Times New Roman" w:cs="Times New Roman"/>
          <w:sz w:val="24"/>
          <w:szCs w:val="24"/>
          <w:lang w:val="en-US"/>
        </w:rPr>
      </w:pPr>
    </w:p>
    <w:p w:rsidR="00BC62E4" w:rsidRDefault="00BC62E4" w:rsidP="0016684F">
      <w:pPr>
        <w:spacing w:after="0" w:line="480" w:lineRule="auto"/>
        <w:contextualSpacing/>
        <w:jc w:val="both"/>
        <w:rPr>
          <w:rFonts w:ascii="Times New Roman" w:hAnsi="Times New Roman" w:cs="Times New Roman"/>
          <w:sz w:val="24"/>
          <w:szCs w:val="24"/>
          <w:lang w:val="en-US"/>
        </w:rPr>
      </w:pPr>
      <w:r w:rsidRPr="00BC62E4">
        <w:rPr>
          <w:rFonts w:ascii="Times New Roman" w:hAnsi="Times New Roman" w:cs="Times New Roman"/>
          <w:sz w:val="24"/>
          <w:szCs w:val="24"/>
          <w:lang w:val="en-US"/>
        </w:rPr>
        <w:t xml:space="preserve">The main characteristic of the policies adopted by the Argentine </w:t>
      </w:r>
      <w:r w:rsidR="00CD6A34">
        <w:rPr>
          <w:rFonts w:ascii="Times New Roman" w:hAnsi="Times New Roman" w:cs="Times New Roman"/>
          <w:sz w:val="24"/>
          <w:szCs w:val="24"/>
          <w:lang w:val="en-US"/>
        </w:rPr>
        <w:t>government</w:t>
      </w:r>
      <w:r w:rsidRPr="00BC62E4">
        <w:rPr>
          <w:rFonts w:ascii="Times New Roman" w:hAnsi="Times New Roman" w:cs="Times New Roman"/>
          <w:sz w:val="24"/>
          <w:szCs w:val="24"/>
          <w:lang w:val="en-US"/>
        </w:rPr>
        <w:t xml:space="preserve"> at the beginning of the epidemic was the early adoption of restrictive </w:t>
      </w:r>
      <w:r w:rsidR="00183AD3" w:rsidRPr="00BC62E4">
        <w:rPr>
          <w:rFonts w:ascii="Times New Roman" w:hAnsi="Times New Roman" w:cs="Times New Roman"/>
          <w:sz w:val="24"/>
          <w:szCs w:val="24"/>
          <w:lang w:val="en-US"/>
        </w:rPr>
        <w:t>procedures</w:t>
      </w:r>
      <w:r w:rsidRPr="00BC62E4">
        <w:rPr>
          <w:rFonts w:ascii="Times New Roman" w:hAnsi="Times New Roman" w:cs="Times New Roman"/>
          <w:sz w:val="24"/>
          <w:szCs w:val="24"/>
          <w:lang w:val="en-US"/>
        </w:rPr>
        <w:t xml:space="preserve">. With 128 confirmed cases and </w:t>
      </w:r>
      <w:r w:rsidR="0015734E">
        <w:rPr>
          <w:rFonts w:ascii="Times New Roman" w:hAnsi="Times New Roman" w:cs="Times New Roman"/>
          <w:sz w:val="24"/>
          <w:szCs w:val="24"/>
          <w:lang w:val="en-US"/>
        </w:rPr>
        <w:t>3</w:t>
      </w:r>
      <w:r w:rsidRPr="00BC62E4">
        <w:rPr>
          <w:rFonts w:ascii="Times New Roman" w:hAnsi="Times New Roman" w:cs="Times New Roman"/>
          <w:sz w:val="24"/>
          <w:szCs w:val="24"/>
          <w:lang w:val="en-US"/>
        </w:rPr>
        <w:t xml:space="preserve"> deaths throughout the country, on </w:t>
      </w:r>
      <w:r w:rsidR="0015734E">
        <w:rPr>
          <w:rFonts w:ascii="Times New Roman" w:hAnsi="Times New Roman" w:cs="Times New Roman"/>
          <w:sz w:val="24"/>
          <w:szCs w:val="24"/>
          <w:lang w:val="en-US"/>
        </w:rPr>
        <w:t>20 March 2020</w:t>
      </w:r>
      <w:r w:rsidRPr="00BC62E4">
        <w:rPr>
          <w:rFonts w:ascii="Times New Roman" w:hAnsi="Times New Roman" w:cs="Times New Roman"/>
          <w:sz w:val="24"/>
          <w:szCs w:val="24"/>
          <w:lang w:val="en-US"/>
        </w:rPr>
        <w:t xml:space="preserve"> the "Preventive and Mandatory Social Isolation" </w:t>
      </w:r>
      <w:proofErr w:type="gramStart"/>
      <w:r w:rsidRPr="00BC62E4">
        <w:rPr>
          <w:rFonts w:ascii="Times New Roman" w:hAnsi="Times New Roman" w:cs="Times New Roman"/>
          <w:sz w:val="24"/>
          <w:szCs w:val="24"/>
          <w:lang w:val="en-US"/>
        </w:rPr>
        <w:t>was decreed</w:t>
      </w:r>
      <w:proofErr w:type="gramEnd"/>
      <w:r w:rsidR="00CD6A34">
        <w:rPr>
          <w:rFonts w:ascii="Times New Roman" w:hAnsi="Times New Roman" w:cs="Times New Roman"/>
          <w:sz w:val="24"/>
          <w:szCs w:val="24"/>
          <w:lang w:val="en-US"/>
        </w:rPr>
        <w:t>.</w:t>
      </w:r>
      <w:r w:rsidRPr="00BC62E4">
        <w:rPr>
          <w:rFonts w:ascii="Times New Roman" w:hAnsi="Times New Roman" w:cs="Times New Roman"/>
          <w:sz w:val="24"/>
          <w:szCs w:val="24"/>
          <w:lang w:val="en-US"/>
        </w:rPr>
        <w:t xml:space="preserve"> </w:t>
      </w:r>
      <w:r w:rsidR="00CD6A34">
        <w:rPr>
          <w:rFonts w:ascii="Times New Roman" w:hAnsi="Times New Roman" w:cs="Times New Roman"/>
          <w:sz w:val="24"/>
          <w:szCs w:val="24"/>
          <w:lang w:val="en-US"/>
        </w:rPr>
        <w:t xml:space="preserve">It was </w:t>
      </w:r>
      <w:r w:rsidRPr="00BC62E4">
        <w:rPr>
          <w:rFonts w:ascii="Times New Roman" w:hAnsi="Times New Roman" w:cs="Times New Roman"/>
          <w:sz w:val="24"/>
          <w:szCs w:val="24"/>
          <w:lang w:val="en-US"/>
        </w:rPr>
        <w:t>determined, among other measures, the closure of schools, the closing of borders, the limitation of intra- and inter-jurisdictional circulation, the work activities at home for non-essential workers, the limitation of public transportation and the prohibition of social events and activities that generate agglomeration of people (bars, restaurants, movie theaters, etc.) and the protocolization of physical distancing measures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{"citationItems":[{"id":"ITEM-1","itemData":{"abstract":"BOLETIN OFICIAL REPUBLICA ARGENTINA - AISLAMIENTO SOCIAL PREVENTIVO Y OBLIGATORIO - Decreto 297/2020 - DECNU-2020-297-APN-PTE - Disposiciones.","author":[{"dropping-particle":"","family":"Presidencia de la Nación","given":"","non-dropping-particle":"","parse-names":false,"suffix":""}],"container-title":"Boletín Oficial de la República Argentina","id":"ITEM-1","issued":{"date-parts":[["2020"]]},"title":"Aislamiento social preventivo y obligatorio","type":"report"},"uris":["http://www.mendeley.com/documents/?uuid=91c55992-1a36-4ee2-898e-d932575aa490"]}],"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lang w:val="en-US"/>
        </w:rPr>
        <w:fldChar w:fldCharType="separate"/>
      </w:r>
      <w:r w:rsidRPr="00BC62E4">
        <w:rPr>
          <w:rFonts w:ascii="Times New Roman" w:hAnsi="Times New Roman" w:cs="Times New Roman"/>
          <w:noProof/>
          <w:sz w:val="24"/>
          <w:szCs w:val="24"/>
          <w:lang w:val="en-US"/>
        </w:rPr>
        <w:t>(1)</w:t>
      </w:r>
      <w:r>
        <w:rPr>
          <w:rFonts w:ascii="Times New Roman" w:hAnsi="Times New Roman" w:cs="Times New Roman"/>
          <w:sz w:val="24"/>
          <w:szCs w:val="24"/>
          <w:lang w:val="en-US"/>
        </w:rPr>
        <w:fldChar w:fldCharType="end"/>
      </w:r>
      <w:r w:rsidRPr="00BC62E4">
        <w:rPr>
          <w:rFonts w:ascii="Times New Roman" w:hAnsi="Times New Roman" w:cs="Times New Roman"/>
          <w:sz w:val="24"/>
          <w:szCs w:val="24"/>
          <w:lang w:val="en-US"/>
        </w:rPr>
        <w:t xml:space="preserve">. The main purpose of the regulation was to delay the epidemic's maturation, giving time for the health system's preparation, and to strengthen a structure capable of responding to the demands of the new </w:t>
      </w:r>
      <w:r w:rsidRPr="00BC62E4">
        <w:rPr>
          <w:rFonts w:ascii="Times New Roman" w:hAnsi="Times New Roman" w:cs="Times New Roman"/>
          <w:sz w:val="24"/>
          <w:szCs w:val="24"/>
          <w:lang w:val="en-US"/>
        </w:rPr>
        <w:lastRenderedPageBreak/>
        <w:t>situation, given the high virus reproduction capacity and the great demand for resources for the attention it would potentially demand.</w:t>
      </w:r>
    </w:p>
    <w:p w:rsidR="004F5494" w:rsidRDefault="004F5494" w:rsidP="0016684F">
      <w:pPr>
        <w:spacing w:after="0" w:line="480" w:lineRule="auto"/>
        <w:contextualSpacing/>
        <w:jc w:val="both"/>
        <w:rPr>
          <w:rFonts w:ascii="Times New Roman" w:hAnsi="Times New Roman" w:cs="Times New Roman"/>
          <w:sz w:val="24"/>
          <w:szCs w:val="24"/>
          <w:lang w:val="en-US"/>
        </w:rPr>
      </w:pPr>
    </w:p>
    <w:p w:rsidR="00D66AFE" w:rsidRDefault="00BC62E4" w:rsidP="00BC62E4">
      <w:pPr>
        <w:spacing w:after="0" w:line="480" w:lineRule="auto"/>
        <w:contextualSpacing/>
        <w:jc w:val="both"/>
        <w:rPr>
          <w:rFonts w:ascii="Times New Roman" w:hAnsi="Times New Roman" w:cs="Times New Roman"/>
          <w:sz w:val="24"/>
          <w:szCs w:val="24"/>
          <w:lang w:val="en-US"/>
        </w:rPr>
      </w:pPr>
      <w:r w:rsidRPr="00BC62E4">
        <w:rPr>
          <w:rFonts w:ascii="Times New Roman" w:hAnsi="Times New Roman" w:cs="Times New Roman"/>
          <w:sz w:val="24"/>
          <w:szCs w:val="24"/>
          <w:lang w:val="en-US"/>
        </w:rPr>
        <w:t xml:space="preserve">The </w:t>
      </w:r>
      <w:r w:rsidR="004F5494">
        <w:rPr>
          <w:rFonts w:ascii="Times New Roman" w:hAnsi="Times New Roman" w:cs="Times New Roman"/>
          <w:sz w:val="24"/>
          <w:szCs w:val="24"/>
          <w:lang w:val="en-US"/>
        </w:rPr>
        <w:t>CABA</w:t>
      </w:r>
      <w:r w:rsidRPr="00BC62E4">
        <w:rPr>
          <w:rFonts w:ascii="Times New Roman" w:hAnsi="Times New Roman" w:cs="Times New Roman"/>
          <w:sz w:val="24"/>
          <w:szCs w:val="24"/>
          <w:lang w:val="en-US"/>
        </w:rPr>
        <w:t xml:space="preserve"> is the federal district of Argentine and adopted the regulations established by the national government. The implementation of these </w:t>
      </w:r>
      <w:r w:rsidR="00CD6A34">
        <w:rPr>
          <w:rFonts w:ascii="Times New Roman" w:hAnsi="Times New Roman" w:cs="Times New Roman"/>
          <w:sz w:val="24"/>
          <w:szCs w:val="24"/>
          <w:lang w:val="en-US"/>
        </w:rPr>
        <w:t>regulations</w:t>
      </w:r>
      <w:r w:rsidRPr="00BC62E4">
        <w:rPr>
          <w:rFonts w:ascii="Times New Roman" w:hAnsi="Times New Roman" w:cs="Times New Roman"/>
          <w:sz w:val="24"/>
          <w:szCs w:val="24"/>
          <w:lang w:val="en-US"/>
        </w:rPr>
        <w:t xml:space="preserve"> had a high degree of compliance in the early days. According to Google's mobility index</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A53250">
        <w:rPr>
          <w:rFonts w:ascii="Times New Roman" w:hAnsi="Times New Roman" w:cs="Times New Roman"/>
          <w:sz w:val="24"/>
          <w:szCs w:val="24"/>
          <w:lang w:val="en-US"/>
        </w:rPr>
        <w:instrText>ADDIN CSL_CITATION {"citationItems":[{"id":"ITEM-1","itemData":{"abstract":"As global communities respond to COVID-19, we've heard from public health officials that the same type of aggregated, anonymized insights we use in products such as Google Maps could be helpful as they make critical decisions to combat COVID-19. These Community Mobility Reports aim to provide insights into what has changed in response to policies aimed at combating COVID-19. The reports chart movement trends over time by geography, across different categories of places such as retail and recreation, groceries and pharmacies, parks, transit stations, workplaces, and residential.","author":[{"dropping-particle":"","family":"Google LLC","given":"","non-dropping-particle":"","parse-names":false,"suffix":""}],"container-title":"https://www.google.com/covid19/mobility/ Accessed: &lt;18 May 2020&gt;","id":"ITEM-1","issued":{"date-parts":[["2020"]]},"title":"Google COVID-19 Community Mobility Reports","type":"article"},"uris":["http://www.mendeley.com/documents/?uuid=5dd8cf3c-10fb-4251-866b-2b0f12736e29"]}],"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lang w:val="en-US"/>
        </w:rPr>
        <w:fldChar w:fldCharType="separate"/>
      </w:r>
      <w:r w:rsidRPr="00BC62E4">
        <w:rPr>
          <w:rFonts w:ascii="Times New Roman" w:hAnsi="Times New Roman" w:cs="Times New Roman"/>
          <w:noProof/>
          <w:sz w:val="24"/>
          <w:szCs w:val="24"/>
          <w:lang w:val="en-US"/>
        </w:rPr>
        <w:t>(2)</w:t>
      </w:r>
      <w:r>
        <w:rPr>
          <w:rFonts w:ascii="Times New Roman" w:hAnsi="Times New Roman" w:cs="Times New Roman"/>
          <w:sz w:val="24"/>
          <w:szCs w:val="24"/>
          <w:lang w:val="en-US"/>
        </w:rPr>
        <w:fldChar w:fldCharType="end"/>
      </w:r>
      <w:r w:rsidRPr="00BC62E4">
        <w:rPr>
          <w:rFonts w:ascii="Times New Roman" w:hAnsi="Times New Roman" w:cs="Times New Roman"/>
          <w:sz w:val="24"/>
          <w:szCs w:val="24"/>
          <w:lang w:val="en-US"/>
        </w:rPr>
        <w:t xml:space="preserve">, after </w:t>
      </w:r>
      <w:r w:rsidR="004F5494">
        <w:rPr>
          <w:rFonts w:ascii="Times New Roman" w:hAnsi="Times New Roman" w:cs="Times New Roman"/>
          <w:sz w:val="24"/>
          <w:szCs w:val="24"/>
          <w:lang w:val="en-US"/>
        </w:rPr>
        <w:t>10</w:t>
      </w:r>
      <w:r w:rsidRPr="00BC62E4">
        <w:rPr>
          <w:rFonts w:ascii="Times New Roman" w:hAnsi="Times New Roman" w:cs="Times New Roman"/>
          <w:sz w:val="24"/>
          <w:szCs w:val="24"/>
          <w:lang w:val="en-US"/>
        </w:rPr>
        <w:t xml:space="preserve"> days of isolation, mobility in workplaces had been reduced by more than 80</w:t>
      </w:r>
      <w:r w:rsidR="004F5494">
        <w:rPr>
          <w:rFonts w:ascii="Times New Roman" w:hAnsi="Times New Roman" w:cs="Times New Roman"/>
          <w:sz w:val="24"/>
          <w:szCs w:val="24"/>
          <w:lang w:val="en-US"/>
        </w:rPr>
        <w:t>%</w:t>
      </w:r>
      <w:r w:rsidRPr="00BC62E4">
        <w:rPr>
          <w:rFonts w:ascii="Times New Roman" w:hAnsi="Times New Roman" w:cs="Times New Roman"/>
          <w:sz w:val="24"/>
          <w:szCs w:val="24"/>
          <w:lang w:val="en-US"/>
        </w:rPr>
        <w:t xml:space="preserve"> compared to the reference value of "normal". The same happened with mobility in parks and in vehicle traffic.</w:t>
      </w:r>
    </w:p>
    <w:p w:rsidR="004F5494" w:rsidRPr="00BC62E4" w:rsidRDefault="004F5494" w:rsidP="00BC62E4">
      <w:pPr>
        <w:spacing w:after="0" w:line="480" w:lineRule="auto"/>
        <w:contextualSpacing/>
        <w:jc w:val="both"/>
        <w:rPr>
          <w:rFonts w:ascii="Times New Roman" w:hAnsi="Times New Roman" w:cs="Times New Roman"/>
          <w:sz w:val="24"/>
          <w:szCs w:val="24"/>
          <w:lang w:val="en-US"/>
        </w:rPr>
      </w:pPr>
    </w:p>
    <w:p w:rsidR="0083747C" w:rsidRDefault="008533FA" w:rsidP="004F5494">
      <w:pPr>
        <w:spacing w:after="0" w:line="480" w:lineRule="auto"/>
        <w:jc w:val="both"/>
        <w:rPr>
          <w:rFonts w:ascii="Times New Roman" w:hAnsi="Times New Roman" w:cs="Times New Roman"/>
          <w:sz w:val="24"/>
          <w:szCs w:val="24"/>
          <w:lang w:val="en-US"/>
        </w:rPr>
      </w:pPr>
      <w:r w:rsidRPr="008533FA">
        <w:rPr>
          <w:rFonts w:ascii="Times New Roman" w:hAnsi="Times New Roman" w:cs="Times New Roman"/>
          <w:sz w:val="24"/>
          <w:szCs w:val="24"/>
          <w:lang w:val="en-US"/>
        </w:rPr>
        <w:t>Although it is possible to establish the impact of the pandemic on CABA in comparison to the rest of the jurisdiction</w:t>
      </w:r>
      <w:r w:rsidR="00EE0CA3">
        <w:rPr>
          <w:rFonts w:ascii="Times New Roman" w:hAnsi="Times New Roman" w:cs="Times New Roman"/>
          <w:sz w:val="24"/>
          <w:szCs w:val="24"/>
          <w:lang w:val="en-US"/>
        </w:rPr>
        <w:t>s, it should be noted that the f</w:t>
      </w:r>
      <w:r w:rsidRPr="008533FA">
        <w:rPr>
          <w:rFonts w:ascii="Times New Roman" w:hAnsi="Times New Roman" w:cs="Times New Roman"/>
          <w:sz w:val="24"/>
          <w:szCs w:val="24"/>
          <w:lang w:val="en-US"/>
        </w:rPr>
        <w:t xml:space="preserve">ederal </w:t>
      </w:r>
      <w:r w:rsidR="00EE0CA3">
        <w:rPr>
          <w:rFonts w:ascii="Times New Roman" w:hAnsi="Times New Roman" w:cs="Times New Roman"/>
          <w:sz w:val="24"/>
          <w:szCs w:val="24"/>
          <w:lang w:val="en-US"/>
        </w:rPr>
        <w:t>district</w:t>
      </w:r>
      <w:r w:rsidRPr="008533FA">
        <w:rPr>
          <w:rFonts w:ascii="Times New Roman" w:hAnsi="Times New Roman" w:cs="Times New Roman"/>
          <w:sz w:val="24"/>
          <w:szCs w:val="24"/>
          <w:lang w:val="en-US"/>
        </w:rPr>
        <w:t xml:space="preserve"> of Argentina is a markedly unequal </w:t>
      </w:r>
      <w:r w:rsidR="00D51DF5">
        <w:rPr>
          <w:rFonts w:ascii="Times New Roman" w:hAnsi="Times New Roman" w:cs="Times New Roman"/>
          <w:sz w:val="24"/>
          <w:szCs w:val="24"/>
          <w:lang w:val="en-US"/>
        </w:rPr>
        <w:t>area</w:t>
      </w:r>
      <w:r w:rsidR="004F5494">
        <w:rPr>
          <w:rFonts w:ascii="Times New Roman" w:hAnsi="Times New Roman" w:cs="Times New Roman"/>
          <w:sz w:val="24"/>
          <w:szCs w:val="24"/>
          <w:lang w:val="en-US"/>
        </w:rPr>
        <w:t>, where 3075</w:t>
      </w:r>
      <w:r w:rsidRPr="008533FA">
        <w:rPr>
          <w:rFonts w:ascii="Times New Roman" w:hAnsi="Times New Roman" w:cs="Times New Roman"/>
          <w:sz w:val="24"/>
          <w:szCs w:val="24"/>
          <w:lang w:val="en-US"/>
        </w:rPr>
        <w:t>646 people</w:t>
      </w:r>
      <w:r>
        <w:rPr>
          <w:rFonts w:ascii="Times New Roman" w:hAnsi="Times New Roman" w:cs="Times New Roman"/>
          <w:sz w:val="24"/>
          <w:szCs w:val="24"/>
          <w:lang w:val="en-US"/>
        </w:rPr>
        <w:t xml:space="preserve"> live</w:t>
      </w:r>
      <w:r w:rsidRPr="008533FA">
        <w:rPr>
          <w:rFonts w:ascii="Times New Roman" w:hAnsi="Times New Roman" w:cs="Times New Roman"/>
          <w:sz w:val="24"/>
          <w:szCs w:val="24"/>
          <w:lang w:val="en-US"/>
        </w:rPr>
        <w:t xml:space="preserve"> </w:t>
      </w:r>
      <w:r w:rsidR="00A53250">
        <w:rPr>
          <w:rFonts w:ascii="Times New Roman" w:hAnsi="Times New Roman" w:cs="Times New Roman"/>
          <w:sz w:val="24"/>
          <w:szCs w:val="24"/>
        </w:rPr>
        <w:fldChar w:fldCharType="begin" w:fldLock="1"/>
      </w:r>
      <w:r w:rsidR="00A53250" w:rsidRPr="008533FA">
        <w:rPr>
          <w:rFonts w:ascii="Times New Roman" w:hAnsi="Times New Roman" w:cs="Times New Roman"/>
          <w:sz w:val="24"/>
          <w:szCs w:val="24"/>
          <w:lang w:val="en-US"/>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A53250">
        <w:rPr>
          <w:rFonts w:ascii="Times New Roman" w:hAnsi="Times New Roman" w:cs="Times New Roman"/>
          <w:sz w:val="24"/>
          <w:szCs w:val="24"/>
        </w:rPr>
        <w:fldChar w:fldCharType="separate"/>
      </w:r>
      <w:r w:rsidR="00A53250" w:rsidRPr="008533FA">
        <w:rPr>
          <w:rFonts w:ascii="Times New Roman" w:hAnsi="Times New Roman" w:cs="Times New Roman"/>
          <w:noProof/>
          <w:sz w:val="24"/>
          <w:szCs w:val="24"/>
          <w:lang w:val="en-US"/>
        </w:rPr>
        <w:t>(3)</w:t>
      </w:r>
      <w:r w:rsidR="00A53250">
        <w:rPr>
          <w:rFonts w:ascii="Times New Roman" w:hAnsi="Times New Roman" w:cs="Times New Roman"/>
          <w:sz w:val="24"/>
          <w:szCs w:val="24"/>
        </w:rPr>
        <w:fldChar w:fldCharType="end"/>
      </w:r>
      <w:r w:rsidR="00CE656D" w:rsidRPr="008533FA">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lang w:val="en-US"/>
        </w:rPr>
        <w:t xml:space="preserve">The inequity of the distribution of resources in CABA has been demonstrated in numerous studies </w:t>
      </w:r>
      <w:r w:rsidR="00A53250">
        <w:rPr>
          <w:rFonts w:ascii="Times New Roman" w:hAnsi="Times New Roman" w:cs="Times New Roman"/>
          <w:sz w:val="24"/>
          <w:szCs w:val="24"/>
        </w:rPr>
        <w:fldChar w:fldCharType="begin" w:fldLock="1"/>
      </w:r>
      <w:r w:rsidR="008A48B8" w:rsidRPr="00EE0CA3">
        <w:rPr>
          <w:rFonts w:ascii="Times New Roman" w:hAnsi="Times New Roman" w:cs="Times New Roman"/>
          <w:sz w:val="24"/>
          <w:szCs w:val="24"/>
          <w:lang w:val="en-US"/>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w:instrText>
      </w:r>
      <w:r w:rsidR="008A48B8" w:rsidRPr="009A0571">
        <w:rPr>
          <w:rFonts w:ascii="Times New Roman" w:hAnsi="Times New Roman" w:cs="Times New Roman"/>
          <w:sz w:val="24"/>
          <w:szCs w:val="24"/>
          <w:lang w:val="en-US"/>
        </w:rPr>
        <w:instrText>r</w:instrText>
      </w:r>
      <w:r w:rsidR="008A48B8">
        <w:rPr>
          <w:rFonts w:ascii="Times New Roman" w:hAnsi="Times New Roman" w:cs="Times New Roman"/>
          <w:sz w:val="24"/>
          <w:szCs w:val="24"/>
        </w:rPr>
        <w:instrText>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w:instrText>
      </w:r>
      <w:r w:rsidR="008A48B8" w:rsidRPr="00EE0CA3">
        <w:rPr>
          <w:rFonts w:ascii="Times New Roman" w:hAnsi="Times New Roman" w:cs="Times New Roman"/>
          <w:sz w:val="24"/>
          <w:szCs w:val="24"/>
          <w:lang w:val="en-US"/>
        </w:rPr>
        <w:instrText>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A53250">
        <w:rPr>
          <w:rFonts w:ascii="Times New Roman" w:hAnsi="Times New Roman" w:cs="Times New Roman"/>
          <w:sz w:val="24"/>
          <w:szCs w:val="24"/>
        </w:rPr>
        <w:fldChar w:fldCharType="separate"/>
      </w:r>
      <w:r w:rsidR="008A48B8" w:rsidRPr="00EE0CA3">
        <w:rPr>
          <w:rFonts w:ascii="Times New Roman" w:hAnsi="Times New Roman" w:cs="Times New Roman"/>
          <w:noProof/>
          <w:sz w:val="24"/>
          <w:szCs w:val="24"/>
          <w:lang w:val="en-US"/>
        </w:rPr>
        <w:t>(4–7)</w:t>
      </w:r>
      <w:r w:rsidR="00A53250">
        <w:rPr>
          <w:rFonts w:ascii="Times New Roman" w:hAnsi="Times New Roman" w:cs="Times New Roman"/>
          <w:sz w:val="24"/>
          <w:szCs w:val="24"/>
        </w:rPr>
        <w:fldChar w:fldCharType="end"/>
      </w:r>
      <w:r w:rsidR="00CE656D" w:rsidRPr="00EE0CA3">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lang w:val="en-US"/>
        </w:rPr>
        <w:t xml:space="preserve">All </w:t>
      </w:r>
      <w:r w:rsidR="004F5494">
        <w:rPr>
          <w:rFonts w:ascii="Times New Roman" w:hAnsi="Times New Roman" w:cs="Times New Roman"/>
          <w:sz w:val="24"/>
          <w:szCs w:val="24"/>
          <w:lang w:val="en-US"/>
        </w:rPr>
        <w:t xml:space="preserve">of these </w:t>
      </w:r>
      <w:r w:rsidR="00EE0CA3" w:rsidRPr="00EE0CA3">
        <w:rPr>
          <w:rFonts w:ascii="Times New Roman" w:hAnsi="Times New Roman" w:cs="Times New Roman"/>
          <w:sz w:val="24"/>
          <w:szCs w:val="24"/>
          <w:lang w:val="en-US"/>
        </w:rPr>
        <w:t>agree in identifying the southern zone of the city as the one with the worst living conditions</w:t>
      </w:r>
      <w:r w:rsidR="00CE656D" w:rsidRPr="00B066BE">
        <w:rPr>
          <w:rFonts w:ascii="Times New Roman" w:hAnsi="Times New Roman" w:cs="Times New Roman"/>
          <w:sz w:val="24"/>
          <w:szCs w:val="24"/>
          <w:lang w:val="en-US"/>
        </w:rPr>
        <w:t xml:space="preserve">. </w:t>
      </w:r>
      <w:bookmarkStart w:id="0" w:name="OLE_LINK1"/>
      <w:bookmarkStart w:id="1" w:name="OLE_LINK2"/>
      <w:r w:rsidR="00B066BE" w:rsidRPr="00B066BE">
        <w:rPr>
          <w:rFonts w:ascii="Times New Roman" w:hAnsi="Times New Roman" w:cs="Times New Roman"/>
          <w:sz w:val="24"/>
          <w:szCs w:val="24"/>
          <w:lang w:val="en-US"/>
        </w:rPr>
        <w:t>In particular, the study conducted by Santoro</w:t>
      </w:r>
      <w:r w:rsidR="008A48B8" w:rsidRPr="00B066BE">
        <w:rPr>
          <w:rFonts w:ascii="Times New Roman" w:hAnsi="Times New Roman" w:cs="Times New Roman"/>
          <w:sz w:val="24"/>
          <w:szCs w:val="24"/>
          <w:lang w:val="en-US"/>
        </w:rPr>
        <w:t xml:space="preserve"> </w:t>
      </w:r>
      <w:r w:rsidR="008A48B8">
        <w:rPr>
          <w:rFonts w:ascii="Times New Roman" w:hAnsi="Times New Roman" w:cs="Times New Roman"/>
          <w:sz w:val="24"/>
          <w:szCs w:val="24"/>
        </w:rPr>
        <w:fldChar w:fldCharType="begin" w:fldLock="1"/>
      </w:r>
      <w:r w:rsidR="008A48B8" w:rsidRPr="00B066BE">
        <w:rPr>
          <w:rFonts w:ascii="Times New Roman" w:hAnsi="Times New Roman" w:cs="Times New Roman"/>
          <w:sz w:val="24"/>
          <w:szCs w:val="24"/>
          <w:lang w:val="en-US"/>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8A48B8">
        <w:rPr>
          <w:rFonts w:ascii="Times New Roman" w:hAnsi="Times New Roman" w:cs="Times New Roman"/>
          <w:sz w:val="24"/>
          <w:szCs w:val="24"/>
        </w:rPr>
        <w:fldChar w:fldCharType="separate"/>
      </w:r>
      <w:r w:rsidR="008A48B8" w:rsidRPr="00B066BE">
        <w:rPr>
          <w:rFonts w:ascii="Times New Roman" w:hAnsi="Times New Roman" w:cs="Times New Roman"/>
          <w:noProof/>
          <w:sz w:val="24"/>
          <w:szCs w:val="24"/>
          <w:lang w:val="en-US"/>
        </w:rPr>
        <w:t>(8)</w:t>
      </w:r>
      <w:r w:rsidR="008A48B8">
        <w:rPr>
          <w:rFonts w:ascii="Times New Roman" w:hAnsi="Times New Roman" w:cs="Times New Roman"/>
          <w:sz w:val="24"/>
          <w:szCs w:val="24"/>
        </w:rPr>
        <w:fldChar w:fldCharType="end"/>
      </w:r>
      <w:r w:rsidR="00CE656D" w:rsidRPr="00B066BE">
        <w:rPr>
          <w:rFonts w:ascii="Times New Roman" w:hAnsi="Times New Roman" w:cs="Times New Roman"/>
          <w:sz w:val="24"/>
          <w:szCs w:val="24"/>
          <w:lang w:val="en-US"/>
        </w:rPr>
        <w:t xml:space="preserve"> </w:t>
      </w:r>
      <w:r w:rsidR="00B066BE" w:rsidRPr="00B066BE">
        <w:rPr>
          <w:rFonts w:ascii="Times New Roman" w:hAnsi="Times New Roman" w:cs="Times New Roman"/>
          <w:sz w:val="24"/>
          <w:szCs w:val="24"/>
          <w:lang w:val="en-US"/>
        </w:rPr>
        <w:t>evaluated the inequalities in relation to health-related dimensions of the population and found significant differences in the structure of mortality by cause, life expectancy and fertility between areas of the city.</w:t>
      </w:r>
    </w:p>
    <w:p w:rsidR="004F5494" w:rsidRPr="00B066BE" w:rsidRDefault="004F5494" w:rsidP="004F5494">
      <w:pPr>
        <w:spacing w:after="0" w:line="480" w:lineRule="auto"/>
        <w:jc w:val="both"/>
        <w:rPr>
          <w:rFonts w:ascii="Times New Roman" w:hAnsi="Times New Roman" w:cs="Times New Roman"/>
          <w:sz w:val="24"/>
          <w:szCs w:val="24"/>
          <w:lang w:val="en-US"/>
        </w:rPr>
      </w:pPr>
    </w:p>
    <w:bookmarkEnd w:id="0"/>
    <w:bookmarkEnd w:id="1"/>
    <w:p w:rsidR="00C907FC" w:rsidRDefault="00B066BE" w:rsidP="004F5494">
      <w:pPr>
        <w:spacing w:after="0" w:line="480" w:lineRule="auto"/>
        <w:jc w:val="both"/>
        <w:rPr>
          <w:rFonts w:ascii="Times New Roman" w:hAnsi="Times New Roman" w:cs="Times New Roman"/>
          <w:sz w:val="24"/>
          <w:szCs w:val="24"/>
          <w:lang w:val="en-US"/>
        </w:rPr>
      </w:pPr>
      <w:r w:rsidRPr="00B066BE">
        <w:rPr>
          <w:rFonts w:ascii="Times New Roman" w:hAnsi="Times New Roman" w:cs="Times New Roman"/>
          <w:sz w:val="24"/>
          <w:szCs w:val="24"/>
          <w:lang w:val="en-US"/>
        </w:rPr>
        <w:t>There are studies that described the differential impact of the pandemic in different metropolises of the world, agreeing that its passage through socially vulnerable sectors of the population is more harmful</w:t>
      </w:r>
      <w:r w:rsidR="00CE656D" w:rsidRPr="00B066BE">
        <w:rPr>
          <w:rFonts w:ascii="Times New Roman" w:hAnsi="Times New Roman" w:cs="Times New Roman"/>
          <w:sz w:val="24"/>
          <w:szCs w:val="24"/>
          <w:lang w:val="en-US"/>
        </w:rPr>
        <w:t>.</w:t>
      </w:r>
      <w:r w:rsidR="00837D3B" w:rsidRPr="00B066BE">
        <w:rPr>
          <w:rFonts w:ascii="Times New Roman" w:hAnsi="Times New Roman" w:cs="Times New Roman"/>
          <w:sz w:val="24"/>
          <w:szCs w:val="24"/>
          <w:lang w:val="en-US"/>
        </w:rPr>
        <w:t xml:space="preserve"> </w:t>
      </w:r>
      <w:r w:rsidR="00837D3B" w:rsidRPr="00C907FC">
        <w:rPr>
          <w:rFonts w:ascii="Times New Roman" w:hAnsi="Times New Roman" w:cs="Times New Roman"/>
          <w:sz w:val="24"/>
          <w:szCs w:val="24"/>
          <w:lang w:val="en-US"/>
        </w:rPr>
        <w:t>Van Dorm, Cooney y Sabin</w:t>
      </w:r>
      <w:r w:rsidR="004D66F7" w:rsidRPr="00C907FC">
        <w:rPr>
          <w:rFonts w:ascii="Times New Roman" w:hAnsi="Times New Roman" w:cs="Times New Roman"/>
          <w:sz w:val="24"/>
          <w:szCs w:val="24"/>
          <w:lang w:val="en-US"/>
        </w:rPr>
        <w:t xml:space="preserve"> </w:t>
      </w:r>
      <w:r w:rsidR="008A48B8">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008A48B8">
        <w:rPr>
          <w:rFonts w:ascii="Times New Roman" w:hAnsi="Times New Roman" w:cs="Times New Roman"/>
          <w:sz w:val="24"/>
          <w:szCs w:val="24"/>
        </w:rPr>
        <w:fldChar w:fldCharType="separate"/>
      </w:r>
      <w:r w:rsidR="008A48B8" w:rsidRPr="00C907FC">
        <w:rPr>
          <w:rFonts w:ascii="Times New Roman" w:hAnsi="Times New Roman" w:cs="Times New Roman"/>
          <w:noProof/>
          <w:sz w:val="24"/>
          <w:szCs w:val="24"/>
          <w:lang w:val="en-US"/>
        </w:rPr>
        <w:t>(9)</w:t>
      </w:r>
      <w:r w:rsidR="008A48B8">
        <w:rPr>
          <w:rFonts w:ascii="Times New Roman" w:hAnsi="Times New Roman" w:cs="Times New Roman"/>
          <w:sz w:val="24"/>
          <w:szCs w:val="24"/>
        </w:rPr>
        <w:fldChar w:fldCharType="end"/>
      </w:r>
      <w:r w:rsidR="00837D3B" w:rsidRPr="00C907FC">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 xml:space="preserve">argued that in cities such as New York, so-called "essential workers" constitute a population made up mostly of vulnerable people, mainly African Americans and Hispanics, so these communities' exposure to the virus is greater. Also in the United States, an ecological study on the distribution of mortality related to COVID-19 in the city </w:t>
      </w:r>
      <w:r w:rsidR="00C907FC" w:rsidRPr="00B066BE">
        <w:rPr>
          <w:rFonts w:ascii="Times New Roman" w:hAnsi="Times New Roman" w:cs="Times New Roman"/>
          <w:sz w:val="24"/>
          <w:szCs w:val="24"/>
          <w:lang w:val="en-US"/>
        </w:rPr>
        <w:lastRenderedPageBreak/>
        <w:t>of Chicago</w:t>
      </w:r>
      <w:r w:rsidR="00726E11" w:rsidRPr="00C907FC">
        <w:rPr>
          <w:rFonts w:ascii="Times New Roman" w:hAnsi="Times New Roman" w:cs="Times New Roman"/>
          <w:sz w:val="24"/>
          <w:szCs w:val="24"/>
          <w:lang w:val="en-US"/>
        </w:rPr>
        <w:t xml:space="preserve"> </w:t>
      </w:r>
      <w:r w:rsidR="00223AF7">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223AF7">
        <w:rPr>
          <w:rFonts w:ascii="Times New Roman" w:hAnsi="Times New Roman" w:cs="Times New Roman"/>
          <w:sz w:val="24"/>
          <w:szCs w:val="24"/>
        </w:rPr>
        <w:fldChar w:fldCharType="separate"/>
      </w:r>
      <w:r w:rsidR="00223AF7" w:rsidRPr="00C907FC">
        <w:rPr>
          <w:rFonts w:ascii="Times New Roman" w:hAnsi="Times New Roman" w:cs="Times New Roman"/>
          <w:noProof/>
          <w:sz w:val="24"/>
          <w:szCs w:val="24"/>
          <w:lang w:val="en-US"/>
        </w:rPr>
        <w:t>(10)</w:t>
      </w:r>
      <w:r w:rsidR="00223AF7">
        <w:rPr>
          <w:rFonts w:ascii="Times New Roman" w:hAnsi="Times New Roman" w:cs="Times New Roman"/>
          <w:sz w:val="24"/>
          <w:szCs w:val="24"/>
        </w:rPr>
        <w:fldChar w:fldCharType="end"/>
      </w:r>
      <w:r w:rsidR="00C907FC" w:rsidRPr="00B066BE">
        <w:rPr>
          <w:rFonts w:ascii="Times New Roman" w:hAnsi="Times New Roman" w:cs="Times New Roman"/>
          <w:sz w:val="24"/>
          <w:szCs w:val="24"/>
          <w:lang w:val="en-US"/>
        </w:rPr>
        <w:t xml:space="preserve"> showed how mortality was mainly concentrated in areas where African-American communities predominated. They proposed, based on the results, the higher prevalence of chronic diseases and persistent social inequities as possible explanatory factors for this phenomenon. In the same </w:t>
      </w:r>
      <w:r w:rsidR="004F5494">
        <w:rPr>
          <w:rFonts w:ascii="Times New Roman" w:hAnsi="Times New Roman" w:cs="Times New Roman"/>
          <w:sz w:val="24"/>
          <w:szCs w:val="24"/>
          <w:lang w:val="en-US"/>
        </w:rPr>
        <w:t>direction</w:t>
      </w:r>
      <w:r w:rsidR="00C907FC" w:rsidRPr="00B066BE">
        <w:rPr>
          <w:rFonts w:ascii="Times New Roman" w:hAnsi="Times New Roman" w:cs="Times New Roman"/>
          <w:sz w:val="24"/>
          <w:szCs w:val="24"/>
          <w:lang w:val="en-US"/>
        </w:rPr>
        <w:t>, the study by Blundell et al</w:t>
      </w:r>
      <w:r w:rsidR="0083747C" w:rsidRPr="00C907FC">
        <w:rPr>
          <w:rFonts w:ascii="Times New Roman" w:hAnsi="Times New Roman" w:cs="Times New Roman"/>
          <w:sz w:val="24"/>
          <w:szCs w:val="24"/>
          <w:lang w:val="en-US"/>
        </w:rPr>
        <w:t xml:space="preserve"> </w:t>
      </w:r>
      <w:r w:rsidR="00223AF7">
        <w:rPr>
          <w:rFonts w:ascii="Times New Roman" w:hAnsi="Times New Roman" w:cs="Times New Roman"/>
          <w:sz w:val="24"/>
          <w:szCs w:val="24"/>
        </w:rPr>
        <w:fldChar w:fldCharType="begin" w:fldLock="1"/>
      </w:r>
      <w:r w:rsidR="00223AF7" w:rsidRPr="00C907FC">
        <w:rPr>
          <w:rFonts w:ascii="Times New Roman" w:hAnsi="Times New Roman" w:cs="Times New Roman"/>
          <w:sz w:val="24"/>
          <w:szCs w:val="24"/>
          <w:lang w:val="en-US"/>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223AF7">
        <w:rPr>
          <w:rFonts w:ascii="Times New Roman" w:hAnsi="Times New Roman" w:cs="Times New Roman"/>
          <w:sz w:val="24"/>
          <w:szCs w:val="24"/>
        </w:rPr>
        <w:fldChar w:fldCharType="separate"/>
      </w:r>
      <w:r w:rsidR="00223AF7" w:rsidRPr="00C907FC">
        <w:rPr>
          <w:rFonts w:ascii="Times New Roman" w:hAnsi="Times New Roman" w:cs="Times New Roman"/>
          <w:noProof/>
          <w:sz w:val="24"/>
          <w:szCs w:val="24"/>
          <w:lang w:val="en-US"/>
        </w:rPr>
        <w:t>(11)</w:t>
      </w:r>
      <w:r w:rsidR="00223AF7">
        <w:rPr>
          <w:rFonts w:ascii="Times New Roman" w:hAnsi="Times New Roman" w:cs="Times New Roman"/>
          <w:sz w:val="24"/>
          <w:szCs w:val="24"/>
        </w:rPr>
        <w:fldChar w:fldCharType="end"/>
      </w:r>
      <w:r w:rsidR="0083747C" w:rsidRPr="00C907FC">
        <w:rPr>
          <w:rFonts w:ascii="Times New Roman" w:hAnsi="Times New Roman" w:cs="Times New Roman"/>
          <w:sz w:val="24"/>
          <w:szCs w:val="24"/>
          <w:lang w:val="en-US"/>
        </w:rPr>
        <w:t xml:space="preserve"> </w:t>
      </w:r>
      <w:r w:rsidR="00C907FC" w:rsidRPr="00B066BE">
        <w:rPr>
          <w:rFonts w:ascii="Times New Roman" w:hAnsi="Times New Roman" w:cs="Times New Roman"/>
          <w:sz w:val="24"/>
          <w:szCs w:val="24"/>
          <w:lang w:val="en-US"/>
        </w:rPr>
        <w:t>in the United Kingdom showed that mortality from COVID-19 in the top 10% of deprived areas was double that of the top 10%. Moreover, for mortality from COVID-19 the inequality between these two extremes was even greater for overall mortality.</w:t>
      </w:r>
    </w:p>
    <w:p w:rsidR="004F5494" w:rsidRDefault="004F5494" w:rsidP="004F5494">
      <w:pPr>
        <w:spacing w:after="0" w:line="480" w:lineRule="auto"/>
        <w:jc w:val="both"/>
        <w:rPr>
          <w:rFonts w:ascii="Times New Roman" w:hAnsi="Times New Roman" w:cs="Times New Roman"/>
          <w:sz w:val="24"/>
          <w:szCs w:val="24"/>
          <w:lang w:val="en-US"/>
        </w:rPr>
      </w:pP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In Barcelona, a study by districts showed a high association between socio-demographic variables and incidence of COVID-19. In particular, it should be noted that the </w:t>
      </w:r>
      <w:proofErr w:type="spellStart"/>
      <w:r w:rsidRPr="00C907FC">
        <w:rPr>
          <w:rFonts w:ascii="Times New Roman" w:hAnsi="Times New Roman" w:cs="Times New Roman"/>
          <w:sz w:val="24"/>
          <w:szCs w:val="24"/>
          <w:lang w:val="en-US"/>
        </w:rPr>
        <w:t>Baena-Díez</w:t>
      </w:r>
      <w:proofErr w:type="spellEnd"/>
      <w:r w:rsidRPr="00C907FC">
        <w:rPr>
          <w:rFonts w:ascii="Times New Roman" w:hAnsi="Times New Roman" w:cs="Times New Roman"/>
          <w:sz w:val="24"/>
          <w:szCs w:val="24"/>
          <w:lang w:val="en-US"/>
        </w:rPr>
        <w:t xml:space="preserve"> study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(12)</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showed a high correlation between average community income and incidence rates (Spearman's Rho = 0.83).</w:t>
      </w:r>
    </w:p>
    <w:p w:rsidR="004F5494" w:rsidRPr="00C907FC" w:rsidRDefault="004F5494" w:rsidP="0016684F">
      <w:pPr>
        <w:spacing w:after="0" w:line="480" w:lineRule="auto"/>
        <w:contextualSpacing/>
        <w:jc w:val="both"/>
        <w:rPr>
          <w:rFonts w:ascii="Times New Roman" w:hAnsi="Times New Roman" w:cs="Times New Roman"/>
          <w:sz w:val="24"/>
          <w:szCs w:val="24"/>
          <w:lang w:val="en-US"/>
        </w:rPr>
      </w:pP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Although no empirical studies that quantify the unequal impact of </w:t>
      </w:r>
      <w:r w:rsidR="004F5494">
        <w:rPr>
          <w:rFonts w:ascii="Times New Roman" w:hAnsi="Times New Roman" w:cs="Times New Roman"/>
          <w:sz w:val="24"/>
          <w:szCs w:val="24"/>
          <w:lang w:val="en-US"/>
        </w:rPr>
        <w:t>morbidity and mortality</w:t>
      </w:r>
      <w:r w:rsidRPr="00C907FC">
        <w:rPr>
          <w:rFonts w:ascii="Times New Roman" w:hAnsi="Times New Roman" w:cs="Times New Roman"/>
          <w:sz w:val="24"/>
          <w:szCs w:val="24"/>
          <w:lang w:val="en-US"/>
        </w:rPr>
        <w:t xml:space="preserve"> </w:t>
      </w:r>
      <w:r w:rsidR="004F5494">
        <w:rPr>
          <w:rFonts w:ascii="Times New Roman" w:hAnsi="Times New Roman" w:cs="Times New Roman"/>
          <w:sz w:val="24"/>
          <w:szCs w:val="24"/>
          <w:lang w:val="en-US"/>
        </w:rPr>
        <w:t>due to</w:t>
      </w:r>
      <w:r w:rsidRPr="00C907FC">
        <w:rPr>
          <w:rFonts w:ascii="Times New Roman" w:hAnsi="Times New Roman" w:cs="Times New Roman"/>
          <w:sz w:val="24"/>
          <w:szCs w:val="24"/>
          <w:lang w:val="en-US"/>
        </w:rPr>
        <w:t xml:space="preserve"> COVID-19 in Latin American cities </w:t>
      </w:r>
      <w:proofErr w:type="gramStart"/>
      <w:r w:rsidRPr="00C907FC">
        <w:rPr>
          <w:rFonts w:ascii="Times New Roman" w:hAnsi="Times New Roman" w:cs="Times New Roman"/>
          <w:sz w:val="24"/>
          <w:szCs w:val="24"/>
          <w:lang w:val="en-US"/>
        </w:rPr>
        <w:t>were observed</w:t>
      </w:r>
      <w:proofErr w:type="gramEnd"/>
      <w:r w:rsidRPr="00C907FC">
        <w:rPr>
          <w:rFonts w:ascii="Times New Roman" w:hAnsi="Times New Roman" w:cs="Times New Roman"/>
          <w:sz w:val="24"/>
          <w:szCs w:val="24"/>
          <w:lang w:val="en-US"/>
        </w:rPr>
        <w:t xml:space="preserve">, the potential differential impact of the pandemic on different dimensions of social life in large Latin American cities that previously presented high degrees of inequity was noted in the literature. </w:t>
      </w:r>
      <w:proofErr w:type="spellStart"/>
      <w:r w:rsidRPr="00C907FC">
        <w:rPr>
          <w:rFonts w:ascii="Times New Roman" w:hAnsi="Times New Roman" w:cs="Times New Roman"/>
          <w:sz w:val="24"/>
          <w:szCs w:val="24"/>
          <w:lang w:val="en-US"/>
        </w:rPr>
        <w:t>Diez</w:t>
      </w:r>
      <w:proofErr w:type="spellEnd"/>
      <w:r w:rsidRPr="00C907FC">
        <w:rPr>
          <w:rFonts w:ascii="Times New Roman" w:hAnsi="Times New Roman" w:cs="Times New Roman"/>
          <w:sz w:val="24"/>
          <w:szCs w:val="24"/>
          <w:lang w:val="en-US"/>
        </w:rPr>
        <w:t xml:space="preserve">-Roux et al.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Pr="00C907FC">
        <w:rPr>
          <w:rFonts w:ascii="Times New Roman" w:hAnsi="Times New Roman" w:cs="Times New Roman"/>
          <w:sz w:val="24"/>
          <w:szCs w:val="24"/>
          <w:lang w:val="en-US"/>
        </w:rPr>
        <w:t xml:space="preserve">argued that there are phenomena whose consequences exceed the impact of COVID-19 infections, overlapping with pre-existing conditions of inequity. Thus, in addition to the impact on the health of infected people, there are socioeconomic consequences of unemployment, loss of income, delays in the care of other health conditions, etc. In the same </w:t>
      </w:r>
      <w:r w:rsidR="004F5494">
        <w:rPr>
          <w:rFonts w:ascii="Times New Roman" w:hAnsi="Times New Roman" w:cs="Times New Roman"/>
          <w:sz w:val="24"/>
          <w:szCs w:val="24"/>
          <w:lang w:val="en-US"/>
        </w:rPr>
        <w:t>direction</w:t>
      </w:r>
      <w:r w:rsidRPr="00C907FC">
        <w:rPr>
          <w:rFonts w:ascii="Times New Roman" w:hAnsi="Times New Roman" w:cs="Times New Roman"/>
          <w:sz w:val="24"/>
          <w:szCs w:val="24"/>
          <w:lang w:val="en-US"/>
        </w:rPr>
        <w:t xml:space="preserve">, Patel and others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(14)</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associated the phrase "the virus does not discriminate", occasionall</w:t>
      </w:r>
      <w:r>
        <w:rPr>
          <w:rFonts w:ascii="Times New Roman" w:hAnsi="Times New Roman" w:cs="Times New Roman"/>
          <w:sz w:val="24"/>
          <w:szCs w:val="24"/>
          <w:lang w:val="en-US"/>
        </w:rPr>
        <w:t>y repeated by political leaders,</w:t>
      </w:r>
      <w:r w:rsidRPr="00C907FC">
        <w:rPr>
          <w:rFonts w:ascii="Times New Roman" w:hAnsi="Times New Roman" w:cs="Times New Roman"/>
          <w:sz w:val="24"/>
          <w:szCs w:val="24"/>
          <w:lang w:val="en-US"/>
        </w:rPr>
        <w:t xml:space="preserve"> </w:t>
      </w:r>
      <w:r w:rsidR="004F5494" w:rsidRPr="004F5494">
        <w:rPr>
          <w:rFonts w:ascii="Times New Roman" w:hAnsi="Times New Roman" w:cs="Times New Roman"/>
          <w:sz w:val="24"/>
          <w:szCs w:val="24"/>
          <w:lang w:val="en-US"/>
        </w:rPr>
        <w:t>public health experts</w:t>
      </w:r>
      <w:r w:rsidRPr="00C907FC">
        <w:rPr>
          <w:rFonts w:ascii="Times New Roman" w:hAnsi="Times New Roman" w:cs="Times New Roman"/>
          <w:sz w:val="24"/>
          <w:szCs w:val="24"/>
          <w:lang w:val="en-US"/>
        </w:rPr>
        <w:t xml:space="preserve"> and </w:t>
      </w:r>
      <w:r w:rsidR="004F5494">
        <w:rPr>
          <w:rFonts w:ascii="Times New Roman" w:hAnsi="Times New Roman" w:cs="Times New Roman"/>
          <w:sz w:val="24"/>
          <w:szCs w:val="24"/>
          <w:lang w:val="en-US"/>
        </w:rPr>
        <w:t>journalists</w:t>
      </w:r>
      <w:r w:rsidRPr="00C907FC">
        <w:rPr>
          <w:rFonts w:ascii="Times New Roman" w:hAnsi="Times New Roman" w:cs="Times New Roman"/>
          <w:sz w:val="24"/>
          <w:szCs w:val="24"/>
          <w:lang w:val="en-US"/>
        </w:rPr>
        <w:t xml:space="preserve"> to a kind of "myth" that makes invisible the different degrees of vulnerability of the populations. </w:t>
      </w:r>
    </w:p>
    <w:p w:rsidR="00C907FC"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lastRenderedPageBreak/>
        <w:t>Another relevant reference represents the study by Cam</w:t>
      </w:r>
      <w:r>
        <w:rPr>
          <w:rFonts w:ascii="Times New Roman" w:hAnsi="Times New Roman" w:cs="Times New Roman"/>
          <w:sz w:val="24"/>
          <w:szCs w:val="24"/>
          <w:lang w:val="en-US"/>
        </w:rPr>
        <w:t>p</w:t>
      </w:r>
      <w:r w:rsidRPr="00C907FC">
        <w:rPr>
          <w:rFonts w:ascii="Times New Roman" w:hAnsi="Times New Roman" w:cs="Times New Roman"/>
          <w:sz w:val="24"/>
          <w:szCs w:val="24"/>
          <w:lang w:val="en-US"/>
        </w:rPr>
        <w:t xml:space="preserve">bell and Campbell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Campbell","given":"T","non-dropping-particle":"","parse-names":false,"suffix":""},{"dropping-particle":"","family":"Campbell","given":"A","non-dropping-particle":"","parse-names":false,"suffix":""}],"container-title":"Journal of Urban Health: Bulletin of the New York Academy of Medicine","id":"ITEM-1","issue":"1","issued":{"date-parts":[["2007"]]},"page":"54-64","title":"Emerging Disease Burdens and the Poor in Cities of the Developing World","type":"article-journal","volume":"84"},"uris":["http://www.mendeley.com/documents/?uuid=c3d680dd-f7e7-4991-8655-c961499d69ef"]}],"mendeley":{"formattedCitation":"(15)","plainTextFormattedCitation":"(15)","previouslyFormattedCitation":"(15)"},"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(15)</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where the phenomenon of urbanization was problematized and features of large urban agglomerates were noted as factors of negative influence on the health of populations prior to the pandemic. High population density, overcrowding in unsafe settlements, poverty and aging, among others, would constitute factors of vulnerability for populations to the emergence and re-emergence of infectious diseases.</w:t>
      </w:r>
      <w:r w:rsidR="00035090" w:rsidRPr="00C907FC">
        <w:rPr>
          <w:rFonts w:ascii="Times New Roman" w:hAnsi="Times New Roman" w:cs="Times New Roman"/>
          <w:sz w:val="24"/>
          <w:szCs w:val="24"/>
          <w:lang w:val="en-US"/>
        </w:rPr>
        <w:tab/>
      </w:r>
    </w:p>
    <w:p w:rsidR="00F138DB" w:rsidRDefault="00F138DB" w:rsidP="0016684F">
      <w:pPr>
        <w:spacing w:after="0" w:line="480" w:lineRule="auto"/>
        <w:contextualSpacing/>
        <w:jc w:val="both"/>
        <w:rPr>
          <w:rFonts w:ascii="Times New Roman" w:hAnsi="Times New Roman" w:cs="Times New Roman"/>
          <w:sz w:val="24"/>
          <w:szCs w:val="24"/>
          <w:lang w:val="en-US"/>
        </w:rPr>
      </w:pPr>
    </w:p>
    <w:p w:rsidR="00F138DB" w:rsidRDefault="00C907FC" w:rsidP="0016684F">
      <w:pPr>
        <w:spacing w:after="0" w:line="480" w:lineRule="auto"/>
        <w:contextualSpacing/>
        <w:jc w:val="both"/>
        <w:rPr>
          <w:rFonts w:ascii="Times New Roman" w:hAnsi="Times New Roman" w:cs="Times New Roman"/>
          <w:sz w:val="24"/>
          <w:szCs w:val="24"/>
          <w:lang w:val="en-US"/>
        </w:rPr>
      </w:pPr>
      <w:r w:rsidRPr="00C907FC">
        <w:rPr>
          <w:rFonts w:ascii="Times New Roman" w:hAnsi="Times New Roman" w:cs="Times New Roman"/>
          <w:sz w:val="24"/>
          <w:szCs w:val="24"/>
          <w:lang w:val="en-US"/>
        </w:rPr>
        <w:t xml:space="preserve">The inequality in the availability of information between countries and subnational areas </w:t>
      </w:r>
      <w:proofErr w:type="gramStart"/>
      <w:r w:rsidRPr="00C907FC">
        <w:rPr>
          <w:rFonts w:ascii="Times New Roman" w:hAnsi="Times New Roman" w:cs="Times New Roman"/>
          <w:sz w:val="24"/>
          <w:szCs w:val="24"/>
          <w:lang w:val="en-US"/>
        </w:rPr>
        <w:t>should also be highlighted</w:t>
      </w:r>
      <w:proofErr w:type="gramEnd"/>
      <w:r w:rsidR="00F138DB">
        <w:rPr>
          <w:rFonts w:ascii="Times New Roman" w:hAnsi="Times New Roman" w:cs="Times New Roman"/>
          <w:sz w:val="24"/>
          <w:szCs w:val="24"/>
          <w:lang w:val="en-US"/>
        </w:rPr>
        <w:t xml:space="preserve"> because it</w:t>
      </w:r>
      <w:r w:rsidRPr="00C907FC">
        <w:rPr>
          <w:rFonts w:ascii="Times New Roman" w:hAnsi="Times New Roman" w:cs="Times New Roman"/>
          <w:sz w:val="24"/>
          <w:szCs w:val="24"/>
          <w:lang w:val="en-US"/>
        </w:rPr>
        <w:t xml:space="preserve"> determines different levels of coverage, completeness and specificity of the statistics. </w:t>
      </w:r>
      <w:r w:rsidR="00F138DB">
        <w:rPr>
          <w:rFonts w:ascii="Times New Roman" w:hAnsi="Times New Roman" w:cs="Times New Roman"/>
          <w:sz w:val="24"/>
          <w:szCs w:val="24"/>
          <w:lang w:val="en-US"/>
        </w:rPr>
        <w:t>Per-capita</w:t>
      </w:r>
      <w:r w:rsidRPr="00C907FC">
        <w:rPr>
          <w:rFonts w:ascii="Times New Roman" w:hAnsi="Times New Roman" w:cs="Times New Roman"/>
          <w:sz w:val="24"/>
          <w:szCs w:val="24"/>
          <w:lang w:val="en-US"/>
        </w:rPr>
        <w:t xml:space="preserve"> indicators </w:t>
      </w:r>
      <w:proofErr w:type="gramStart"/>
      <w:r w:rsidRPr="00C907FC">
        <w:rPr>
          <w:rFonts w:ascii="Times New Roman" w:hAnsi="Times New Roman" w:cs="Times New Roman"/>
          <w:sz w:val="24"/>
          <w:szCs w:val="24"/>
          <w:lang w:val="en-US"/>
        </w:rPr>
        <w:t>are commonly disseminated</w:t>
      </w:r>
      <w:proofErr w:type="gramEnd"/>
      <w:r w:rsidRPr="00C907FC">
        <w:rPr>
          <w:rFonts w:ascii="Times New Roman" w:hAnsi="Times New Roman" w:cs="Times New Roman"/>
          <w:sz w:val="24"/>
          <w:szCs w:val="24"/>
          <w:lang w:val="en-US"/>
        </w:rPr>
        <w:t xml:space="preserve"> as a measure of epidemiological phenomena, particularly mortality. In this aspect, the study by </w:t>
      </w:r>
      <w:proofErr w:type="spellStart"/>
      <w:r w:rsidRPr="00C907FC">
        <w:rPr>
          <w:rFonts w:ascii="Times New Roman" w:hAnsi="Times New Roman" w:cs="Times New Roman"/>
          <w:sz w:val="24"/>
          <w:szCs w:val="24"/>
          <w:lang w:val="en-US"/>
        </w:rPr>
        <w:t>Heuveline</w:t>
      </w:r>
      <w:proofErr w:type="spellEnd"/>
      <w:r w:rsidRPr="00C907FC">
        <w:rPr>
          <w:rFonts w:ascii="Times New Roman" w:hAnsi="Times New Roman" w:cs="Times New Roman"/>
          <w:sz w:val="24"/>
          <w:szCs w:val="24"/>
          <w:lang w:val="en-US"/>
        </w:rPr>
        <w:t xml:space="preserve"> and </w:t>
      </w:r>
      <w:proofErr w:type="spellStart"/>
      <w:r w:rsidRPr="00C907FC">
        <w:rPr>
          <w:rFonts w:ascii="Times New Roman" w:hAnsi="Times New Roman" w:cs="Times New Roman"/>
          <w:sz w:val="24"/>
          <w:szCs w:val="24"/>
          <w:lang w:val="en-US"/>
        </w:rPr>
        <w:t>Tzen</w:t>
      </w:r>
      <w:proofErr w:type="spellEnd"/>
      <w:r w:rsidRPr="00C907FC">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63065E">
        <w:rPr>
          <w:rFonts w:ascii="Times New Roman" w:hAnsi="Times New Roman" w:cs="Times New Roman"/>
          <w:sz w:val="24"/>
          <w:szCs w:val="24"/>
          <w:lang w:val="en-US"/>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C907FC">
        <w:rPr>
          <w:rFonts w:ascii="Times New Roman" w:hAnsi="Times New Roman" w:cs="Times New Roman"/>
          <w:noProof/>
          <w:sz w:val="24"/>
          <w:szCs w:val="24"/>
          <w:lang w:val="en-US"/>
        </w:rPr>
        <w:t>(16)</w:t>
      </w:r>
      <w:r>
        <w:rPr>
          <w:rFonts w:ascii="Times New Roman" w:hAnsi="Times New Roman" w:cs="Times New Roman"/>
          <w:sz w:val="24"/>
          <w:szCs w:val="24"/>
          <w:lang w:val="en-US"/>
        </w:rPr>
        <w:fldChar w:fldCharType="end"/>
      </w:r>
      <w:r w:rsidRPr="00C907FC">
        <w:rPr>
          <w:rFonts w:ascii="Times New Roman" w:hAnsi="Times New Roman" w:cs="Times New Roman"/>
          <w:sz w:val="24"/>
          <w:szCs w:val="24"/>
          <w:lang w:val="en-US"/>
        </w:rPr>
        <w:t xml:space="preserve"> represents a fundamental contribution in methodological terms, since it highlights the </w:t>
      </w:r>
      <w:r w:rsidR="00F138DB">
        <w:rPr>
          <w:rFonts w:ascii="Times New Roman" w:hAnsi="Times New Roman" w:cs="Times New Roman"/>
          <w:sz w:val="24"/>
          <w:szCs w:val="24"/>
          <w:lang w:val="en-US"/>
        </w:rPr>
        <w:t>relevance</w:t>
      </w:r>
      <w:r w:rsidRPr="00C907FC">
        <w:rPr>
          <w:rFonts w:ascii="Times New Roman" w:hAnsi="Times New Roman" w:cs="Times New Roman"/>
          <w:sz w:val="24"/>
          <w:szCs w:val="24"/>
          <w:lang w:val="en-US"/>
        </w:rPr>
        <w:t xml:space="preserve"> </w:t>
      </w:r>
      <w:r w:rsidR="00F138DB">
        <w:rPr>
          <w:rFonts w:ascii="Times New Roman" w:hAnsi="Times New Roman" w:cs="Times New Roman"/>
          <w:sz w:val="24"/>
          <w:szCs w:val="24"/>
          <w:lang w:val="en-US"/>
        </w:rPr>
        <w:t>of</w:t>
      </w:r>
      <w:r w:rsidRPr="00C907FC">
        <w:rPr>
          <w:rFonts w:ascii="Times New Roman" w:hAnsi="Times New Roman" w:cs="Times New Roman"/>
          <w:sz w:val="24"/>
          <w:szCs w:val="24"/>
          <w:lang w:val="en-US"/>
        </w:rPr>
        <w:t xml:space="preserve"> adjust factors of confusion (demographic structure and time elapsed since the beginning of the epidemic) for the assessment of the impact of the pandemic on different populations. The young</w:t>
      </w:r>
      <w:r w:rsidR="00F138DB">
        <w:rPr>
          <w:rFonts w:ascii="Times New Roman" w:hAnsi="Times New Roman" w:cs="Times New Roman"/>
          <w:sz w:val="24"/>
          <w:szCs w:val="24"/>
          <w:lang w:val="en-US"/>
        </w:rPr>
        <w:t>er</w:t>
      </w:r>
      <w:r w:rsidRPr="00C907FC">
        <w:rPr>
          <w:rFonts w:ascii="Times New Roman" w:hAnsi="Times New Roman" w:cs="Times New Roman"/>
          <w:sz w:val="24"/>
          <w:szCs w:val="24"/>
          <w:lang w:val="en-US"/>
        </w:rPr>
        <w:t xml:space="preserve"> demographic structure</w:t>
      </w:r>
      <w:r w:rsidR="00F138DB">
        <w:rPr>
          <w:rFonts w:ascii="Times New Roman" w:hAnsi="Times New Roman" w:cs="Times New Roman"/>
          <w:sz w:val="24"/>
          <w:szCs w:val="24"/>
          <w:lang w:val="en-US"/>
        </w:rPr>
        <w:t>s</w:t>
      </w:r>
      <w:r w:rsidRPr="00C907FC">
        <w:rPr>
          <w:rFonts w:ascii="Times New Roman" w:hAnsi="Times New Roman" w:cs="Times New Roman"/>
          <w:sz w:val="24"/>
          <w:szCs w:val="24"/>
          <w:lang w:val="en-US"/>
        </w:rPr>
        <w:t xml:space="preserve"> </w:t>
      </w:r>
      <w:r w:rsidR="00F138DB">
        <w:rPr>
          <w:rFonts w:ascii="Times New Roman" w:hAnsi="Times New Roman" w:cs="Times New Roman"/>
          <w:sz w:val="24"/>
          <w:szCs w:val="24"/>
          <w:lang w:val="en-US"/>
        </w:rPr>
        <w:t>are</w:t>
      </w:r>
      <w:r w:rsidRPr="00C907FC">
        <w:rPr>
          <w:rFonts w:ascii="Times New Roman" w:hAnsi="Times New Roman" w:cs="Times New Roman"/>
          <w:sz w:val="24"/>
          <w:szCs w:val="24"/>
          <w:lang w:val="en-US"/>
        </w:rPr>
        <w:t xml:space="preserve"> generally associated with populations </w:t>
      </w:r>
      <w:r w:rsidR="00F138DB">
        <w:rPr>
          <w:rFonts w:ascii="Times New Roman" w:hAnsi="Times New Roman" w:cs="Times New Roman"/>
          <w:sz w:val="24"/>
          <w:szCs w:val="24"/>
          <w:lang w:val="en-US"/>
        </w:rPr>
        <w:t xml:space="preserve">having </w:t>
      </w:r>
      <w:r w:rsidRPr="00C907FC">
        <w:rPr>
          <w:rFonts w:ascii="Times New Roman" w:hAnsi="Times New Roman" w:cs="Times New Roman"/>
          <w:sz w:val="24"/>
          <w:szCs w:val="24"/>
          <w:lang w:val="en-US"/>
        </w:rPr>
        <w:t>high levels of deprivation and mask</w:t>
      </w:r>
      <w:r w:rsidR="00F138DB">
        <w:rPr>
          <w:rFonts w:ascii="Times New Roman" w:hAnsi="Times New Roman" w:cs="Times New Roman"/>
          <w:sz w:val="24"/>
          <w:szCs w:val="24"/>
          <w:lang w:val="en-US"/>
        </w:rPr>
        <w:t>s</w:t>
      </w:r>
      <w:r w:rsidRPr="00C907FC">
        <w:rPr>
          <w:rFonts w:ascii="Times New Roman" w:hAnsi="Times New Roman" w:cs="Times New Roman"/>
          <w:sz w:val="24"/>
          <w:szCs w:val="24"/>
          <w:lang w:val="en-US"/>
        </w:rPr>
        <w:t>, because of the confounding effect of the age distribution on the population, the level of harm from mortality, determining low crude death rates, for example.</w:t>
      </w:r>
      <w:r w:rsidRPr="00296331">
        <w:rPr>
          <w:rFonts w:ascii="Times New Roman" w:hAnsi="Times New Roman" w:cs="Times New Roman"/>
          <w:sz w:val="24"/>
          <w:szCs w:val="24"/>
          <w:lang w:val="en-US"/>
        </w:rPr>
        <w:t xml:space="preserve"> </w:t>
      </w:r>
    </w:p>
    <w:p w:rsidR="00D57FBD" w:rsidRDefault="00296331" w:rsidP="0016684F">
      <w:pPr>
        <w:spacing w:after="0" w:line="480" w:lineRule="auto"/>
        <w:contextualSpacing/>
        <w:jc w:val="both"/>
        <w:rPr>
          <w:rFonts w:ascii="Times New Roman" w:hAnsi="Times New Roman" w:cs="Times New Roman"/>
          <w:sz w:val="24"/>
          <w:szCs w:val="24"/>
          <w:lang w:val="en-US"/>
        </w:rPr>
      </w:pPr>
      <w:r w:rsidRPr="00296331">
        <w:rPr>
          <w:rFonts w:ascii="Times New Roman" w:hAnsi="Times New Roman" w:cs="Times New Roman"/>
          <w:sz w:val="24"/>
          <w:szCs w:val="24"/>
          <w:lang w:val="en-US"/>
        </w:rPr>
        <w:t>The objective of this study was to describe the morbi</w:t>
      </w:r>
      <w:r w:rsidR="00F138DB">
        <w:rPr>
          <w:rFonts w:ascii="Times New Roman" w:hAnsi="Times New Roman" w:cs="Times New Roman"/>
          <w:sz w:val="24"/>
          <w:szCs w:val="24"/>
          <w:lang w:val="en-US"/>
        </w:rPr>
        <w:t xml:space="preserve">dity and </w:t>
      </w:r>
      <w:r w:rsidRPr="00296331">
        <w:rPr>
          <w:rFonts w:ascii="Times New Roman" w:hAnsi="Times New Roman" w:cs="Times New Roman"/>
          <w:sz w:val="24"/>
          <w:szCs w:val="24"/>
          <w:lang w:val="en-US"/>
        </w:rPr>
        <w:t xml:space="preserve">mortality </w:t>
      </w:r>
      <w:r w:rsidR="00F138DB">
        <w:rPr>
          <w:rFonts w:ascii="Times New Roman" w:hAnsi="Times New Roman" w:cs="Times New Roman"/>
          <w:sz w:val="24"/>
          <w:szCs w:val="24"/>
          <w:lang w:val="en-US"/>
        </w:rPr>
        <w:t>due to</w:t>
      </w:r>
      <w:r w:rsidRPr="00296331">
        <w:rPr>
          <w:rFonts w:ascii="Times New Roman" w:hAnsi="Times New Roman" w:cs="Times New Roman"/>
          <w:sz w:val="24"/>
          <w:szCs w:val="24"/>
          <w:lang w:val="en-US"/>
        </w:rPr>
        <w:t xml:space="preserve"> COVID-19 in the CABA and to quantify the level of inequality observed among the </w:t>
      </w:r>
      <w:r w:rsidR="00F138DB">
        <w:rPr>
          <w:rFonts w:ascii="Times New Roman" w:hAnsi="Times New Roman" w:cs="Times New Roman"/>
          <w:sz w:val="24"/>
          <w:szCs w:val="24"/>
          <w:lang w:val="en-US"/>
        </w:rPr>
        <w:t>wards</w:t>
      </w:r>
      <w:r w:rsidRPr="00296331">
        <w:rPr>
          <w:rFonts w:ascii="Times New Roman" w:hAnsi="Times New Roman" w:cs="Times New Roman"/>
          <w:sz w:val="24"/>
          <w:szCs w:val="24"/>
          <w:lang w:val="en-US"/>
        </w:rPr>
        <w:t xml:space="preserve"> that compose it. The assumption that guided the description was </w:t>
      </w:r>
      <w:proofErr w:type="gramStart"/>
      <w:r w:rsidRPr="00296331">
        <w:rPr>
          <w:rFonts w:ascii="Times New Roman" w:hAnsi="Times New Roman" w:cs="Times New Roman"/>
          <w:sz w:val="24"/>
          <w:szCs w:val="24"/>
          <w:lang w:val="en-US"/>
        </w:rPr>
        <w:t>based on the fact that</w:t>
      </w:r>
      <w:proofErr w:type="gramEnd"/>
      <w:r w:rsidRPr="00296331">
        <w:rPr>
          <w:rFonts w:ascii="Times New Roman" w:hAnsi="Times New Roman" w:cs="Times New Roman"/>
          <w:sz w:val="24"/>
          <w:szCs w:val="24"/>
          <w:lang w:val="en-US"/>
        </w:rPr>
        <w:t xml:space="preserve"> the unequal distribution of </w:t>
      </w:r>
      <w:r w:rsidR="00F138DB">
        <w:rPr>
          <w:rFonts w:ascii="Times New Roman" w:hAnsi="Times New Roman" w:cs="Times New Roman"/>
          <w:sz w:val="24"/>
          <w:szCs w:val="24"/>
          <w:lang w:val="en-US"/>
        </w:rPr>
        <w:t>morbidity and mortality</w:t>
      </w:r>
      <w:r w:rsidRPr="00296331">
        <w:rPr>
          <w:rFonts w:ascii="Times New Roman" w:hAnsi="Times New Roman" w:cs="Times New Roman"/>
          <w:sz w:val="24"/>
          <w:szCs w:val="24"/>
          <w:lang w:val="en-US"/>
        </w:rPr>
        <w:t xml:space="preserve"> indicators represents a greater negative impact in the southern zone of the city, which integrates the lowest income </w:t>
      </w:r>
      <w:r w:rsidR="00F138DB">
        <w:rPr>
          <w:rFonts w:ascii="Times New Roman" w:hAnsi="Times New Roman" w:cs="Times New Roman"/>
          <w:sz w:val="24"/>
          <w:szCs w:val="24"/>
          <w:lang w:val="en-US"/>
        </w:rPr>
        <w:t>wards</w:t>
      </w:r>
      <w:r w:rsidRPr="00296331">
        <w:rPr>
          <w:rFonts w:ascii="Times New Roman" w:hAnsi="Times New Roman" w:cs="Times New Roman"/>
          <w:sz w:val="24"/>
          <w:szCs w:val="24"/>
          <w:lang w:val="en-US"/>
        </w:rPr>
        <w:t xml:space="preserve"> and is identified in the bibliography as the most neglected area of the city.</w:t>
      </w:r>
    </w:p>
    <w:p w:rsidR="00D57FBD" w:rsidRPr="0063065E" w:rsidRDefault="001C00FB" w:rsidP="0016684F">
      <w:pPr>
        <w:spacing w:after="0" w:line="480" w:lineRule="auto"/>
        <w:contextualSpacing/>
        <w:jc w:val="both"/>
        <w:rPr>
          <w:rFonts w:ascii="Times New Roman" w:hAnsi="Times New Roman" w:cs="Times New Roman"/>
          <w:b/>
          <w:sz w:val="24"/>
          <w:szCs w:val="24"/>
          <w:lang w:val="en-US"/>
        </w:rPr>
      </w:pPr>
      <w:r w:rsidRPr="0063065E">
        <w:rPr>
          <w:rFonts w:ascii="Times New Roman" w:hAnsi="Times New Roman" w:cs="Times New Roman"/>
          <w:b/>
          <w:sz w:val="24"/>
          <w:szCs w:val="24"/>
          <w:lang w:val="en-US"/>
        </w:rPr>
        <w:lastRenderedPageBreak/>
        <w:t>METHODS</w:t>
      </w:r>
    </w:p>
    <w:p w:rsidR="0063065E" w:rsidRDefault="00F138DB" w:rsidP="0016684F">
      <w:pPr>
        <w:spacing w:after="0" w:line="48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The research</w:t>
      </w:r>
      <w:r w:rsidR="0063065E" w:rsidRPr="0063065E">
        <w:rPr>
          <w:rFonts w:ascii="Times New Roman" w:hAnsi="Times New Roman" w:cs="Times New Roman"/>
          <w:sz w:val="24"/>
          <w:szCs w:val="24"/>
          <w:lang w:val="en-US"/>
        </w:rPr>
        <w:t xml:space="preserve"> was an observational study, of descriptive scope, from population aggregates. The temporal </w:t>
      </w:r>
      <w:r>
        <w:rPr>
          <w:rFonts w:ascii="Times New Roman" w:hAnsi="Times New Roman" w:cs="Times New Roman"/>
          <w:sz w:val="24"/>
          <w:szCs w:val="24"/>
          <w:lang w:val="en-US"/>
        </w:rPr>
        <w:t>approach</w:t>
      </w:r>
      <w:r w:rsidR="0063065E" w:rsidRPr="0063065E">
        <w:rPr>
          <w:rFonts w:ascii="Times New Roman" w:hAnsi="Times New Roman" w:cs="Times New Roman"/>
          <w:sz w:val="24"/>
          <w:szCs w:val="24"/>
          <w:lang w:val="en-US"/>
        </w:rPr>
        <w:t xml:space="preserve"> was transversal. The analysis </w:t>
      </w:r>
      <w:r>
        <w:rPr>
          <w:rFonts w:ascii="Times New Roman" w:hAnsi="Times New Roman" w:cs="Times New Roman"/>
          <w:sz w:val="24"/>
          <w:szCs w:val="24"/>
          <w:lang w:val="en-US"/>
        </w:rPr>
        <w:t xml:space="preserve">units </w:t>
      </w:r>
      <w:proofErr w:type="gramStart"/>
      <w:r w:rsidR="0063065E" w:rsidRPr="0063065E">
        <w:rPr>
          <w:rFonts w:ascii="Times New Roman" w:hAnsi="Times New Roman" w:cs="Times New Roman"/>
          <w:sz w:val="24"/>
          <w:szCs w:val="24"/>
          <w:lang w:val="en-US"/>
        </w:rPr>
        <w:t>were represented</w:t>
      </w:r>
      <w:proofErr w:type="gramEnd"/>
      <w:r w:rsidR="0063065E" w:rsidRPr="0063065E">
        <w:rPr>
          <w:rFonts w:ascii="Times New Roman" w:hAnsi="Times New Roman" w:cs="Times New Roman"/>
          <w:sz w:val="24"/>
          <w:szCs w:val="24"/>
          <w:lang w:val="en-US"/>
        </w:rPr>
        <w:t xml:space="preserve"> by each </w:t>
      </w:r>
      <w:r>
        <w:rPr>
          <w:rFonts w:ascii="Times New Roman" w:hAnsi="Times New Roman" w:cs="Times New Roman"/>
          <w:sz w:val="24"/>
          <w:szCs w:val="24"/>
          <w:lang w:val="en-US"/>
        </w:rPr>
        <w:t>ward</w:t>
      </w:r>
      <w:r w:rsidR="0063065E" w:rsidRPr="0063065E">
        <w:rPr>
          <w:rFonts w:ascii="Times New Roman" w:hAnsi="Times New Roman" w:cs="Times New Roman"/>
          <w:sz w:val="24"/>
          <w:szCs w:val="24"/>
          <w:lang w:val="en-US"/>
        </w:rPr>
        <w:t xml:space="preserve"> of </w:t>
      </w:r>
      <w:r>
        <w:rPr>
          <w:rFonts w:ascii="Times New Roman" w:hAnsi="Times New Roman" w:cs="Times New Roman"/>
          <w:sz w:val="24"/>
          <w:szCs w:val="24"/>
          <w:lang w:val="en-US"/>
        </w:rPr>
        <w:t>CABA</w:t>
      </w:r>
      <w:r w:rsidR="0063065E" w:rsidRPr="0063065E">
        <w:rPr>
          <w:rFonts w:ascii="Times New Roman" w:hAnsi="Times New Roman" w:cs="Times New Roman"/>
          <w:sz w:val="24"/>
          <w:szCs w:val="24"/>
          <w:lang w:val="en-US"/>
        </w:rPr>
        <w:t>. The population</w:t>
      </w:r>
      <w:r w:rsidR="00737A37" w:rsidRPr="00737A37">
        <w:rPr>
          <w:rFonts w:ascii="Times New Roman" w:hAnsi="Times New Roman" w:cs="Times New Roman"/>
          <w:sz w:val="24"/>
          <w:szCs w:val="24"/>
          <w:lang w:val="en-US"/>
        </w:rPr>
        <w:t xml:space="preserve"> </w:t>
      </w:r>
      <w:r w:rsidR="00737A37" w:rsidRPr="0063065E">
        <w:rPr>
          <w:rFonts w:ascii="Times New Roman" w:hAnsi="Times New Roman" w:cs="Times New Roman"/>
          <w:sz w:val="24"/>
          <w:szCs w:val="24"/>
          <w:lang w:val="en-US"/>
        </w:rPr>
        <w:t>study</w:t>
      </w:r>
      <w:r w:rsidR="0063065E" w:rsidRPr="0063065E">
        <w:rPr>
          <w:rFonts w:ascii="Times New Roman" w:hAnsi="Times New Roman" w:cs="Times New Roman"/>
          <w:sz w:val="24"/>
          <w:szCs w:val="24"/>
          <w:lang w:val="en-US"/>
        </w:rPr>
        <w:t xml:space="preserve"> </w:t>
      </w:r>
      <w:proofErr w:type="gramStart"/>
      <w:r w:rsidR="0063065E" w:rsidRPr="0063065E">
        <w:rPr>
          <w:rFonts w:ascii="Times New Roman" w:hAnsi="Times New Roman" w:cs="Times New Roman"/>
          <w:sz w:val="24"/>
          <w:szCs w:val="24"/>
          <w:lang w:val="en-US"/>
        </w:rPr>
        <w:t>was made up</w:t>
      </w:r>
      <w:proofErr w:type="gramEnd"/>
      <w:r w:rsidR="0063065E" w:rsidRPr="0063065E">
        <w:rPr>
          <w:rFonts w:ascii="Times New Roman" w:hAnsi="Times New Roman" w:cs="Times New Roman"/>
          <w:sz w:val="24"/>
          <w:szCs w:val="24"/>
          <w:lang w:val="en-US"/>
        </w:rPr>
        <w:t xml:space="preserve"> of the 15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into which the </w:t>
      </w:r>
      <w:r>
        <w:rPr>
          <w:rFonts w:ascii="Times New Roman" w:hAnsi="Times New Roman" w:cs="Times New Roman"/>
          <w:sz w:val="24"/>
          <w:szCs w:val="24"/>
          <w:lang w:val="en-US"/>
        </w:rPr>
        <w:t>CABA</w:t>
      </w:r>
      <w:r w:rsidR="0063065E">
        <w:rPr>
          <w:rFonts w:ascii="Times New Roman" w:hAnsi="Times New Roman" w:cs="Times New Roman"/>
          <w:sz w:val="24"/>
          <w:szCs w:val="24"/>
          <w:lang w:val="en-US"/>
        </w:rPr>
        <w:t xml:space="preserve"> </w:t>
      </w:r>
      <w:r w:rsidR="0063065E" w:rsidRPr="0063065E">
        <w:rPr>
          <w:rFonts w:ascii="Times New Roman" w:hAnsi="Times New Roman" w:cs="Times New Roman"/>
          <w:sz w:val="24"/>
          <w:szCs w:val="24"/>
          <w:lang w:val="en-US"/>
        </w:rPr>
        <w:t xml:space="preserve">is divided. </w:t>
      </w:r>
      <w:proofErr w:type="gramStart"/>
      <w:r w:rsidR="0063065E" w:rsidRPr="0063065E">
        <w:rPr>
          <w:rFonts w:ascii="Times New Roman" w:hAnsi="Times New Roman" w:cs="Times New Roman"/>
          <w:sz w:val="24"/>
          <w:szCs w:val="24"/>
          <w:lang w:val="en-US"/>
        </w:rPr>
        <w:t xml:space="preserve">The results were described by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and zones</w:t>
      </w:r>
      <w:proofErr w:type="gramEnd"/>
      <w:r w:rsidR="0063065E" w:rsidRPr="0063065E">
        <w:rPr>
          <w:rFonts w:ascii="Times New Roman" w:hAnsi="Times New Roman" w:cs="Times New Roman"/>
          <w:sz w:val="24"/>
          <w:szCs w:val="24"/>
          <w:lang w:val="en-US"/>
        </w:rPr>
        <w:t xml:space="preserve">. The division of the city into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responds to an inter</w:t>
      </w:r>
      <w:r w:rsidR="0063065E">
        <w:rPr>
          <w:rFonts w:ascii="Times New Roman" w:hAnsi="Times New Roman" w:cs="Times New Roman"/>
          <w:sz w:val="24"/>
          <w:szCs w:val="24"/>
          <w:lang w:val="en-US"/>
        </w:rPr>
        <w:t>-</w:t>
      </w:r>
      <w:r w:rsidR="0063065E" w:rsidRPr="0063065E">
        <w:rPr>
          <w:rFonts w:ascii="Times New Roman" w:hAnsi="Times New Roman" w:cs="Times New Roman"/>
          <w:sz w:val="24"/>
          <w:szCs w:val="24"/>
          <w:lang w:val="en-US"/>
        </w:rPr>
        <w:t xml:space="preserve">jurisdictional and political-administrative division of the territory. The zones represent groupings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according to the homogeneity observed in different indicators of </w:t>
      </w:r>
      <w:r>
        <w:rPr>
          <w:rFonts w:ascii="Times New Roman" w:hAnsi="Times New Roman" w:cs="Times New Roman"/>
          <w:sz w:val="24"/>
          <w:szCs w:val="24"/>
          <w:lang w:val="en-US"/>
        </w:rPr>
        <w:t>life conditions</w:t>
      </w:r>
      <w:r w:rsidR="0063065E" w:rsidRPr="0063065E">
        <w:rPr>
          <w:rFonts w:ascii="Times New Roman" w:hAnsi="Times New Roman" w:cs="Times New Roman"/>
          <w:sz w:val="24"/>
          <w:szCs w:val="24"/>
          <w:lang w:val="en-US"/>
        </w:rPr>
        <w:t xml:space="preserve">. Thus, the southern zone </w:t>
      </w:r>
      <w:proofErr w:type="gramStart"/>
      <w:r w:rsidR="0063065E" w:rsidRPr="0063065E">
        <w:rPr>
          <w:rFonts w:ascii="Times New Roman" w:hAnsi="Times New Roman" w:cs="Times New Roman"/>
          <w:sz w:val="24"/>
          <w:szCs w:val="24"/>
          <w:lang w:val="en-US"/>
        </w:rPr>
        <w:t>is considered</w:t>
      </w:r>
      <w:proofErr w:type="gramEnd"/>
      <w:r w:rsidR="0063065E" w:rsidRPr="0063065E">
        <w:rPr>
          <w:rFonts w:ascii="Times New Roman" w:hAnsi="Times New Roman" w:cs="Times New Roman"/>
          <w:sz w:val="24"/>
          <w:szCs w:val="24"/>
          <w:lang w:val="en-US"/>
        </w:rPr>
        <w:t xml:space="preserve"> to be made up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4, 8, 9 and 10; the central zone is made up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1, 3, 4, 5, 6, 7, 11, 12 and 15; and the northern zone is made up of </w:t>
      </w:r>
      <w:r>
        <w:rPr>
          <w:rFonts w:ascii="Times New Roman" w:hAnsi="Times New Roman" w:cs="Times New Roman"/>
          <w:sz w:val="24"/>
          <w:szCs w:val="24"/>
          <w:lang w:val="en-US"/>
        </w:rPr>
        <w:t>wards</w:t>
      </w:r>
      <w:r w:rsidR="0063065E" w:rsidRPr="0063065E">
        <w:rPr>
          <w:rFonts w:ascii="Times New Roman" w:hAnsi="Times New Roman" w:cs="Times New Roman"/>
          <w:sz w:val="24"/>
          <w:szCs w:val="24"/>
          <w:lang w:val="en-US"/>
        </w:rPr>
        <w:t xml:space="preserve"> 2, 13 and 14.</w:t>
      </w:r>
    </w:p>
    <w:p w:rsidR="00F138DB" w:rsidRDefault="00F138DB" w:rsidP="0016684F">
      <w:pPr>
        <w:spacing w:after="0" w:line="480" w:lineRule="auto"/>
        <w:contextualSpacing/>
        <w:jc w:val="both"/>
        <w:rPr>
          <w:rFonts w:ascii="Times New Roman" w:hAnsi="Times New Roman" w:cs="Times New Roman"/>
          <w:sz w:val="24"/>
          <w:szCs w:val="24"/>
          <w:lang w:val="en-US"/>
        </w:rPr>
      </w:pPr>
    </w:p>
    <w:p w:rsidR="0063065E" w:rsidRPr="009A11C8" w:rsidRDefault="0063065E" w:rsidP="00DE13F5">
      <w:pPr>
        <w:spacing w:after="0" w:line="480" w:lineRule="auto"/>
        <w:contextualSpacing/>
        <w:jc w:val="both"/>
        <w:rPr>
          <w:rFonts w:ascii="Times New Roman" w:hAnsi="Times New Roman" w:cs="Times New Roman"/>
          <w:sz w:val="24"/>
          <w:szCs w:val="24"/>
          <w:lang w:val="en-US"/>
        </w:rPr>
      </w:pPr>
      <w:r w:rsidRPr="0063065E">
        <w:rPr>
          <w:rFonts w:ascii="Times New Roman" w:hAnsi="Times New Roman" w:cs="Times New Roman"/>
          <w:sz w:val="24"/>
          <w:szCs w:val="24"/>
          <w:lang w:val="en-US"/>
        </w:rPr>
        <w:t xml:space="preserve">The average total family income of each commune </w:t>
      </w:r>
      <w:r>
        <w:rPr>
          <w:rFonts w:ascii="Times New Roman" w:hAnsi="Times New Roman" w:cs="Times New Roman"/>
          <w:sz w:val="24"/>
          <w:szCs w:val="24"/>
          <w:lang w:val="en-US"/>
        </w:rPr>
        <w:t>registered</w:t>
      </w:r>
      <w:r w:rsidRPr="0063065E">
        <w:rPr>
          <w:rFonts w:ascii="Times New Roman" w:hAnsi="Times New Roman" w:cs="Times New Roman"/>
          <w:sz w:val="24"/>
          <w:szCs w:val="24"/>
          <w:lang w:val="en-US"/>
        </w:rPr>
        <w:t xml:space="preserve"> in the Annual Household Survey 2019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63065E">
        <w:rPr>
          <w:rFonts w:ascii="Times New Roman" w:hAnsi="Times New Roman" w:cs="Times New Roman"/>
          <w:noProof/>
          <w:sz w:val="24"/>
          <w:szCs w:val="24"/>
          <w:lang w:val="en-US"/>
        </w:rPr>
        <w:t>(17)</w:t>
      </w:r>
      <w:r>
        <w:rPr>
          <w:rFonts w:ascii="Times New Roman" w:hAnsi="Times New Roman" w:cs="Times New Roman"/>
          <w:sz w:val="24"/>
          <w:szCs w:val="24"/>
          <w:lang w:val="en-US"/>
        </w:rPr>
        <w:fldChar w:fldCharType="end"/>
      </w:r>
      <w:r w:rsidRPr="0063065E">
        <w:rPr>
          <w:rFonts w:ascii="Times New Roman" w:hAnsi="Times New Roman" w:cs="Times New Roman"/>
          <w:sz w:val="24"/>
          <w:szCs w:val="24"/>
          <w:lang w:val="en-US"/>
        </w:rPr>
        <w:t xml:space="preserve"> was used as socio-demographic gradient for the description of inequalities. In order to avoid the use of outdated monetary values, an index based on ratio between the average family income of </w:t>
      </w:r>
      <w:r>
        <w:rPr>
          <w:rFonts w:ascii="Times New Roman" w:hAnsi="Times New Roman" w:cs="Times New Roman"/>
          <w:sz w:val="24"/>
          <w:szCs w:val="24"/>
          <w:lang w:val="en-US"/>
        </w:rPr>
        <w:t>each</w:t>
      </w:r>
      <w:r w:rsidRPr="0063065E">
        <w:rPr>
          <w:rFonts w:ascii="Times New Roman" w:hAnsi="Times New Roman" w:cs="Times New Roman"/>
          <w:sz w:val="24"/>
          <w:szCs w:val="24"/>
          <w:lang w:val="en-US"/>
        </w:rPr>
        <w:t xml:space="preserve"> </w:t>
      </w:r>
      <w:r w:rsidR="00F138DB">
        <w:rPr>
          <w:rFonts w:ascii="Times New Roman" w:hAnsi="Times New Roman" w:cs="Times New Roman"/>
          <w:sz w:val="24"/>
          <w:szCs w:val="24"/>
          <w:lang w:val="en-US"/>
        </w:rPr>
        <w:t>ward</w:t>
      </w:r>
      <w:r w:rsidRPr="0063065E">
        <w:rPr>
          <w:rFonts w:ascii="Times New Roman" w:hAnsi="Times New Roman" w:cs="Times New Roman"/>
          <w:sz w:val="24"/>
          <w:szCs w:val="24"/>
          <w:lang w:val="en-US"/>
        </w:rPr>
        <w:t xml:space="preserve"> and the total of the CABA</w:t>
      </w:r>
      <w:r>
        <w:rPr>
          <w:rFonts w:ascii="Times New Roman" w:hAnsi="Times New Roman" w:cs="Times New Roman"/>
          <w:sz w:val="24"/>
          <w:szCs w:val="24"/>
          <w:lang w:val="en-US"/>
        </w:rPr>
        <w:t xml:space="preserve"> was calculated</w:t>
      </w:r>
      <w:r w:rsidRPr="0063065E">
        <w:rPr>
          <w:rFonts w:ascii="Times New Roman" w:hAnsi="Times New Roman" w:cs="Times New Roman"/>
          <w:sz w:val="24"/>
          <w:szCs w:val="24"/>
          <w:lang w:val="en-US"/>
        </w:rPr>
        <w:t xml:space="preserve">, so that </w:t>
      </w:r>
      <w:r w:rsidR="00F138DB">
        <w:rPr>
          <w:rFonts w:ascii="Times New Roman" w:hAnsi="Times New Roman" w:cs="Times New Roman"/>
          <w:sz w:val="24"/>
          <w:szCs w:val="24"/>
          <w:lang w:val="en-US"/>
        </w:rPr>
        <w:t>wards</w:t>
      </w:r>
      <w:r w:rsidRPr="0063065E">
        <w:rPr>
          <w:rFonts w:ascii="Times New Roman" w:hAnsi="Times New Roman" w:cs="Times New Roman"/>
          <w:sz w:val="24"/>
          <w:szCs w:val="24"/>
          <w:lang w:val="en-US"/>
        </w:rPr>
        <w:t xml:space="preserve"> with values below one represented communes with average income below the average of the city and vice versa. </w:t>
      </w:r>
      <w:r w:rsidRPr="009A11C8">
        <w:rPr>
          <w:rFonts w:ascii="Times New Roman" w:hAnsi="Times New Roman" w:cs="Times New Roman"/>
          <w:sz w:val="24"/>
          <w:szCs w:val="24"/>
          <w:lang w:val="en-US"/>
        </w:rPr>
        <w:t xml:space="preserve">It </w:t>
      </w:r>
      <w:proofErr w:type="gramStart"/>
      <w:r w:rsidRPr="009A11C8">
        <w:rPr>
          <w:rFonts w:ascii="Times New Roman" w:hAnsi="Times New Roman" w:cs="Times New Roman"/>
          <w:sz w:val="24"/>
          <w:szCs w:val="24"/>
          <w:lang w:val="en-US"/>
        </w:rPr>
        <w:t>was called</w:t>
      </w:r>
      <w:proofErr w:type="gramEnd"/>
      <w:r w:rsidRPr="009A11C8">
        <w:rPr>
          <w:rFonts w:ascii="Times New Roman" w:hAnsi="Times New Roman" w:cs="Times New Roman"/>
          <w:sz w:val="24"/>
          <w:szCs w:val="24"/>
          <w:lang w:val="en-US"/>
        </w:rPr>
        <w:t xml:space="preserve"> "standardized income index" (SII).</w:t>
      </w:r>
    </w:p>
    <w:p w:rsidR="00B43A3F" w:rsidRDefault="00B43A3F" w:rsidP="00DE13F5">
      <w:pPr>
        <w:spacing w:after="0" w:line="480" w:lineRule="auto"/>
        <w:contextualSpacing/>
        <w:jc w:val="both"/>
        <w:rPr>
          <w:rFonts w:ascii="Times New Roman" w:hAnsi="Times New Roman" w:cs="Times New Roman"/>
          <w:sz w:val="24"/>
          <w:szCs w:val="24"/>
          <w:lang w:val="en-US"/>
        </w:rPr>
      </w:pPr>
    </w:p>
    <w:p w:rsidR="0063065E" w:rsidRDefault="00B43A3F" w:rsidP="00DE13F5">
      <w:pPr>
        <w:spacing w:after="0" w:line="480" w:lineRule="auto"/>
        <w:contextualSpacing/>
        <w:jc w:val="both"/>
        <w:rPr>
          <w:rFonts w:ascii="Times New Roman" w:hAnsi="Times New Roman" w:cs="Times New Roman"/>
          <w:sz w:val="24"/>
          <w:szCs w:val="24"/>
          <w:lang w:val="en-US"/>
        </w:rPr>
      </w:pPr>
      <w:r w:rsidRPr="00B43A3F">
        <w:rPr>
          <w:rFonts w:ascii="Times New Roman" w:hAnsi="Times New Roman" w:cs="Times New Roman"/>
          <w:sz w:val="24"/>
          <w:szCs w:val="24"/>
          <w:lang w:val="en-US"/>
        </w:rPr>
        <w:t>The information used was</w:t>
      </w:r>
      <w:r w:rsidR="0063065E" w:rsidRPr="0063065E">
        <w:rPr>
          <w:rFonts w:ascii="Times New Roman" w:hAnsi="Times New Roman" w:cs="Times New Roman"/>
          <w:sz w:val="24"/>
          <w:szCs w:val="24"/>
          <w:lang w:val="en-US"/>
        </w:rPr>
        <w:t xml:space="preserve"> reported up to ##/##/#### on the website of the Government of the City of Buenos Aires </w:t>
      </w:r>
      <w:r w:rsidR="0063065E">
        <w:rPr>
          <w:rFonts w:ascii="Times New Roman" w:hAnsi="Times New Roman" w:cs="Times New Roman"/>
          <w:sz w:val="24"/>
          <w:szCs w:val="24"/>
          <w:lang w:val="en-US"/>
        </w:rPr>
        <w:fldChar w:fldCharType="begin" w:fldLock="1"/>
      </w:r>
      <w:r w:rsidR="00530EC0">
        <w:rPr>
          <w:rFonts w:ascii="Times New Roman" w:hAnsi="Times New Roman" w:cs="Times New Roman"/>
          <w:sz w:val="24"/>
          <w:szCs w:val="24"/>
          <w:lang w:val="en-US"/>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sidR="0063065E">
        <w:rPr>
          <w:rFonts w:ascii="Times New Roman" w:hAnsi="Times New Roman" w:cs="Times New Roman"/>
          <w:sz w:val="24"/>
          <w:szCs w:val="24"/>
          <w:lang w:val="en-US"/>
        </w:rPr>
        <w:fldChar w:fldCharType="separate"/>
      </w:r>
      <w:r w:rsidR="0063065E" w:rsidRPr="0063065E">
        <w:rPr>
          <w:rFonts w:ascii="Times New Roman" w:hAnsi="Times New Roman" w:cs="Times New Roman"/>
          <w:noProof/>
          <w:sz w:val="24"/>
          <w:szCs w:val="24"/>
          <w:lang w:val="en-US"/>
        </w:rPr>
        <w:t>(18)</w:t>
      </w:r>
      <w:r w:rsidR="0063065E">
        <w:rPr>
          <w:rFonts w:ascii="Times New Roman" w:hAnsi="Times New Roman" w:cs="Times New Roman"/>
          <w:sz w:val="24"/>
          <w:szCs w:val="24"/>
          <w:lang w:val="en-US"/>
        </w:rPr>
        <w:fldChar w:fldCharType="end"/>
      </w:r>
      <w:r w:rsidR="0063065E" w:rsidRPr="0063065E">
        <w:rPr>
          <w:rFonts w:ascii="Times New Roman" w:hAnsi="Times New Roman" w:cs="Times New Roman"/>
          <w:sz w:val="24"/>
          <w:szCs w:val="24"/>
          <w:lang w:val="en-US"/>
        </w:rPr>
        <w:t xml:space="preserve">, a portal that offers microdata </w:t>
      </w:r>
      <w:r>
        <w:rPr>
          <w:rFonts w:ascii="Times New Roman" w:hAnsi="Times New Roman" w:cs="Times New Roman"/>
          <w:sz w:val="24"/>
          <w:szCs w:val="24"/>
          <w:lang w:val="en-US"/>
        </w:rPr>
        <w:t xml:space="preserve">of </w:t>
      </w:r>
      <w:r w:rsidR="0063065E" w:rsidRPr="0063065E">
        <w:rPr>
          <w:rFonts w:ascii="Times New Roman" w:hAnsi="Times New Roman" w:cs="Times New Roman"/>
          <w:sz w:val="24"/>
          <w:szCs w:val="24"/>
          <w:lang w:val="en-US"/>
        </w:rPr>
        <w:t xml:space="preserve">the official epidemiological information of the Government of the City of Buenos Aires that comes from the National Health Surveillance System of Argentina. Cases that did not have information on age or commune of residence </w:t>
      </w:r>
      <w:proofErr w:type="gramStart"/>
      <w:r w:rsidR="0063065E" w:rsidRPr="0063065E">
        <w:rPr>
          <w:rFonts w:ascii="Times New Roman" w:hAnsi="Times New Roman" w:cs="Times New Roman"/>
          <w:sz w:val="24"/>
          <w:szCs w:val="24"/>
          <w:lang w:val="en-US"/>
        </w:rPr>
        <w:t>were excluded</w:t>
      </w:r>
      <w:proofErr w:type="gramEnd"/>
      <w:r w:rsidR="0063065E" w:rsidRPr="0063065E">
        <w:rPr>
          <w:rFonts w:ascii="Times New Roman" w:hAnsi="Times New Roman" w:cs="Times New Roman"/>
          <w:sz w:val="24"/>
          <w:szCs w:val="24"/>
          <w:lang w:val="en-US"/>
        </w:rPr>
        <w:t xml:space="preserve"> from the analysis. Thus, </w:t>
      </w:r>
      <w:r>
        <w:rPr>
          <w:rFonts w:ascii="Times New Roman" w:hAnsi="Times New Roman" w:cs="Times New Roman"/>
          <w:color w:val="FF0000"/>
          <w:sz w:val="24"/>
          <w:szCs w:val="24"/>
          <w:lang w:val="en-US"/>
        </w:rPr>
        <w:t>11</w:t>
      </w:r>
      <w:r w:rsidR="0063065E" w:rsidRPr="0063065E">
        <w:rPr>
          <w:rFonts w:ascii="Times New Roman" w:hAnsi="Times New Roman" w:cs="Times New Roman"/>
          <w:color w:val="FF0000"/>
          <w:sz w:val="24"/>
          <w:szCs w:val="24"/>
          <w:lang w:val="en-US"/>
        </w:rPr>
        <w:t>079</w:t>
      </w:r>
      <w:r w:rsidR="0063065E" w:rsidRPr="0063065E">
        <w:rPr>
          <w:rFonts w:ascii="Times New Roman" w:hAnsi="Times New Roman" w:cs="Times New Roman"/>
          <w:sz w:val="24"/>
          <w:szCs w:val="24"/>
          <w:lang w:val="en-US"/>
        </w:rPr>
        <w:t xml:space="preserve"> of the </w:t>
      </w:r>
      <w:r>
        <w:rPr>
          <w:rFonts w:ascii="Times New Roman" w:hAnsi="Times New Roman" w:cs="Times New Roman"/>
          <w:color w:val="FF0000"/>
          <w:sz w:val="24"/>
          <w:szCs w:val="24"/>
          <w:lang w:val="en-US"/>
        </w:rPr>
        <w:t>339</w:t>
      </w:r>
      <w:r w:rsidR="0063065E" w:rsidRPr="0063065E">
        <w:rPr>
          <w:rFonts w:ascii="Times New Roman" w:hAnsi="Times New Roman" w:cs="Times New Roman"/>
          <w:color w:val="FF0000"/>
          <w:sz w:val="24"/>
          <w:szCs w:val="24"/>
          <w:lang w:val="en-US"/>
        </w:rPr>
        <w:t>652</w:t>
      </w:r>
      <w:r w:rsidR="0063065E" w:rsidRPr="0063065E">
        <w:rPr>
          <w:rFonts w:ascii="Times New Roman" w:hAnsi="Times New Roman" w:cs="Times New Roman"/>
          <w:sz w:val="24"/>
          <w:szCs w:val="24"/>
          <w:lang w:val="en-US"/>
        </w:rPr>
        <w:t xml:space="preserve"> total cases were rejected (3.3%). Among the confirmed cases, the records discarded represented </w:t>
      </w:r>
      <w:r w:rsidR="0063065E" w:rsidRPr="0063065E">
        <w:rPr>
          <w:rFonts w:ascii="Times New Roman" w:hAnsi="Times New Roman" w:cs="Times New Roman"/>
          <w:color w:val="FF0000"/>
          <w:sz w:val="24"/>
          <w:szCs w:val="24"/>
          <w:lang w:val="en-US"/>
        </w:rPr>
        <w:t>2.7%</w:t>
      </w:r>
      <w:r w:rsidR="0063065E" w:rsidRPr="0063065E">
        <w:rPr>
          <w:rFonts w:ascii="Times New Roman" w:hAnsi="Times New Roman" w:cs="Times New Roman"/>
          <w:sz w:val="24"/>
          <w:szCs w:val="24"/>
          <w:lang w:val="en-US"/>
        </w:rPr>
        <w:t>.</w:t>
      </w:r>
      <w:r w:rsidR="0063065E">
        <w:rPr>
          <w:rFonts w:ascii="Times New Roman" w:hAnsi="Times New Roman" w:cs="Times New Roman"/>
          <w:sz w:val="24"/>
          <w:szCs w:val="24"/>
          <w:lang w:val="en-US"/>
        </w:rPr>
        <w:t xml:space="preserve"> </w:t>
      </w:r>
    </w:p>
    <w:p w:rsidR="00530EC0" w:rsidRDefault="00530EC0" w:rsidP="00287CB8">
      <w:pPr>
        <w:spacing w:after="0" w:line="480" w:lineRule="auto"/>
        <w:contextualSpacing/>
        <w:jc w:val="both"/>
        <w:rPr>
          <w:rFonts w:ascii="Times New Roman" w:hAnsi="Times New Roman" w:cs="Times New Roman"/>
          <w:sz w:val="24"/>
          <w:szCs w:val="24"/>
          <w:lang w:val="en-US"/>
        </w:rPr>
      </w:pPr>
      <w:r w:rsidRPr="00530EC0">
        <w:rPr>
          <w:rFonts w:ascii="Times New Roman" w:hAnsi="Times New Roman" w:cs="Times New Roman"/>
          <w:sz w:val="24"/>
          <w:szCs w:val="24"/>
          <w:lang w:val="en-US"/>
        </w:rPr>
        <w:lastRenderedPageBreak/>
        <w:t xml:space="preserve">The populations used to calculate the indicators were those elaborated by the General Directorate of Statistics and Census </w:t>
      </w:r>
      <w:r>
        <w:rPr>
          <w:rFonts w:ascii="Times New Roman" w:hAnsi="Times New Roman" w:cs="Times New Roman"/>
          <w:sz w:val="24"/>
          <w:szCs w:val="24"/>
        </w:rPr>
        <w:fldChar w:fldCharType="begin" w:fldLock="1"/>
      </w:r>
      <w:r w:rsidR="009A11C8">
        <w:rPr>
          <w:rFonts w:ascii="Times New Roman" w:hAnsi="Times New Roman" w:cs="Times New Roman"/>
          <w:sz w:val="24"/>
          <w:szCs w:val="24"/>
          <w:lang w:val="en-US"/>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530EC0">
        <w:rPr>
          <w:rFonts w:ascii="Times New Roman" w:hAnsi="Times New Roman" w:cs="Times New Roman"/>
          <w:noProof/>
          <w:sz w:val="24"/>
          <w:szCs w:val="24"/>
          <w:lang w:val="en-US"/>
        </w:rPr>
        <w:t>(3)</w:t>
      </w:r>
      <w:r>
        <w:rPr>
          <w:rFonts w:ascii="Times New Roman" w:hAnsi="Times New Roman" w:cs="Times New Roman"/>
          <w:sz w:val="24"/>
          <w:szCs w:val="24"/>
        </w:rPr>
        <w:fldChar w:fldCharType="end"/>
      </w:r>
      <w:r w:rsidRPr="00530EC0">
        <w:rPr>
          <w:rFonts w:ascii="Times New Roman" w:hAnsi="Times New Roman" w:cs="Times New Roman"/>
          <w:sz w:val="24"/>
          <w:szCs w:val="24"/>
          <w:lang w:val="en-US"/>
        </w:rPr>
        <w:t xml:space="preserve"> and correspond to 2020.</w:t>
      </w:r>
    </w:p>
    <w:p w:rsidR="00B43A3F" w:rsidRPr="00530EC0" w:rsidRDefault="00B43A3F" w:rsidP="00287CB8">
      <w:pPr>
        <w:spacing w:after="0" w:line="480" w:lineRule="auto"/>
        <w:contextualSpacing/>
        <w:jc w:val="both"/>
        <w:rPr>
          <w:rFonts w:ascii="Times New Roman" w:hAnsi="Times New Roman" w:cs="Times New Roman"/>
          <w:sz w:val="24"/>
          <w:szCs w:val="24"/>
          <w:lang w:val="en-US"/>
        </w:rPr>
      </w:pPr>
    </w:p>
    <w:p w:rsidR="009A11C8" w:rsidRPr="009A11C8" w:rsidRDefault="00B43A3F" w:rsidP="00287CB8">
      <w:pPr>
        <w:spacing w:after="0" w:line="480" w:lineRule="auto"/>
        <w:contextualSpacing/>
        <w:jc w:val="both"/>
        <w:rPr>
          <w:rFonts w:ascii="Times New Roman" w:hAnsi="Times New Roman" w:cs="Times New Roman"/>
          <w:sz w:val="24"/>
          <w:szCs w:val="24"/>
          <w:lang w:val="en-US"/>
        </w:rPr>
      </w:pPr>
      <w:r w:rsidRPr="00B43A3F">
        <w:rPr>
          <w:rFonts w:ascii="Times New Roman" w:hAnsi="Times New Roman" w:cs="Times New Roman"/>
          <w:sz w:val="24"/>
          <w:szCs w:val="24"/>
          <w:lang w:val="en-US"/>
        </w:rPr>
        <w:t xml:space="preserve">For the whole of CABA and for each </w:t>
      </w:r>
      <w:r>
        <w:rPr>
          <w:rFonts w:ascii="Times New Roman" w:hAnsi="Times New Roman" w:cs="Times New Roman"/>
          <w:sz w:val="24"/>
          <w:szCs w:val="24"/>
          <w:lang w:val="en-US"/>
        </w:rPr>
        <w:t>ward</w:t>
      </w:r>
      <w:r w:rsidRPr="00B43A3F">
        <w:rPr>
          <w:rFonts w:ascii="Times New Roman" w:hAnsi="Times New Roman" w:cs="Times New Roman"/>
          <w:sz w:val="24"/>
          <w:szCs w:val="24"/>
          <w:lang w:val="en-US"/>
        </w:rPr>
        <w:t>, the a</w:t>
      </w:r>
      <w:r>
        <w:rPr>
          <w:rFonts w:ascii="Times New Roman" w:hAnsi="Times New Roman" w:cs="Times New Roman"/>
          <w:sz w:val="24"/>
          <w:szCs w:val="24"/>
          <w:lang w:val="en-US"/>
        </w:rPr>
        <w:t>ccumulated incidence rate per 1</w:t>
      </w:r>
      <w:r w:rsidRPr="00B43A3F">
        <w:rPr>
          <w:rFonts w:ascii="Times New Roman" w:hAnsi="Times New Roman" w:cs="Times New Roman"/>
          <w:sz w:val="24"/>
          <w:szCs w:val="24"/>
          <w:lang w:val="en-US"/>
        </w:rPr>
        <w:t xml:space="preserve">000 </w:t>
      </w:r>
      <w:r>
        <w:rPr>
          <w:rFonts w:ascii="Times New Roman" w:hAnsi="Times New Roman" w:cs="Times New Roman"/>
          <w:sz w:val="24"/>
          <w:szCs w:val="24"/>
          <w:lang w:val="en-US"/>
        </w:rPr>
        <w:t>people, the mortality rate per 1</w:t>
      </w:r>
      <w:r w:rsidRPr="00B43A3F">
        <w:rPr>
          <w:rFonts w:ascii="Times New Roman" w:hAnsi="Times New Roman" w:cs="Times New Roman"/>
          <w:sz w:val="24"/>
          <w:szCs w:val="24"/>
          <w:lang w:val="en-US"/>
        </w:rPr>
        <w:t xml:space="preserve">000 </w:t>
      </w:r>
      <w:r>
        <w:rPr>
          <w:rFonts w:ascii="Times New Roman" w:hAnsi="Times New Roman" w:cs="Times New Roman"/>
          <w:sz w:val="24"/>
          <w:szCs w:val="24"/>
          <w:lang w:val="en-US"/>
        </w:rPr>
        <w:t>people</w:t>
      </w:r>
      <w:r w:rsidRPr="00B43A3F">
        <w:rPr>
          <w:rFonts w:ascii="Times New Roman" w:hAnsi="Times New Roman" w:cs="Times New Roman"/>
          <w:sz w:val="24"/>
          <w:szCs w:val="24"/>
          <w:lang w:val="en-US"/>
        </w:rPr>
        <w:t xml:space="preserve">, the </w:t>
      </w:r>
      <w:r>
        <w:rPr>
          <w:rFonts w:ascii="Times New Roman" w:hAnsi="Times New Roman" w:cs="Times New Roman"/>
          <w:sz w:val="24"/>
          <w:szCs w:val="24"/>
          <w:lang w:val="en-US"/>
        </w:rPr>
        <w:t>fatality</w:t>
      </w:r>
      <w:r w:rsidRPr="00B43A3F">
        <w:rPr>
          <w:rFonts w:ascii="Times New Roman" w:hAnsi="Times New Roman" w:cs="Times New Roman"/>
          <w:sz w:val="24"/>
          <w:szCs w:val="24"/>
          <w:lang w:val="en-US"/>
        </w:rPr>
        <w:t xml:space="preserve"> </w:t>
      </w:r>
      <w:r>
        <w:rPr>
          <w:rFonts w:ascii="Times New Roman" w:hAnsi="Times New Roman" w:cs="Times New Roman"/>
          <w:sz w:val="24"/>
          <w:szCs w:val="24"/>
          <w:lang w:val="en-US"/>
        </w:rPr>
        <w:t>rate</w:t>
      </w:r>
      <w:r w:rsidRPr="00B43A3F">
        <w:rPr>
          <w:rFonts w:ascii="Times New Roman" w:hAnsi="Times New Roman" w:cs="Times New Roman"/>
          <w:sz w:val="24"/>
          <w:szCs w:val="24"/>
          <w:lang w:val="en-US"/>
        </w:rPr>
        <w:t xml:space="preserve"> and the positivity percentage were calculated.</w:t>
      </w:r>
      <w:r>
        <w:rPr>
          <w:rFonts w:ascii="Times New Roman" w:hAnsi="Times New Roman" w:cs="Times New Roman"/>
          <w:sz w:val="24"/>
          <w:szCs w:val="24"/>
          <w:lang w:val="en-US"/>
        </w:rPr>
        <w:t xml:space="preserve"> </w:t>
      </w:r>
      <w:r w:rsidR="009A11C8" w:rsidRPr="009A11C8">
        <w:rPr>
          <w:rFonts w:ascii="Times New Roman" w:hAnsi="Times New Roman" w:cs="Times New Roman"/>
          <w:sz w:val="24"/>
          <w:szCs w:val="24"/>
          <w:lang w:val="en-US"/>
        </w:rPr>
        <w:t xml:space="preserve">To measure mortality levels by </w:t>
      </w:r>
      <w:r>
        <w:rPr>
          <w:rFonts w:ascii="Times New Roman" w:hAnsi="Times New Roman" w:cs="Times New Roman"/>
          <w:sz w:val="24"/>
          <w:szCs w:val="24"/>
          <w:lang w:val="en-US"/>
        </w:rPr>
        <w:t>ward</w:t>
      </w:r>
      <w:r w:rsidR="009A11C8" w:rsidRPr="009A11C8">
        <w:rPr>
          <w:rFonts w:ascii="Times New Roman" w:hAnsi="Times New Roman" w:cs="Times New Roman"/>
          <w:sz w:val="24"/>
          <w:szCs w:val="24"/>
          <w:lang w:val="en-US"/>
        </w:rPr>
        <w:t>, eliminating the confounding factor of different demographic structures, the standardized mortality ratio (SMR) was calculated according to the methodology proposed by the Pan American Health Organization</w:t>
      </w:r>
      <w:r w:rsidR="009A11C8">
        <w:rPr>
          <w:rFonts w:ascii="Times New Roman" w:hAnsi="Times New Roman" w:cs="Times New Roman"/>
          <w:sz w:val="24"/>
          <w:szCs w:val="24"/>
          <w:lang w:val="en-US"/>
        </w:rPr>
        <w:t xml:space="preserve"> </w:t>
      </w:r>
      <w:r w:rsidR="009A11C8">
        <w:rPr>
          <w:rFonts w:ascii="Times New Roman" w:hAnsi="Times New Roman" w:cs="Times New Roman"/>
          <w:sz w:val="24"/>
          <w:szCs w:val="24"/>
          <w:lang w:val="en-US"/>
        </w:rPr>
        <w:fldChar w:fldCharType="begin" w:fldLock="1"/>
      </w:r>
      <w:r w:rsidR="009A11C8">
        <w:rPr>
          <w:rFonts w:ascii="Times New Roman" w:hAnsi="Times New Roman" w:cs="Times New Roman"/>
          <w:sz w:val="24"/>
          <w:szCs w:val="24"/>
          <w:lang w:val="en-US"/>
        </w:rPr>
        <w:instrText>ADDIN CSL_CITATION {"citationItems":[{"id":"ITEM-1","itemData":{"abstract":"Existen dos métodos principales de estandarización, se-gún si se usa como estándar la distribución de una población (método directo) o un conjunto de tasas específicas (método indirecto). Los dos métodos se presentan a continuación. Método directo En el método directo de estandarización, se calcula la tasa que se esperaría encontrar en las poblaciones bajo estu-dio si todas tuvieran la misma composición según la variable cuyo efecto se espera ajustar o controlar. Se utiliza la estruc-tura de una población llamada \" estándar \" , cuyos estratos corresponden al factor que se quiere controlar y a la cual se aplica las tasas específicas por esos mismos estratos de las poblaciones estudiadas. De esta forma se obtiene el número de casos \" esperado \" en cada estrato si la composición fuera la misma en cada población. La tasa ajustada o \" estandariza-da \" se obtiene dividiendo el total de casos esperados por el total de la población estándar. Un ejemplo se presenta en el cuadro 2. Una etapa importante del método directo de estandariza-ción es la selección de la población estándar. 3 El valor de la tasa ajustada depende de la población estándar utilizada, y en cierta medida se puede escoger esta población de manera arbitraria, porque los valores calculados no tienen significa-ción en términos absolutos. Las tasas ajustadas son produc-tos de un cálculo hipotético que no representa los valores Cuadro 2: Comparación de la tasa de mortalidad general estandarizada por edad en México y los Estados Unidos, 1995-1997, utilizando el método directo En este ejemplo se utilizó como población estándar la llamada \" vieja \" población estándar mundial definida por Waterhouse (Ver cuadro 3). La tasa cruda de mortalidad para todas las edades en los Estados Unidos para 1995-1997 es 8,7 por 1.000 habitantes. En México es mucho más baja ya que es de 4,7 por 1.000 habitantes. Se podría pensar que la tasa más alta en los Estados Unidos puede deberse a una estructura de población más vieja que en México. Por lo tanto, se quiere estudiar las tasas de los dos países, controlando el efecto de las diferencias en la estructura de edad. En este ejemplo, para el método directo se necesita: -Las tasas de mortalidad específica por estrato de la característica que se quiere controlar, en este caso la edad, en cada población (i.e. México y los Estados Unidos) -Una población estándar, estratificada de la misma manera Primero se calcula el número esperado de muertes en los dos países, aplicando la t…","author":[{"dropping-particle":"","family":"OPS","given":"","non-dropping-particle":"","parse-names":false,"suffix":""}],"container-title":"Boletin epidemiológico","id":"ITEM-1","issued":{"date-parts":[["2002"]]},"title":"La estandarización: un metodo epidemiológico clásico para la comparación de tasas","type":"article-journal"},"uris":["http://www.mendeley.com/documents/?uuid=ec740de6-56af-4bd9-b656-77359bbb43c2"]}],"mendeley":{"formattedCitation":"(19)","plainTextFormattedCitation":"(19)"},"properties":{"noteIndex":0},"schema":"https://github.com/citation-style-language/schema/raw/master/csl-citation.json"}</w:instrText>
      </w:r>
      <w:r w:rsidR="009A11C8">
        <w:rPr>
          <w:rFonts w:ascii="Times New Roman" w:hAnsi="Times New Roman" w:cs="Times New Roman"/>
          <w:sz w:val="24"/>
          <w:szCs w:val="24"/>
          <w:lang w:val="en-US"/>
        </w:rPr>
        <w:fldChar w:fldCharType="separate"/>
      </w:r>
      <w:r w:rsidR="009A11C8" w:rsidRPr="009A11C8">
        <w:rPr>
          <w:rFonts w:ascii="Times New Roman" w:hAnsi="Times New Roman" w:cs="Times New Roman"/>
          <w:noProof/>
          <w:sz w:val="24"/>
          <w:szCs w:val="24"/>
          <w:lang w:val="en-US"/>
        </w:rPr>
        <w:t>(19)</w:t>
      </w:r>
      <w:r w:rsidR="009A11C8">
        <w:rPr>
          <w:rFonts w:ascii="Times New Roman" w:hAnsi="Times New Roman" w:cs="Times New Roman"/>
          <w:sz w:val="24"/>
          <w:szCs w:val="24"/>
          <w:lang w:val="en-US"/>
        </w:rPr>
        <w:fldChar w:fldCharType="end"/>
      </w:r>
      <w:r w:rsidR="009A11C8" w:rsidRPr="009A11C8">
        <w:rPr>
          <w:rFonts w:ascii="Times New Roman" w:hAnsi="Times New Roman" w:cs="Times New Roman"/>
          <w:sz w:val="24"/>
          <w:szCs w:val="24"/>
          <w:lang w:val="en-US"/>
        </w:rPr>
        <w:t xml:space="preserve">, taking the specific mortality rates by age groups of the </w:t>
      </w:r>
      <w:r>
        <w:rPr>
          <w:rFonts w:ascii="Times New Roman" w:hAnsi="Times New Roman" w:cs="Times New Roman"/>
          <w:sz w:val="24"/>
          <w:szCs w:val="24"/>
          <w:lang w:val="en-US"/>
        </w:rPr>
        <w:t>CABA</w:t>
      </w:r>
      <w:r w:rsidR="009A11C8">
        <w:rPr>
          <w:rFonts w:ascii="Times New Roman" w:hAnsi="Times New Roman" w:cs="Times New Roman"/>
          <w:sz w:val="24"/>
          <w:szCs w:val="24"/>
          <w:lang w:val="en-US"/>
        </w:rPr>
        <w:t xml:space="preserve"> </w:t>
      </w:r>
      <w:r w:rsidR="009A11C8" w:rsidRPr="009A11C8">
        <w:rPr>
          <w:rFonts w:ascii="Times New Roman" w:hAnsi="Times New Roman" w:cs="Times New Roman"/>
          <w:sz w:val="24"/>
          <w:szCs w:val="24"/>
          <w:lang w:val="en-US"/>
        </w:rPr>
        <w:t>as standard.</w:t>
      </w:r>
    </w:p>
    <w:p w:rsidR="00B43A3F" w:rsidRDefault="00B43A3F" w:rsidP="00DE13F5">
      <w:pPr>
        <w:spacing w:after="0" w:line="480" w:lineRule="auto"/>
        <w:contextualSpacing/>
        <w:jc w:val="both"/>
        <w:rPr>
          <w:rFonts w:ascii="Times New Roman" w:hAnsi="Times New Roman" w:cs="Times New Roman"/>
          <w:sz w:val="24"/>
          <w:szCs w:val="24"/>
          <w:lang w:val="en-US"/>
        </w:rPr>
      </w:pPr>
    </w:p>
    <w:p w:rsidR="00DE13F5" w:rsidRPr="009A11C8" w:rsidRDefault="009A11C8" w:rsidP="00DE13F5">
      <w:pPr>
        <w:spacing w:after="0" w:line="480" w:lineRule="auto"/>
        <w:contextualSpacing/>
        <w:jc w:val="both"/>
        <w:rPr>
          <w:rFonts w:ascii="Times New Roman" w:hAnsi="Times New Roman" w:cs="Times New Roman"/>
          <w:sz w:val="24"/>
          <w:szCs w:val="24"/>
          <w:lang w:val="en-US"/>
        </w:rPr>
      </w:pPr>
      <w:r w:rsidRPr="009A11C8">
        <w:rPr>
          <w:rFonts w:ascii="Times New Roman" w:hAnsi="Times New Roman" w:cs="Times New Roman"/>
          <w:sz w:val="24"/>
          <w:szCs w:val="24"/>
          <w:lang w:val="en-US"/>
        </w:rPr>
        <w:t>To evaluate the levels of inequality and concentration, rate ratios and differences were calculated. The 95% confidence intervals (</w:t>
      </w:r>
      <w:proofErr w:type="gramStart"/>
      <w:r w:rsidRPr="009A11C8">
        <w:rPr>
          <w:rFonts w:ascii="Times New Roman" w:hAnsi="Times New Roman" w:cs="Times New Roman"/>
          <w:sz w:val="24"/>
          <w:szCs w:val="24"/>
          <w:lang w:val="en-US"/>
        </w:rPr>
        <w:t>CI95%</w:t>
      </w:r>
      <w:proofErr w:type="gramEnd"/>
      <w:r w:rsidRPr="009A11C8">
        <w:rPr>
          <w:rFonts w:ascii="Times New Roman" w:hAnsi="Times New Roman" w:cs="Times New Roman"/>
          <w:sz w:val="24"/>
          <w:szCs w:val="24"/>
          <w:lang w:val="en-US"/>
        </w:rPr>
        <w:t xml:space="preserve">) were calculated for the analyzed indicators. For the </w:t>
      </w:r>
      <w:r w:rsidR="00B43A3F">
        <w:rPr>
          <w:rFonts w:ascii="Times New Roman" w:hAnsi="Times New Roman" w:cs="Times New Roman"/>
          <w:sz w:val="24"/>
          <w:szCs w:val="24"/>
          <w:lang w:val="en-US"/>
        </w:rPr>
        <w:t>cumulative incidence rate per 1</w:t>
      </w:r>
      <w:r w:rsidRPr="009A11C8">
        <w:rPr>
          <w:rFonts w:ascii="Times New Roman" w:hAnsi="Times New Roman" w:cs="Times New Roman"/>
          <w:sz w:val="24"/>
          <w:szCs w:val="24"/>
          <w:lang w:val="en-US"/>
        </w:rPr>
        <w:t xml:space="preserve">000 </w:t>
      </w:r>
      <w:r w:rsidR="00B43A3F">
        <w:rPr>
          <w:rFonts w:ascii="Times New Roman" w:hAnsi="Times New Roman" w:cs="Times New Roman"/>
          <w:sz w:val="24"/>
          <w:szCs w:val="24"/>
          <w:lang w:val="en-US"/>
        </w:rPr>
        <w:t>people, the mortality rate per 1</w:t>
      </w:r>
      <w:r w:rsidRPr="009A11C8">
        <w:rPr>
          <w:rFonts w:ascii="Times New Roman" w:hAnsi="Times New Roman" w:cs="Times New Roman"/>
          <w:sz w:val="24"/>
          <w:szCs w:val="24"/>
          <w:lang w:val="en-US"/>
        </w:rPr>
        <w:t xml:space="preserve">000 </w:t>
      </w:r>
      <w:r w:rsidR="00B43A3F">
        <w:rPr>
          <w:rFonts w:ascii="Times New Roman" w:hAnsi="Times New Roman" w:cs="Times New Roman"/>
          <w:sz w:val="24"/>
          <w:szCs w:val="24"/>
          <w:lang w:val="en-US"/>
        </w:rPr>
        <w:t>people</w:t>
      </w:r>
      <w:r w:rsidRPr="009A11C8">
        <w:rPr>
          <w:rFonts w:ascii="Times New Roman" w:hAnsi="Times New Roman" w:cs="Times New Roman"/>
          <w:sz w:val="24"/>
          <w:szCs w:val="24"/>
          <w:lang w:val="en-US"/>
        </w:rPr>
        <w:t xml:space="preserve">, the </w:t>
      </w:r>
      <w:r w:rsidR="00B43A3F">
        <w:rPr>
          <w:rFonts w:ascii="Times New Roman" w:hAnsi="Times New Roman" w:cs="Times New Roman"/>
          <w:sz w:val="24"/>
          <w:szCs w:val="24"/>
          <w:lang w:val="en-US"/>
        </w:rPr>
        <w:t>fatality rate</w:t>
      </w:r>
      <w:r w:rsidRPr="009A11C8">
        <w:rPr>
          <w:rFonts w:ascii="Times New Roman" w:hAnsi="Times New Roman" w:cs="Times New Roman"/>
          <w:sz w:val="24"/>
          <w:szCs w:val="24"/>
          <w:lang w:val="en-US"/>
        </w:rPr>
        <w:t xml:space="preserve"> and the percentage of positivity the </w:t>
      </w:r>
      <w:proofErr w:type="gramStart"/>
      <w:r w:rsidRPr="009A11C8">
        <w:rPr>
          <w:rFonts w:ascii="Times New Roman" w:hAnsi="Times New Roman" w:cs="Times New Roman"/>
          <w:sz w:val="24"/>
          <w:szCs w:val="24"/>
          <w:lang w:val="en-US"/>
        </w:rPr>
        <w:t>IC95%</w:t>
      </w:r>
      <w:proofErr w:type="gramEnd"/>
      <w:r w:rsidRPr="009A11C8">
        <w:rPr>
          <w:rFonts w:ascii="Times New Roman" w:hAnsi="Times New Roman" w:cs="Times New Roman"/>
          <w:sz w:val="24"/>
          <w:szCs w:val="24"/>
          <w:lang w:val="en-US"/>
        </w:rPr>
        <w:t xml:space="preserve"> was estimated by means of the normal approximation. For SMRs, the Chi2 methodology was used </w:t>
      </w:r>
      <w:r w:rsidR="002031D9">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(20)","plainTextFormattedCitation":"(20)","previouslyFormattedCitation":"(19)"},"properties":{"noteIndex":0},"schema":"https://github.com/citation-style-language/schema/raw/master/csl-citation.json"}</w:instrText>
      </w:r>
      <w:r w:rsidR="002031D9">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(20)</w:t>
      </w:r>
      <w:r w:rsidR="002031D9">
        <w:rPr>
          <w:rFonts w:ascii="Times New Roman" w:hAnsi="Times New Roman" w:cs="Times New Roman"/>
          <w:sz w:val="24"/>
          <w:szCs w:val="24"/>
        </w:rPr>
        <w:fldChar w:fldCharType="end"/>
      </w:r>
      <w:r w:rsidR="00CF34EC" w:rsidRPr="009A11C8">
        <w:rPr>
          <w:rFonts w:ascii="Times New Roman" w:hAnsi="Times New Roman" w:cs="Times New Roman"/>
          <w:sz w:val="24"/>
          <w:szCs w:val="24"/>
          <w:lang w:val="en-US"/>
        </w:rPr>
        <w:t xml:space="preserve"> </w:t>
      </w:r>
      <w:r w:rsidRPr="009A11C8">
        <w:rPr>
          <w:rFonts w:ascii="Times New Roman" w:hAnsi="Times New Roman" w:cs="Times New Roman"/>
          <w:sz w:val="24"/>
          <w:szCs w:val="24"/>
          <w:lang w:val="en-US"/>
        </w:rPr>
        <w:t>and for rate ratios the one proposed by Fay</w:t>
      </w:r>
      <w:r w:rsidR="00CF34EC" w:rsidRPr="009A11C8">
        <w:rPr>
          <w:rFonts w:ascii="Times New Roman" w:hAnsi="Times New Roman" w:cs="Times New Roman"/>
          <w:sz w:val="24"/>
          <w:szCs w:val="24"/>
          <w:lang w:val="en-US"/>
        </w:rPr>
        <w:t xml:space="preserve"> </w:t>
      </w:r>
      <w:r w:rsidR="002031D9" w:rsidRPr="002031D9">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(21)","plainTextFormattedCitation":"(21)","previouslyFormattedCitation":"(20)"},"properties":{"noteIndex":0},"schema":"https://github.com/citation-style-language/schema/raw/master/csl-citation.json"}</w:instrText>
      </w:r>
      <w:r w:rsidR="002031D9" w:rsidRPr="002031D9">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(21)</w:t>
      </w:r>
      <w:r w:rsidR="002031D9" w:rsidRPr="002031D9">
        <w:rPr>
          <w:rFonts w:ascii="Times New Roman" w:hAnsi="Times New Roman" w:cs="Times New Roman"/>
          <w:sz w:val="24"/>
          <w:szCs w:val="24"/>
        </w:rPr>
        <w:fldChar w:fldCharType="end"/>
      </w:r>
      <w:r w:rsidR="00DE13F5" w:rsidRPr="009A11C8">
        <w:rPr>
          <w:rFonts w:ascii="Times New Roman" w:hAnsi="Times New Roman" w:cs="Times New Roman"/>
          <w:sz w:val="24"/>
          <w:szCs w:val="24"/>
          <w:lang w:val="en-US"/>
        </w:rPr>
        <w:t>.</w:t>
      </w:r>
    </w:p>
    <w:p w:rsidR="00EE0CA3" w:rsidRDefault="009A11C8" w:rsidP="00B43A3F">
      <w:pPr>
        <w:spacing w:after="0" w:line="480" w:lineRule="auto"/>
        <w:contextualSpacing/>
        <w:jc w:val="both"/>
        <w:rPr>
          <w:rFonts w:ascii="Times New Roman" w:hAnsi="Times New Roman" w:cs="Times New Roman"/>
          <w:sz w:val="24"/>
          <w:szCs w:val="24"/>
          <w:lang w:val="en-US"/>
        </w:rPr>
      </w:pPr>
      <w:r w:rsidRPr="009A11C8">
        <w:rPr>
          <w:rFonts w:ascii="Times New Roman" w:hAnsi="Times New Roman" w:cs="Times New Roman"/>
          <w:sz w:val="24"/>
          <w:szCs w:val="24"/>
          <w:lang w:val="en-US"/>
        </w:rPr>
        <w:t>Data processing, statistical analysis and figures were performed with the statistical software R</w:t>
      </w:r>
      <w:r w:rsidR="00B43A3F">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Pr="009A11C8">
        <w:rPr>
          <w:rFonts w:ascii="Times New Roman" w:hAnsi="Times New Roman" w:cs="Times New Roman"/>
          <w:sz w:val="24"/>
          <w:szCs w:val="24"/>
          <w:lang w:val="en-US"/>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(22)","plainTextFormattedCitation":"(22)","previouslyFormattedCitation":"(21)"},"properties":{"noteIndex":0},"schema":"https://github.com/citation-style-language/schema/raw/master/csl-citation.json"}</w:instrText>
      </w:r>
      <w:r w:rsidR="00EE0CA3">
        <w:rPr>
          <w:rFonts w:ascii="Times New Roman" w:hAnsi="Times New Roman" w:cs="Times New Roman"/>
          <w:sz w:val="24"/>
          <w:szCs w:val="24"/>
        </w:rPr>
        <w:fldChar w:fldCharType="separate"/>
      </w:r>
      <w:r w:rsidRPr="009A11C8">
        <w:rPr>
          <w:rFonts w:ascii="Times New Roman" w:hAnsi="Times New Roman" w:cs="Times New Roman"/>
          <w:noProof/>
          <w:sz w:val="24"/>
          <w:szCs w:val="24"/>
          <w:lang w:val="en-US"/>
        </w:rPr>
        <w:t>(22)</w:t>
      </w:r>
      <w:r w:rsidR="00EE0CA3">
        <w:rPr>
          <w:rFonts w:ascii="Times New Roman" w:hAnsi="Times New Roman" w:cs="Times New Roman"/>
          <w:sz w:val="24"/>
          <w:szCs w:val="24"/>
        </w:rPr>
        <w:fldChar w:fldCharType="end"/>
      </w:r>
      <w:r w:rsidR="00EE0CA3" w:rsidRPr="009A11C8">
        <w:rPr>
          <w:rFonts w:ascii="Times New Roman" w:hAnsi="Times New Roman" w:cs="Times New Roman"/>
          <w:sz w:val="24"/>
          <w:szCs w:val="24"/>
          <w:lang w:val="en-US"/>
        </w:rPr>
        <w:t>.</w:t>
      </w:r>
    </w:p>
    <w:p w:rsidR="00177BF9" w:rsidRDefault="00177BF9" w:rsidP="00B43A3F">
      <w:pPr>
        <w:spacing w:after="0" w:line="480" w:lineRule="auto"/>
        <w:contextualSpacing/>
        <w:jc w:val="both"/>
        <w:rPr>
          <w:rFonts w:ascii="Times New Roman" w:hAnsi="Times New Roman" w:cs="Times New Roman"/>
          <w:sz w:val="24"/>
          <w:szCs w:val="24"/>
          <w:lang w:val="en-US"/>
        </w:rPr>
      </w:pPr>
    </w:p>
    <w:p w:rsidR="00DD6046" w:rsidRPr="00177BF9" w:rsidRDefault="00177BF9" w:rsidP="00DE13F5">
      <w:pPr>
        <w:spacing w:after="0" w:line="480" w:lineRule="auto"/>
        <w:contextualSpacing/>
        <w:jc w:val="both"/>
        <w:rPr>
          <w:rFonts w:ascii="Times New Roman" w:hAnsi="Times New Roman" w:cs="Times New Roman"/>
          <w:sz w:val="24"/>
          <w:szCs w:val="24"/>
          <w:lang w:val="en-US"/>
        </w:rPr>
      </w:pPr>
      <w:r w:rsidRPr="00177BF9">
        <w:rPr>
          <w:rFonts w:ascii="Times New Roman" w:hAnsi="Times New Roman" w:cs="Times New Roman"/>
          <w:sz w:val="24"/>
          <w:szCs w:val="24"/>
          <w:lang w:val="en-US"/>
        </w:rPr>
        <w:t xml:space="preserve">The programming codes </w:t>
      </w:r>
      <w:r w:rsidR="00A00385">
        <w:rPr>
          <w:rFonts w:ascii="Times New Roman" w:hAnsi="Times New Roman" w:cs="Times New Roman"/>
          <w:sz w:val="24"/>
          <w:szCs w:val="24"/>
          <w:lang w:val="en-US"/>
        </w:rPr>
        <w:t xml:space="preserve">and data </w:t>
      </w:r>
      <w:r w:rsidRPr="00177BF9">
        <w:rPr>
          <w:rFonts w:ascii="Times New Roman" w:hAnsi="Times New Roman" w:cs="Times New Roman"/>
          <w:sz w:val="24"/>
          <w:szCs w:val="24"/>
          <w:lang w:val="en-US"/>
        </w:rPr>
        <w:t xml:space="preserve">used to calculate the indicators </w:t>
      </w:r>
      <w:r w:rsidR="00A00385">
        <w:rPr>
          <w:rFonts w:ascii="Times New Roman" w:hAnsi="Times New Roman" w:cs="Times New Roman"/>
          <w:sz w:val="24"/>
          <w:szCs w:val="24"/>
          <w:lang w:val="en-US"/>
        </w:rPr>
        <w:t>of</w:t>
      </w:r>
      <w:r w:rsidRPr="00177BF9">
        <w:rPr>
          <w:rFonts w:ascii="Times New Roman" w:hAnsi="Times New Roman" w:cs="Times New Roman"/>
          <w:sz w:val="24"/>
          <w:szCs w:val="24"/>
          <w:lang w:val="en-US"/>
        </w:rPr>
        <w:t xml:space="preserve"> this study are available in the public repository </w:t>
      </w:r>
      <w:r w:rsidRPr="00A00385">
        <w:rPr>
          <w:rFonts w:ascii="Times New Roman" w:hAnsi="Times New Roman" w:cs="Times New Roman"/>
          <w:sz w:val="24"/>
          <w:szCs w:val="24"/>
          <w:highlight w:val="yellow"/>
          <w:lang w:val="en-US"/>
        </w:rPr>
        <w:t>XXX</w:t>
      </w:r>
      <w:r w:rsidRPr="00177BF9">
        <w:rPr>
          <w:rFonts w:ascii="Times New Roman" w:hAnsi="Times New Roman" w:cs="Times New Roman"/>
          <w:sz w:val="24"/>
          <w:szCs w:val="24"/>
          <w:lang w:val="en-US"/>
        </w:rPr>
        <w:t>. The repository offers the possibility of updating the calculations to the most up-to-date information available.</w:t>
      </w:r>
    </w:p>
    <w:p w:rsidR="00A00385" w:rsidRDefault="00A00385" w:rsidP="00DE13F5">
      <w:pPr>
        <w:spacing w:after="0" w:line="480" w:lineRule="auto"/>
        <w:contextualSpacing/>
        <w:jc w:val="both"/>
        <w:rPr>
          <w:rFonts w:ascii="Times New Roman" w:hAnsi="Times New Roman" w:cs="Times New Roman"/>
          <w:b/>
          <w:sz w:val="24"/>
          <w:szCs w:val="24"/>
          <w:lang w:val="en-US"/>
        </w:rPr>
      </w:pPr>
    </w:p>
    <w:p w:rsidR="00DD6046" w:rsidRPr="00B43A3F" w:rsidRDefault="00A00385" w:rsidP="00DE13F5">
      <w:pPr>
        <w:spacing w:after="0" w:line="480" w:lineRule="auto"/>
        <w:contextualSpacing/>
        <w:jc w:val="both"/>
        <w:rPr>
          <w:rFonts w:ascii="Times New Roman" w:hAnsi="Times New Roman" w:cs="Times New Roman"/>
          <w:b/>
          <w:sz w:val="24"/>
          <w:szCs w:val="24"/>
          <w:lang w:val="en-US"/>
        </w:rPr>
      </w:pPr>
      <w:r>
        <w:rPr>
          <w:rFonts w:ascii="Times New Roman" w:hAnsi="Times New Roman" w:cs="Times New Roman"/>
          <w:b/>
          <w:sz w:val="24"/>
          <w:szCs w:val="24"/>
          <w:lang w:val="en-US"/>
        </w:rPr>
        <w:t>RESULTS</w:t>
      </w:r>
    </w:p>
    <w:p w:rsid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lastRenderedPageBreak/>
        <w:t xml:space="preserve">By </w:t>
      </w:r>
      <w:r w:rsidR="00A00385" w:rsidRPr="00A00385">
        <w:rPr>
          <w:rFonts w:ascii="Times New Roman" w:hAnsi="Times New Roman" w:cs="Times New Roman"/>
          <w:sz w:val="24"/>
          <w:szCs w:val="24"/>
          <w:highlight w:val="yellow"/>
          <w:lang w:val="en-US"/>
        </w:rPr>
        <w:t>11 November 2020</w:t>
      </w:r>
      <w:r w:rsidRPr="00A00385">
        <w:rPr>
          <w:rFonts w:ascii="Times New Roman" w:hAnsi="Times New Roman" w:cs="Times New Roman"/>
          <w:sz w:val="24"/>
          <w:szCs w:val="24"/>
          <w:highlight w:val="yellow"/>
          <w:lang w:val="en-US"/>
        </w:rPr>
        <w:t>,</w:t>
      </w:r>
      <w:r w:rsidRPr="00384A8F">
        <w:rPr>
          <w:rFonts w:ascii="Times New Roman" w:hAnsi="Times New Roman" w:cs="Times New Roman"/>
          <w:sz w:val="24"/>
          <w:szCs w:val="24"/>
          <w:lang w:val="en-US"/>
        </w:rPr>
        <w:t xml:space="preserve"> </w:t>
      </w:r>
      <w:r w:rsidRPr="001C6486">
        <w:rPr>
          <w:rFonts w:ascii="Times New Roman" w:hAnsi="Times New Roman" w:cs="Times New Roman"/>
          <w:sz w:val="24"/>
          <w:szCs w:val="24"/>
          <w:highlight w:val="yellow"/>
          <w:lang w:val="en-US"/>
        </w:rPr>
        <w:t>215</w:t>
      </w:r>
      <w:r w:rsidRPr="00384A8F">
        <w:rPr>
          <w:rFonts w:ascii="Times New Roman" w:hAnsi="Times New Roman" w:cs="Times New Roman"/>
          <w:sz w:val="24"/>
          <w:szCs w:val="24"/>
          <w:lang w:val="en-US"/>
        </w:rPr>
        <w:t xml:space="preserve"> days had passed since the first confirmed case of CO</w:t>
      </w:r>
      <w:r w:rsidR="00A00385">
        <w:rPr>
          <w:rFonts w:ascii="Times New Roman" w:hAnsi="Times New Roman" w:cs="Times New Roman"/>
          <w:sz w:val="24"/>
          <w:szCs w:val="24"/>
          <w:lang w:val="en-US"/>
        </w:rPr>
        <w:t xml:space="preserve">VID-19. During this period, </w:t>
      </w:r>
      <w:proofErr w:type="gramStart"/>
      <w:r w:rsidR="00A00385">
        <w:rPr>
          <w:rFonts w:ascii="Times New Roman" w:hAnsi="Times New Roman" w:cs="Times New Roman"/>
          <w:sz w:val="24"/>
          <w:szCs w:val="24"/>
          <w:lang w:val="en-US"/>
        </w:rPr>
        <w:t>328</w:t>
      </w:r>
      <w:r w:rsidRPr="00384A8F">
        <w:rPr>
          <w:rFonts w:ascii="Times New Roman" w:hAnsi="Times New Roman" w:cs="Times New Roman"/>
          <w:sz w:val="24"/>
          <w:szCs w:val="24"/>
          <w:lang w:val="en-US"/>
        </w:rPr>
        <w:t>573 suspected</w:t>
      </w:r>
      <w:proofErr w:type="gramEnd"/>
      <w:r w:rsidRPr="00384A8F">
        <w:rPr>
          <w:rFonts w:ascii="Times New Roman" w:hAnsi="Times New Roman" w:cs="Times New Roman"/>
          <w:sz w:val="24"/>
          <w:szCs w:val="24"/>
          <w:lang w:val="en-US"/>
        </w:rPr>
        <w:t xml:space="preserve"> cases were entered into the epidemiological su</w:t>
      </w:r>
      <w:r w:rsidR="00A00385">
        <w:rPr>
          <w:rFonts w:ascii="Times New Roman" w:hAnsi="Times New Roman" w:cs="Times New Roman"/>
          <w:sz w:val="24"/>
          <w:szCs w:val="24"/>
          <w:lang w:val="en-US"/>
        </w:rPr>
        <w:t>rveillance system, of which 125</w:t>
      </w:r>
      <w:r w:rsidRPr="00384A8F">
        <w:rPr>
          <w:rFonts w:ascii="Times New Roman" w:hAnsi="Times New Roman" w:cs="Times New Roman"/>
          <w:sz w:val="24"/>
          <w:szCs w:val="24"/>
          <w:lang w:val="en-US"/>
        </w:rPr>
        <w:t xml:space="preserve">652 were confirmed, resulting in a cumulative incidence rate of 40.8 cases per </w:t>
      </w:r>
      <w:r w:rsidR="00A00385">
        <w:rPr>
          <w:rFonts w:ascii="Times New Roman" w:hAnsi="Times New Roman" w:cs="Times New Roman"/>
          <w:sz w:val="24"/>
          <w:szCs w:val="24"/>
          <w:lang w:val="en-US"/>
        </w:rPr>
        <w:t>1000 people</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95% 40.6 - 41.1).</w:t>
      </w:r>
    </w:p>
    <w:p w:rsidR="00A00385" w:rsidRDefault="00A00385" w:rsidP="00DE13F5">
      <w:pPr>
        <w:spacing w:after="0" w:line="480" w:lineRule="auto"/>
        <w:contextualSpacing/>
        <w:jc w:val="both"/>
        <w:rPr>
          <w:rFonts w:ascii="Times New Roman" w:hAnsi="Times New Roman" w:cs="Times New Roman"/>
          <w:sz w:val="24"/>
          <w:szCs w:val="24"/>
          <w:lang w:val="en-US"/>
        </w:rPr>
      </w:pPr>
    </w:p>
    <w:p w:rsidR="007927B0" w:rsidRP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The analysis of the incidence showed that it was not distributed homogeneously, since it oscillated between 25.8 per </w:t>
      </w:r>
      <w:r w:rsidR="00A00385">
        <w:rPr>
          <w:rFonts w:ascii="Times New Roman" w:hAnsi="Times New Roman" w:cs="Times New Roman"/>
          <w:sz w:val="24"/>
          <w:szCs w:val="24"/>
          <w:lang w:val="en-US"/>
        </w:rPr>
        <w:t>1000 people</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25.2 - 26.5)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12 (central zone) and 62.2 per </w:t>
      </w:r>
      <w:r w:rsidR="00A00385">
        <w:rPr>
          <w:rFonts w:ascii="Times New Roman" w:hAnsi="Times New Roman" w:cs="Times New Roman"/>
          <w:sz w:val="24"/>
          <w:szCs w:val="24"/>
          <w:lang w:val="en-US"/>
        </w:rPr>
        <w:t>1000 people</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61.3 - 63.2)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4 (southern zone). This last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the one with the lowest average family income, presented an accumulated incidence rate 76.2% higher than the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with the best socioeconomic situation -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14, in the northern zone - (rate </w:t>
      </w:r>
      <w:r>
        <w:rPr>
          <w:rFonts w:ascii="Times New Roman" w:hAnsi="Times New Roman" w:cs="Times New Roman"/>
          <w:sz w:val="24"/>
          <w:szCs w:val="24"/>
          <w:lang w:val="en-US"/>
        </w:rPr>
        <w:t>ratio</w:t>
      </w:r>
      <w:r w:rsidRPr="00384A8F">
        <w:rPr>
          <w:rFonts w:ascii="Times New Roman" w:hAnsi="Times New Roman" w:cs="Times New Roman"/>
          <w:sz w:val="24"/>
          <w:szCs w:val="24"/>
          <w:lang w:val="en-US"/>
        </w:rPr>
        <w:t xml:space="preserve">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0.76, IC95% 1.72 - 1.81). </w:t>
      </w:r>
      <w:r w:rsidR="00B7671A" w:rsidRPr="00384A8F">
        <w:rPr>
          <w:rFonts w:ascii="Times New Roman" w:hAnsi="Times New Roman" w:cs="Times New Roman"/>
          <w:sz w:val="24"/>
          <w:szCs w:val="24"/>
          <w:lang w:val="en-US"/>
        </w:rPr>
        <w:t xml:space="preserve"> </w:t>
      </w:r>
    </w:p>
    <w:p w:rsidR="00384A8F" w:rsidRPr="00384A8F" w:rsidRDefault="00384A8F" w:rsidP="00DE13F5">
      <w:pPr>
        <w:spacing w:after="0" w:line="480" w:lineRule="auto"/>
        <w:contextualSpacing/>
        <w:jc w:val="both"/>
        <w:rPr>
          <w:rFonts w:ascii="Times New Roman" w:hAnsi="Times New Roman" w:cs="Times New Roman"/>
          <w:sz w:val="24"/>
          <w:szCs w:val="24"/>
          <w:lang w:val="en-US"/>
        </w:rPr>
      </w:pPr>
    </w:p>
    <w:p w:rsidR="00384A8F" w:rsidRPr="00384A8F" w:rsidRDefault="00384A8F" w:rsidP="00DE13F5">
      <w:pPr>
        <w:spacing w:after="0" w:line="480" w:lineRule="auto"/>
        <w:contextualSpacing/>
        <w:jc w:val="both"/>
        <w:rPr>
          <w:rFonts w:ascii="Times New Roman" w:hAnsi="Times New Roman" w:cs="Times New Roman"/>
          <w:b/>
          <w:color w:val="FF0000"/>
          <w:sz w:val="24"/>
          <w:szCs w:val="24"/>
          <w:lang w:val="en-US"/>
        </w:rPr>
      </w:pPr>
    </w:p>
    <w:p w:rsidR="00405EFF" w:rsidRPr="00384A8F" w:rsidRDefault="00405EFF" w:rsidP="00DE13F5">
      <w:pPr>
        <w:spacing w:after="0" w:line="480" w:lineRule="auto"/>
        <w:contextualSpacing/>
        <w:jc w:val="both"/>
        <w:rPr>
          <w:rFonts w:ascii="Times New Roman" w:hAnsi="Times New Roman" w:cs="Times New Roman"/>
          <w:sz w:val="24"/>
          <w:szCs w:val="24"/>
          <w:lang w:val="en-US"/>
        </w:rPr>
      </w:pPr>
      <w:r>
        <w:rPr>
          <w:noProof/>
          <w:lang w:val="en-US"/>
        </w:rPr>
        <w:drawing>
          <wp:inline distT="0" distB="0" distL="0" distR="0" wp14:anchorId="12DB56D0" wp14:editId="603AE342">
            <wp:extent cx="5971540" cy="3546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1540" cy="3546475"/>
                    </a:xfrm>
                    <a:prstGeom prst="rect">
                      <a:avLst/>
                    </a:prstGeom>
                  </pic:spPr>
                </pic:pic>
              </a:graphicData>
            </a:graphic>
          </wp:inline>
        </w:drawing>
      </w:r>
    </w:p>
    <w:p w:rsidR="00FD537F" w:rsidRPr="00384A8F" w:rsidRDefault="00384A8F" w:rsidP="00DE13F5">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lastRenderedPageBreak/>
        <w:t>When observing the differences in incidence by age groups, the inequalities also acquire high magnitudes, with the greatest differences concentrated mainly among young adults. Figure 1 shows the different levels of incidence between the best and worst-off communes in relation to average family income according to different ages. The two most unequal age groups are the 20 to 24 year olds, where the incidence of the most disadvantaged commune represents 2.7 times that of the best situation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2.7, CI95% 2.4 - 3.0) and the 25 to 29 year old group, where the first represents 2.3 times the second (</w:t>
      </w:r>
      <w:r>
        <w:rPr>
          <w:rFonts w:ascii="Times New Roman" w:hAnsi="Times New Roman" w:cs="Times New Roman"/>
          <w:sz w:val="24"/>
          <w:szCs w:val="24"/>
          <w:lang w:val="en-US"/>
        </w:rPr>
        <w:t>RR</w:t>
      </w:r>
      <w:r w:rsidRPr="00384A8F">
        <w:rPr>
          <w:rFonts w:ascii="Times New Roman" w:hAnsi="Times New Roman" w:cs="Times New Roman"/>
          <w:sz w:val="24"/>
          <w:szCs w:val="24"/>
          <w:lang w:val="en-US"/>
        </w:rPr>
        <w:t xml:space="preserve"> = 2.3, CI95% 2.1 - 2.5).</w:t>
      </w:r>
      <w:r w:rsidR="001A23A1" w:rsidRPr="00384A8F">
        <w:rPr>
          <w:rFonts w:ascii="Times New Roman" w:hAnsi="Times New Roman" w:cs="Times New Roman"/>
          <w:sz w:val="24"/>
          <w:szCs w:val="24"/>
          <w:lang w:val="en-US"/>
        </w:rPr>
        <w:tab/>
      </w:r>
    </w:p>
    <w:p w:rsidR="00FD537F" w:rsidRDefault="00FD537F"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71540" cy="3547031"/>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71540" cy="3547031"/>
                    </a:xfrm>
                    <a:prstGeom prst="rect">
                      <a:avLst/>
                    </a:prstGeom>
                    <a:noFill/>
                    <a:ln w="9525">
                      <a:noFill/>
                      <a:miter lim="800000"/>
                      <a:headEnd/>
                      <a:tailEnd/>
                    </a:ln>
                  </pic:spPr>
                </pic:pic>
              </a:graphicData>
            </a:graphic>
          </wp:inline>
        </w:drawing>
      </w:r>
    </w:p>
    <w:p w:rsidR="00384A8F" w:rsidRDefault="00384A8F" w:rsidP="0016684F">
      <w:pPr>
        <w:spacing w:after="0" w:line="480" w:lineRule="auto"/>
        <w:contextualSpacing/>
        <w:jc w:val="both"/>
        <w:rPr>
          <w:rFonts w:ascii="Times New Roman" w:hAnsi="Times New Roman" w:cs="Times New Roman"/>
          <w:sz w:val="24"/>
          <w:szCs w:val="24"/>
        </w:rPr>
      </w:pPr>
    </w:p>
    <w:p w:rsidR="00EF2B6B" w:rsidRPr="00384A8F" w:rsidRDefault="00384A8F" w:rsidP="0016684F">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The percentage of positivity </w:t>
      </w:r>
      <w:proofErr w:type="gramStart"/>
      <w:r w:rsidRPr="00384A8F">
        <w:rPr>
          <w:rFonts w:ascii="Times New Roman" w:hAnsi="Times New Roman" w:cs="Times New Roman"/>
          <w:sz w:val="24"/>
          <w:szCs w:val="24"/>
          <w:lang w:val="en-US"/>
        </w:rPr>
        <w:t>was also evaluated</w:t>
      </w:r>
      <w:proofErr w:type="gramEnd"/>
      <w:r w:rsidRPr="00384A8F">
        <w:rPr>
          <w:rFonts w:ascii="Times New Roman" w:hAnsi="Times New Roman" w:cs="Times New Roman"/>
          <w:sz w:val="24"/>
          <w:szCs w:val="24"/>
          <w:lang w:val="en-US"/>
        </w:rPr>
        <w:t xml:space="preserve"> as a measure of the intensity of epidemiological surveillance. This indicator </w:t>
      </w:r>
      <w:proofErr w:type="gramStart"/>
      <w:r w:rsidRPr="00384A8F">
        <w:rPr>
          <w:rFonts w:ascii="Times New Roman" w:hAnsi="Times New Roman" w:cs="Times New Roman"/>
          <w:sz w:val="24"/>
          <w:szCs w:val="24"/>
          <w:lang w:val="en-US"/>
        </w:rPr>
        <w:t>was more homogeneously distributed</w:t>
      </w:r>
      <w:proofErr w:type="gramEnd"/>
      <w:r w:rsidRPr="00384A8F">
        <w:rPr>
          <w:rFonts w:ascii="Times New Roman" w:hAnsi="Times New Roman" w:cs="Times New Roman"/>
          <w:sz w:val="24"/>
          <w:szCs w:val="24"/>
          <w:lang w:val="en-US"/>
        </w:rPr>
        <w:t xml:space="preserve"> among the CABA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in comparison with the accumulated incidence rate, but significant differences were evident. For the city as a whole, the percentage of positivity stood at 38.0% (</w:t>
      </w:r>
      <w:proofErr w:type="gramStart"/>
      <w:r>
        <w:rPr>
          <w:rFonts w:ascii="Times New Roman" w:hAnsi="Times New Roman" w:cs="Times New Roman"/>
          <w:sz w:val="24"/>
          <w:szCs w:val="24"/>
          <w:lang w:val="en-US"/>
        </w:rPr>
        <w:t>CI</w:t>
      </w:r>
      <w:r w:rsidRPr="00384A8F">
        <w:rPr>
          <w:rFonts w:ascii="Times New Roman" w:hAnsi="Times New Roman" w:cs="Times New Roman"/>
          <w:sz w:val="24"/>
          <w:szCs w:val="24"/>
          <w:lang w:val="en-US"/>
        </w:rPr>
        <w:t>95%</w:t>
      </w:r>
      <w:proofErr w:type="gramEnd"/>
      <w:r w:rsidRPr="00384A8F">
        <w:rPr>
          <w:rFonts w:ascii="Times New Roman" w:hAnsi="Times New Roman" w:cs="Times New Roman"/>
          <w:sz w:val="24"/>
          <w:szCs w:val="24"/>
          <w:lang w:val="en-US"/>
        </w:rPr>
        <w:t xml:space="preserve"> 37.8 - 38.2), rising to 41.4% (</w:t>
      </w:r>
      <w:r>
        <w:rPr>
          <w:rFonts w:ascii="Times New Roman" w:hAnsi="Times New Roman" w:cs="Times New Roman"/>
          <w:sz w:val="24"/>
          <w:szCs w:val="24"/>
          <w:lang w:val="en-US"/>
        </w:rPr>
        <w:t>CI</w:t>
      </w:r>
      <w:r w:rsidRPr="00384A8F">
        <w:rPr>
          <w:rFonts w:ascii="Times New Roman" w:hAnsi="Times New Roman" w:cs="Times New Roman"/>
          <w:sz w:val="24"/>
          <w:szCs w:val="24"/>
          <w:lang w:val="en-US"/>
        </w:rPr>
        <w:t xml:space="preserve">95% 40.9 - 41.9) in the area of worst average income. The most favored </w:t>
      </w:r>
      <w:r w:rsidR="00A00385">
        <w:rPr>
          <w:rFonts w:ascii="Times New Roman" w:hAnsi="Times New Roman" w:cs="Times New Roman"/>
          <w:sz w:val="24"/>
          <w:szCs w:val="24"/>
          <w:lang w:val="en-US"/>
        </w:rPr>
        <w:t xml:space="preserve">ward </w:t>
      </w:r>
      <w:r w:rsidRPr="00384A8F">
        <w:rPr>
          <w:rFonts w:ascii="Times New Roman" w:hAnsi="Times New Roman" w:cs="Times New Roman"/>
          <w:sz w:val="24"/>
          <w:szCs w:val="24"/>
          <w:lang w:val="en-US"/>
        </w:rPr>
        <w:t xml:space="preserve">presented a </w:t>
      </w:r>
      <w:r w:rsidRPr="00384A8F">
        <w:rPr>
          <w:rFonts w:ascii="Times New Roman" w:hAnsi="Times New Roman" w:cs="Times New Roman"/>
          <w:sz w:val="24"/>
          <w:szCs w:val="24"/>
          <w:lang w:val="en-US"/>
        </w:rPr>
        <w:lastRenderedPageBreak/>
        <w:t>level of positivity of 32.6% (</w:t>
      </w:r>
      <w:proofErr w:type="gramStart"/>
      <w:r>
        <w:rPr>
          <w:rFonts w:ascii="Times New Roman" w:hAnsi="Times New Roman" w:cs="Times New Roman"/>
          <w:sz w:val="24"/>
          <w:szCs w:val="24"/>
          <w:lang w:val="en-US"/>
        </w:rPr>
        <w:t>CI</w:t>
      </w:r>
      <w:r w:rsidRPr="00384A8F">
        <w:rPr>
          <w:rFonts w:ascii="Times New Roman" w:hAnsi="Times New Roman" w:cs="Times New Roman"/>
          <w:sz w:val="24"/>
          <w:szCs w:val="24"/>
          <w:lang w:val="en-US"/>
        </w:rPr>
        <w:t>95%</w:t>
      </w:r>
      <w:proofErr w:type="gramEnd"/>
      <w:r w:rsidRPr="00384A8F">
        <w:rPr>
          <w:rFonts w:ascii="Times New Roman" w:hAnsi="Times New Roman" w:cs="Times New Roman"/>
          <w:sz w:val="24"/>
          <w:szCs w:val="24"/>
          <w:lang w:val="en-US"/>
        </w:rPr>
        <w:t xml:space="preserve"> 32.0 - 33.2), almost 10 percentage points below the most economically disadvantaged and 5 below the value of the CABA. It is important to note that the highest value of positivity </w:t>
      </w:r>
      <w:proofErr w:type="gramStart"/>
      <w:r w:rsidRPr="00384A8F">
        <w:rPr>
          <w:rFonts w:ascii="Times New Roman" w:hAnsi="Times New Roman" w:cs="Times New Roman"/>
          <w:sz w:val="24"/>
          <w:szCs w:val="24"/>
          <w:lang w:val="en-US"/>
        </w:rPr>
        <w:t>was presented</w:t>
      </w:r>
      <w:proofErr w:type="gramEnd"/>
      <w:r w:rsidRPr="00384A8F">
        <w:rPr>
          <w:rFonts w:ascii="Times New Roman" w:hAnsi="Times New Roman" w:cs="Times New Roman"/>
          <w:sz w:val="24"/>
          <w:szCs w:val="24"/>
          <w:lang w:val="en-US"/>
        </w:rPr>
        <w:t xml:space="preserve"> by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3 with 44.6% of the cases, an area that does not present the lowest level of average income and is located in the center of the city. In any case, when observing the set of positivity values, a tendency towards concentration in the center of the city </w:t>
      </w:r>
      <w:proofErr w:type="gramStart"/>
      <w:r w:rsidRPr="00384A8F">
        <w:rPr>
          <w:rFonts w:ascii="Times New Roman" w:hAnsi="Times New Roman" w:cs="Times New Roman"/>
          <w:sz w:val="24"/>
          <w:szCs w:val="24"/>
          <w:lang w:val="en-US"/>
        </w:rPr>
        <w:t>can be observed</w:t>
      </w:r>
      <w:proofErr w:type="gramEnd"/>
      <w:r w:rsidRPr="00384A8F">
        <w:rPr>
          <w:rFonts w:ascii="Times New Roman" w:hAnsi="Times New Roman" w:cs="Times New Roman"/>
          <w:sz w:val="24"/>
          <w:szCs w:val="24"/>
          <w:lang w:val="en-US"/>
        </w:rPr>
        <w:t xml:space="preserve">. Figure 2 describes the different levels of positivity observed by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w:t>
      </w:r>
    </w:p>
    <w:p w:rsidR="00EF2B6B" w:rsidRDefault="00EF2B6B" w:rsidP="0016684F">
      <w:pPr>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71540" cy="396892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71540" cy="3968923"/>
                    </a:xfrm>
                    <a:prstGeom prst="rect">
                      <a:avLst/>
                    </a:prstGeom>
                    <a:noFill/>
                    <a:ln w="9525">
                      <a:noFill/>
                      <a:miter lim="800000"/>
                      <a:headEnd/>
                      <a:tailEnd/>
                    </a:ln>
                  </pic:spPr>
                </pic:pic>
              </a:graphicData>
            </a:graphic>
          </wp:inline>
        </w:drawing>
      </w:r>
    </w:p>
    <w:p w:rsidR="00D57FBD" w:rsidRPr="00D262C9" w:rsidRDefault="00D57FBD" w:rsidP="0016684F">
      <w:pPr>
        <w:spacing w:after="0" w:line="480" w:lineRule="auto"/>
        <w:contextualSpacing/>
        <w:jc w:val="both"/>
        <w:rPr>
          <w:rFonts w:ascii="Times New Roman" w:hAnsi="Times New Roman" w:cs="Times New Roman"/>
          <w:sz w:val="24"/>
          <w:szCs w:val="24"/>
        </w:rPr>
      </w:pPr>
    </w:p>
    <w:p w:rsidR="00384A8F" w:rsidRDefault="00384A8F" w:rsidP="0016684F">
      <w:pPr>
        <w:spacing w:after="0" w:line="480" w:lineRule="auto"/>
        <w:contextualSpacing/>
        <w:jc w:val="both"/>
        <w:rPr>
          <w:rFonts w:ascii="Times New Roman" w:hAnsi="Times New Roman" w:cs="Times New Roman"/>
          <w:sz w:val="24"/>
          <w:szCs w:val="24"/>
        </w:rPr>
      </w:pPr>
    </w:p>
    <w:p w:rsidR="00384A8F" w:rsidRPr="00384A8F" w:rsidRDefault="00384A8F" w:rsidP="0016684F">
      <w:pPr>
        <w:spacing w:after="0" w:line="480" w:lineRule="auto"/>
        <w:contextualSpacing/>
        <w:jc w:val="both"/>
        <w:rPr>
          <w:rFonts w:ascii="Times New Roman" w:hAnsi="Times New Roman" w:cs="Times New Roman"/>
          <w:b/>
          <w:sz w:val="24"/>
          <w:szCs w:val="24"/>
          <w:lang w:val="en-US"/>
        </w:rPr>
      </w:pPr>
      <w:r w:rsidRPr="00384A8F">
        <w:rPr>
          <w:rFonts w:ascii="Times New Roman" w:hAnsi="Times New Roman" w:cs="Times New Roman"/>
          <w:sz w:val="24"/>
          <w:szCs w:val="24"/>
          <w:lang w:val="en-US"/>
        </w:rPr>
        <w:t xml:space="preserve">In relation to mortality, the percentage varied between 1.7% (CI 95% 1.5 - 1.9)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8 (southern zone) and 3.6% (</w:t>
      </w:r>
      <w:proofErr w:type="gramStart"/>
      <w:r w:rsidRPr="00384A8F">
        <w:rPr>
          <w:rFonts w:ascii="Times New Roman" w:hAnsi="Times New Roman" w:cs="Times New Roman"/>
          <w:sz w:val="24"/>
          <w:szCs w:val="24"/>
          <w:lang w:val="en-US"/>
        </w:rPr>
        <w:t>CI95%</w:t>
      </w:r>
      <w:proofErr w:type="gramEnd"/>
      <w:r w:rsidRPr="00384A8F">
        <w:rPr>
          <w:rFonts w:ascii="Times New Roman" w:hAnsi="Times New Roman" w:cs="Times New Roman"/>
          <w:sz w:val="24"/>
          <w:szCs w:val="24"/>
          <w:lang w:val="en-US"/>
        </w:rPr>
        <w:t xml:space="preserve"> 3.1 - 4.1) in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12 (northern zone). </w:t>
      </w:r>
      <w:proofErr w:type="gramStart"/>
      <w:r w:rsidR="000B09AA">
        <w:rPr>
          <w:rFonts w:ascii="Times New Roman" w:hAnsi="Times New Roman" w:cs="Times New Roman"/>
          <w:sz w:val="24"/>
          <w:szCs w:val="24"/>
          <w:lang w:val="en-US"/>
        </w:rPr>
        <w:t>T</w:t>
      </w:r>
      <w:r w:rsidRPr="00384A8F">
        <w:rPr>
          <w:rFonts w:ascii="Times New Roman" w:hAnsi="Times New Roman" w:cs="Times New Roman"/>
          <w:sz w:val="24"/>
          <w:szCs w:val="24"/>
          <w:lang w:val="en-US"/>
        </w:rPr>
        <w:t xml:space="preserve">he </w:t>
      </w:r>
      <w:r w:rsidR="00A00385">
        <w:rPr>
          <w:rFonts w:ascii="Times New Roman" w:hAnsi="Times New Roman" w:cs="Times New Roman"/>
          <w:sz w:val="24"/>
          <w:szCs w:val="24"/>
          <w:lang w:val="en-US"/>
        </w:rPr>
        <w:t xml:space="preserve">case </w:t>
      </w:r>
      <w:r w:rsidRPr="00384A8F">
        <w:rPr>
          <w:rFonts w:ascii="Times New Roman" w:hAnsi="Times New Roman" w:cs="Times New Roman"/>
          <w:sz w:val="24"/>
          <w:szCs w:val="24"/>
          <w:lang w:val="en-US"/>
        </w:rPr>
        <w:t>fatality</w:t>
      </w:r>
      <w:r w:rsidR="00A00385">
        <w:rPr>
          <w:rFonts w:ascii="Times New Roman" w:hAnsi="Times New Roman" w:cs="Times New Roman"/>
          <w:sz w:val="24"/>
          <w:szCs w:val="24"/>
          <w:lang w:val="en-US"/>
        </w:rPr>
        <w:t xml:space="preserve"> rate</w:t>
      </w:r>
      <w:r w:rsidRPr="00384A8F">
        <w:rPr>
          <w:rFonts w:ascii="Times New Roman" w:hAnsi="Times New Roman" w:cs="Times New Roman"/>
          <w:sz w:val="24"/>
          <w:szCs w:val="24"/>
          <w:lang w:val="en-US"/>
        </w:rPr>
        <w:t xml:space="preserve"> presented the lowest value in a </w:t>
      </w:r>
      <w:r w:rsidR="00A00385">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w:t>
      </w:r>
      <w:r w:rsidR="000B09AA">
        <w:rPr>
          <w:rFonts w:ascii="Times New Roman" w:hAnsi="Times New Roman" w:cs="Times New Roman"/>
          <w:sz w:val="24"/>
          <w:szCs w:val="24"/>
          <w:lang w:val="en-US"/>
        </w:rPr>
        <w:t>of</w:t>
      </w:r>
      <w:r w:rsidRPr="00384A8F">
        <w:rPr>
          <w:rFonts w:ascii="Times New Roman" w:hAnsi="Times New Roman" w:cs="Times New Roman"/>
          <w:sz w:val="24"/>
          <w:szCs w:val="24"/>
          <w:lang w:val="en-US"/>
        </w:rPr>
        <w:t xml:space="preserve"> the southern zone, which would mean that, in general terms, the worst prognosis for those infected was found in one of the most disadvantaged areas, </w:t>
      </w:r>
      <w:r w:rsidRPr="00384A8F">
        <w:rPr>
          <w:rFonts w:ascii="Times New Roman" w:hAnsi="Times New Roman" w:cs="Times New Roman"/>
          <w:sz w:val="24"/>
          <w:szCs w:val="24"/>
          <w:lang w:val="en-US"/>
        </w:rPr>
        <w:lastRenderedPageBreak/>
        <w:t xml:space="preserve">especially </w:t>
      </w:r>
      <w:r w:rsidR="000B09AA">
        <w:rPr>
          <w:rFonts w:ascii="Times New Roman" w:hAnsi="Times New Roman" w:cs="Times New Roman"/>
          <w:sz w:val="24"/>
          <w:szCs w:val="24"/>
          <w:lang w:val="en-US"/>
        </w:rPr>
        <w:t>taking into</w:t>
      </w:r>
      <w:r w:rsidRPr="00384A8F">
        <w:rPr>
          <w:rFonts w:ascii="Times New Roman" w:hAnsi="Times New Roman" w:cs="Times New Roman"/>
          <w:sz w:val="24"/>
          <w:szCs w:val="24"/>
          <w:lang w:val="en-US"/>
        </w:rPr>
        <w:t xml:space="preserve"> account</w:t>
      </w:r>
      <w:r w:rsidR="000B09AA">
        <w:rPr>
          <w:rFonts w:ascii="Times New Roman" w:hAnsi="Times New Roman" w:cs="Times New Roman"/>
          <w:sz w:val="24"/>
          <w:szCs w:val="24"/>
          <w:lang w:val="en-US"/>
        </w:rPr>
        <w:t xml:space="preserve"> </w:t>
      </w:r>
      <w:r w:rsidRPr="00384A8F">
        <w:rPr>
          <w:rFonts w:ascii="Times New Roman" w:hAnsi="Times New Roman" w:cs="Times New Roman"/>
          <w:sz w:val="24"/>
          <w:szCs w:val="24"/>
          <w:lang w:val="en-US"/>
        </w:rPr>
        <w:t xml:space="preserve">that among the five </w:t>
      </w:r>
      <w:r w:rsidR="00A00385">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with the highest case fatality percentages (</w:t>
      </w:r>
      <w:r w:rsidR="000B09AA">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12, 11, 2, 10 and 13) no</w:t>
      </w:r>
      <w:r w:rsidR="000B09AA">
        <w:rPr>
          <w:rFonts w:ascii="Times New Roman" w:hAnsi="Times New Roman" w:cs="Times New Roman"/>
          <w:sz w:val="24"/>
          <w:szCs w:val="24"/>
          <w:lang w:val="en-US"/>
        </w:rPr>
        <w:t xml:space="preserve"> o</w:t>
      </w:r>
      <w:r w:rsidRPr="00384A8F">
        <w:rPr>
          <w:rFonts w:ascii="Times New Roman" w:hAnsi="Times New Roman" w:cs="Times New Roman"/>
          <w:sz w:val="24"/>
          <w:szCs w:val="24"/>
          <w:lang w:val="en-US"/>
        </w:rPr>
        <w:t>ne was found in the southern zone.</w:t>
      </w:r>
      <w:proofErr w:type="gramEnd"/>
      <w:r w:rsidRPr="00384A8F">
        <w:rPr>
          <w:rFonts w:ascii="Times New Roman" w:hAnsi="Times New Roman" w:cs="Times New Roman"/>
          <w:sz w:val="24"/>
          <w:szCs w:val="24"/>
          <w:lang w:val="en-US"/>
        </w:rPr>
        <w:t xml:space="preserve"> In addition, three of them (2, 12 and 13) are among the five with the best average family income. This would evidence an inverse association between income level and </w:t>
      </w:r>
      <w:r w:rsidR="000B09AA">
        <w:rPr>
          <w:rFonts w:ascii="Times New Roman" w:hAnsi="Times New Roman" w:cs="Times New Roman"/>
          <w:sz w:val="24"/>
          <w:szCs w:val="24"/>
          <w:lang w:val="en-US"/>
        </w:rPr>
        <w:t>fatality</w:t>
      </w:r>
      <w:r w:rsidRPr="00384A8F">
        <w:rPr>
          <w:rFonts w:ascii="Times New Roman" w:hAnsi="Times New Roman" w:cs="Times New Roman"/>
          <w:sz w:val="24"/>
          <w:szCs w:val="24"/>
          <w:lang w:val="en-US"/>
        </w:rPr>
        <w:t xml:space="preserve"> or, in other words, a worse prognosis for those infected </w:t>
      </w:r>
      <w:r w:rsidR="000B09AA">
        <w:rPr>
          <w:rFonts w:ascii="Times New Roman" w:hAnsi="Times New Roman" w:cs="Times New Roman"/>
          <w:sz w:val="24"/>
          <w:szCs w:val="24"/>
          <w:lang w:val="en-US"/>
        </w:rPr>
        <w:t xml:space="preserve">cases </w:t>
      </w:r>
      <w:r w:rsidRPr="00384A8F">
        <w:rPr>
          <w:rFonts w:ascii="Times New Roman" w:hAnsi="Times New Roman" w:cs="Times New Roman"/>
          <w:sz w:val="24"/>
          <w:szCs w:val="24"/>
          <w:lang w:val="en-US"/>
        </w:rPr>
        <w:t xml:space="preserve">living in the higher income zones. This apparent association </w:t>
      </w:r>
      <w:proofErr w:type="gramStart"/>
      <w:r w:rsidRPr="00384A8F">
        <w:rPr>
          <w:rFonts w:ascii="Times New Roman" w:hAnsi="Times New Roman" w:cs="Times New Roman"/>
          <w:sz w:val="24"/>
          <w:szCs w:val="24"/>
          <w:lang w:val="en-US"/>
        </w:rPr>
        <w:t>becomes blurred</w:t>
      </w:r>
      <w:proofErr w:type="gramEnd"/>
      <w:r w:rsidRPr="00384A8F">
        <w:rPr>
          <w:rFonts w:ascii="Times New Roman" w:hAnsi="Times New Roman" w:cs="Times New Roman"/>
          <w:sz w:val="24"/>
          <w:szCs w:val="24"/>
          <w:lang w:val="en-US"/>
        </w:rPr>
        <w:t xml:space="preserve"> </w:t>
      </w:r>
      <w:r w:rsidR="000B09AA">
        <w:rPr>
          <w:rFonts w:ascii="Times New Roman" w:hAnsi="Times New Roman" w:cs="Times New Roman"/>
          <w:sz w:val="24"/>
          <w:szCs w:val="24"/>
          <w:lang w:val="en-US"/>
        </w:rPr>
        <w:t>observing</w:t>
      </w:r>
      <w:r w:rsidRPr="00384A8F">
        <w:rPr>
          <w:rFonts w:ascii="Times New Roman" w:hAnsi="Times New Roman" w:cs="Times New Roman"/>
          <w:sz w:val="24"/>
          <w:szCs w:val="24"/>
          <w:lang w:val="en-US"/>
        </w:rPr>
        <w:t xml:space="preserve"> the age groups, as shown in Figure X. In analyzing the age groups over 60, it </w:t>
      </w:r>
      <w:proofErr w:type="gramStart"/>
      <w:r w:rsidRPr="00384A8F">
        <w:rPr>
          <w:rFonts w:ascii="Times New Roman" w:hAnsi="Times New Roman" w:cs="Times New Roman"/>
          <w:sz w:val="24"/>
          <w:szCs w:val="24"/>
          <w:lang w:val="en-US"/>
        </w:rPr>
        <w:t>was found</w:t>
      </w:r>
      <w:proofErr w:type="gramEnd"/>
      <w:r w:rsidRPr="00384A8F">
        <w:rPr>
          <w:rFonts w:ascii="Times New Roman" w:hAnsi="Times New Roman" w:cs="Times New Roman"/>
          <w:sz w:val="24"/>
          <w:szCs w:val="24"/>
          <w:lang w:val="en-US"/>
        </w:rPr>
        <w:t xml:space="preserve"> that the concentration in the most disadvantaged communes is stronger. In any case, the width of some confidence intervals does not allow making assertions free of a high degree of uncertainty.</w:t>
      </w:r>
    </w:p>
    <w:p w:rsidR="00384A8F" w:rsidRPr="00737A37" w:rsidRDefault="00384A8F" w:rsidP="0016684F">
      <w:pPr>
        <w:spacing w:after="0" w:line="480" w:lineRule="auto"/>
        <w:contextualSpacing/>
        <w:jc w:val="both"/>
        <w:rPr>
          <w:rFonts w:ascii="Times New Roman" w:hAnsi="Times New Roman" w:cs="Times New Roman"/>
          <w:b/>
          <w:sz w:val="24"/>
          <w:szCs w:val="24"/>
          <w:lang w:val="en-US"/>
        </w:rPr>
      </w:pPr>
    </w:p>
    <w:p w:rsidR="00EE64E1" w:rsidRPr="007905F6" w:rsidRDefault="007905F6" w:rsidP="0016684F">
      <w:pPr>
        <w:spacing w:after="0" w:line="480" w:lineRule="auto"/>
        <w:contextualSpacing/>
        <w:jc w:val="both"/>
        <w:rPr>
          <w:rFonts w:ascii="Times New Roman" w:hAnsi="Times New Roman" w:cs="Times New Roman"/>
          <w:b/>
          <w:sz w:val="24"/>
          <w:szCs w:val="24"/>
        </w:rPr>
      </w:pPr>
      <w:r w:rsidRPr="007905F6">
        <w:rPr>
          <w:rFonts w:ascii="Times New Roman" w:hAnsi="Times New Roman" w:cs="Times New Roman"/>
          <w:b/>
          <w:sz w:val="24"/>
          <w:szCs w:val="24"/>
        </w:rPr>
        <w:t>AGREGAR INDEX</w:t>
      </w:r>
    </w:p>
    <w:tbl>
      <w:tblPr>
        <w:tblW w:w="1018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894"/>
        <w:gridCol w:w="715"/>
        <w:gridCol w:w="781"/>
        <w:gridCol w:w="878"/>
        <w:gridCol w:w="665"/>
        <w:gridCol w:w="745"/>
        <w:gridCol w:w="878"/>
        <w:gridCol w:w="665"/>
        <w:gridCol w:w="745"/>
        <w:gridCol w:w="878"/>
        <w:gridCol w:w="665"/>
        <w:gridCol w:w="745"/>
      </w:tblGrid>
      <w:tr w:rsidR="00EE64E1" w:rsidRPr="00EE64E1" w:rsidTr="002C3BF8">
        <w:trPr>
          <w:trHeight w:val="324"/>
        </w:trPr>
        <w:tc>
          <w:tcPr>
            <w:tcW w:w="934" w:type="dxa"/>
            <w:shd w:val="clear" w:color="auto" w:fill="auto"/>
            <w:noWrap/>
            <w:vAlign w:val="bottom"/>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p>
        </w:tc>
        <w:tc>
          <w:tcPr>
            <w:tcW w:w="2390"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Total</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60 a 69 años</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70 a 79 años</w:t>
            </w:r>
          </w:p>
        </w:tc>
        <w:tc>
          <w:tcPr>
            <w:tcW w:w="2288" w:type="dxa"/>
            <w:gridSpan w:val="3"/>
            <w:shd w:val="clear" w:color="auto" w:fill="auto"/>
            <w:noWrap/>
            <w:vAlign w:val="bottom"/>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80 a 89 años</w:t>
            </w:r>
          </w:p>
        </w:tc>
      </w:tr>
      <w:tr w:rsidR="00D53805" w:rsidRPr="00EE64E1" w:rsidTr="002C3BF8">
        <w:trPr>
          <w:trHeight w:val="462"/>
        </w:trPr>
        <w:tc>
          <w:tcPr>
            <w:tcW w:w="934" w:type="dxa"/>
            <w:shd w:val="clear" w:color="auto" w:fill="auto"/>
            <w:vAlign w:val="center"/>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Comuna</w:t>
            </w:r>
          </w:p>
        </w:tc>
        <w:tc>
          <w:tcPr>
            <w:tcW w:w="894"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71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81"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r>
      <w:tr w:rsidR="002C3BF8" w:rsidRPr="00EE64E1" w:rsidTr="002C3BF8">
        <w:trPr>
          <w:trHeight w:val="324"/>
        </w:trPr>
        <w:tc>
          <w:tcPr>
            <w:tcW w:w="934" w:type="dxa"/>
            <w:shd w:val="clear" w:color="auto" w:fill="auto"/>
            <w:vAlign w:val="center"/>
          </w:tcPr>
          <w:p w:rsidR="002C3BF8"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rsidTr="002C3BF8">
        <w:trPr>
          <w:trHeight w:val="324"/>
        </w:trPr>
        <w:tc>
          <w:tcPr>
            <w:tcW w:w="934" w:type="dxa"/>
            <w:shd w:val="clear" w:color="auto" w:fill="auto"/>
            <w:vAlign w:val="center"/>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Pr>
                <w:rFonts w:ascii="Times New Roman" w:eastAsia="Times New Roman" w:hAnsi="Times New Roman" w:cs="Times New Roman"/>
                <w:sz w:val="16"/>
                <w:szCs w:val="16"/>
                <w:lang w:eastAsia="es-AR"/>
              </w:rPr>
              <w:t>Total</w:t>
            </w:r>
          </w:p>
        </w:tc>
        <w:tc>
          <w:tcPr>
            <w:tcW w:w="894"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5.5</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13.5</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14.4</w:t>
            </w:r>
          </w:p>
        </w:tc>
        <w:tc>
          <w:tcPr>
            <w:tcW w:w="878"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22.4</w:t>
            </w:r>
          </w:p>
        </w:tc>
        <w:tc>
          <w:tcPr>
            <w:tcW w:w="66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21.4</w:t>
            </w:r>
          </w:p>
        </w:tc>
        <w:tc>
          <w:tcPr>
            <w:tcW w:w="745" w:type="dxa"/>
            <w:shd w:val="clear" w:color="auto" w:fill="auto"/>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23.3</w:t>
            </w:r>
          </w:p>
        </w:tc>
      </w:tr>
      <w:tr w:rsidR="002C3BF8" w:rsidRPr="00EE64E1" w:rsidTr="002C3BF8">
        <w:trPr>
          <w:trHeight w:val="324"/>
        </w:trPr>
        <w:tc>
          <w:tcPr>
            <w:tcW w:w="934" w:type="dxa"/>
            <w:shd w:val="clear" w:color="auto" w:fill="auto"/>
            <w:noWrap/>
            <w:vAlign w:val="bottom"/>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29.9</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3.5</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23.5</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6.5</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33.3</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27.6</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8.5</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16.8</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25.9</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11</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17.5</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21.9</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23.0</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26.8</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9.6</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19.0</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25.4</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12.3</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rsidTr="002C3BF8">
        <w:trPr>
          <w:trHeight w:val="324"/>
        </w:trPr>
        <w:tc>
          <w:tcPr>
            <w:tcW w:w="934" w:type="dxa"/>
            <w:shd w:val="clear" w:color="auto" w:fill="auto"/>
            <w:noWrap/>
            <w:vAlign w:val="bottom"/>
            <w:hideMark/>
          </w:tcPr>
          <w:p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894"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22.6</w:t>
            </w:r>
          </w:p>
        </w:tc>
        <w:tc>
          <w:tcPr>
            <w:tcW w:w="66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18.9</w:t>
            </w:r>
          </w:p>
        </w:tc>
        <w:tc>
          <w:tcPr>
            <w:tcW w:w="745" w:type="dxa"/>
            <w:shd w:val="clear" w:color="auto" w:fill="auto"/>
            <w:noWrap/>
            <w:vAlign w:val="bottom"/>
            <w:hideMark/>
          </w:tcPr>
          <w:p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26.3</w:t>
            </w:r>
          </w:p>
        </w:tc>
      </w:tr>
    </w:tbl>
    <w:p w:rsidR="00EE64E1" w:rsidRDefault="00EE64E1" w:rsidP="0016684F">
      <w:pPr>
        <w:spacing w:after="0" w:line="480" w:lineRule="auto"/>
        <w:contextualSpacing/>
        <w:jc w:val="both"/>
        <w:rPr>
          <w:rFonts w:ascii="Times New Roman" w:hAnsi="Times New Roman" w:cs="Times New Roman"/>
          <w:sz w:val="24"/>
          <w:szCs w:val="24"/>
        </w:rPr>
      </w:pPr>
    </w:p>
    <w:p w:rsidR="002C3BF8" w:rsidRPr="00384A8F" w:rsidRDefault="00384A8F" w:rsidP="0016684F">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Heterogeneity </w:t>
      </w:r>
      <w:proofErr w:type="gramStart"/>
      <w:r w:rsidRPr="00384A8F">
        <w:rPr>
          <w:rFonts w:ascii="Times New Roman" w:hAnsi="Times New Roman" w:cs="Times New Roman"/>
          <w:sz w:val="24"/>
          <w:szCs w:val="24"/>
          <w:lang w:val="en-US"/>
        </w:rPr>
        <w:t>was observed</w:t>
      </w:r>
      <w:proofErr w:type="gramEnd"/>
      <w:r w:rsidRPr="00384A8F">
        <w:rPr>
          <w:rFonts w:ascii="Times New Roman" w:hAnsi="Times New Roman" w:cs="Times New Roman"/>
          <w:sz w:val="24"/>
          <w:szCs w:val="24"/>
          <w:lang w:val="en-US"/>
        </w:rPr>
        <w:t xml:space="preserve"> in the distribution of mortality within </w:t>
      </w:r>
      <w:r w:rsidR="00B53C63">
        <w:rPr>
          <w:rFonts w:ascii="Times New Roman" w:hAnsi="Times New Roman" w:cs="Times New Roman"/>
          <w:sz w:val="24"/>
          <w:szCs w:val="24"/>
          <w:lang w:val="en-US"/>
        </w:rPr>
        <w:t>CABA</w:t>
      </w:r>
      <w:r w:rsidRPr="00384A8F">
        <w:rPr>
          <w:rFonts w:ascii="Times New Roman" w:hAnsi="Times New Roman" w:cs="Times New Roman"/>
          <w:sz w:val="24"/>
          <w:szCs w:val="24"/>
          <w:lang w:val="en-US"/>
        </w:rPr>
        <w:t xml:space="preserve">. </w:t>
      </w:r>
      <w:r w:rsidR="00B53C63">
        <w:rPr>
          <w:rFonts w:ascii="Times New Roman" w:hAnsi="Times New Roman" w:cs="Times New Roman"/>
          <w:sz w:val="24"/>
          <w:szCs w:val="24"/>
          <w:lang w:val="en-US"/>
        </w:rPr>
        <w:t>SMRs</w:t>
      </w:r>
      <w:r w:rsidRPr="00384A8F">
        <w:rPr>
          <w:rFonts w:ascii="Times New Roman" w:hAnsi="Times New Roman" w:cs="Times New Roman"/>
          <w:sz w:val="24"/>
          <w:szCs w:val="24"/>
          <w:lang w:val="en-US"/>
        </w:rPr>
        <w:t xml:space="preserve"> ranged from 66.5 (</w:t>
      </w:r>
      <w:proofErr w:type="gramStart"/>
      <w:r w:rsidRPr="00384A8F">
        <w:rPr>
          <w:rFonts w:ascii="Times New Roman" w:hAnsi="Times New Roman" w:cs="Times New Roman"/>
          <w:sz w:val="24"/>
          <w:szCs w:val="24"/>
          <w:lang w:val="en-US"/>
        </w:rPr>
        <w:t>CI95%</w:t>
      </w:r>
      <w:proofErr w:type="gramEnd"/>
      <w:r w:rsidRPr="00384A8F">
        <w:rPr>
          <w:rFonts w:ascii="Times New Roman" w:hAnsi="Times New Roman" w:cs="Times New Roman"/>
          <w:sz w:val="24"/>
          <w:szCs w:val="24"/>
          <w:lang w:val="en-US"/>
        </w:rPr>
        <w:t xml:space="preserve"> 55.6 - 77.6) to 158.3 (CI95% 141.9 - 176.0). The </w:t>
      </w:r>
      <w:r w:rsidR="00B53C63">
        <w:rPr>
          <w:rFonts w:ascii="Times New Roman" w:hAnsi="Times New Roman" w:cs="Times New Roman"/>
          <w:sz w:val="24"/>
          <w:szCs w:val="24"/>
          <w:lang w:val="en-US"/>
        </w:rPr>
        <w:t xml:space="preserve">ward </w:t>
      </w:r>
      <w:r w:rsidRPr="00384A8F">
        <w:rPr>
          <w:rFonts w:ascii="Times New Roman" w:hAnsi="Times New Roman" w:cs="Times New Roman"/>
          <w:sz w:val="24"/>
          <w:szCs w:val="24"/>
          <w:lang w:val="en-US"/>
        </w:rPr>
        <w:t>with the worst m</w:t>
      </w:r>
      <w:r>
        <w:rPr>
          <w:rFonts w:ascii="Times New Roman" w:hAnsi="Times New Roman" w:cs="Times New Roman"/>
          <w:sz w:val="24"/>
          <w:szCs w:val="24"/>
          <w:lang w:val="en-US"/>
        </w:rPr>
        <w:t xml:space="preserve">ortality situation was number </w:t>
      </w:r>
      <w:proofErr w:type="gramStart"/>
      <w:r>
        <w:rPr>
          <w:rFonts w:ascii="Times New Roman" w:hAnsi="Times New Roman" w:cs="Times New Roman"/>
          <w:sz w:val="24"/>
          <w:szCs w:val="24"/>
          <w:lang w:val="en-US"/>
        </w:rPr>
        <w:t>4</w:t>
      </w:r>
      <w:proofErr w:type="gramEnd"/>
      <w:r w:rsidRPr="00384A8F">
        <w:rPr>
          <w:rFonts w:ascii="Times New Roman" w:hAnsi="Times New Roman" w:cs="Times New Roman"/>
          <w:sz w:val="24"/>
          <w:szCs w:val="24"/>
          <w:lang w:val="en-US"/>
        </w:rPr>
        <w:t xml:space="preserve"> in the southern zone</w:t>
      </w:r>
      <w:r>
        <w:rPr>
          <w:rFonts w:ascii="Times New Roman" w:hAnsi="Times New Roman" w:cs="Times New Roman"/>
          <w:sz w:val="24"/>
          <w:szCs w:val="24"/>
          <w:lang w:val="en-US"/>
        </w:rPr>
        <w:t>,</w:t>
      </w:r>
      <w:r w:rsidRPr="00384A8F">
        <w:rPr>
          <w:rFonts w:ascii="Times New Roman" w:hAnsi="Times New Roman" w:cs="Times New Roman"/>
          <w:sz w:val="24"/>
          <w:szCs w:val="24"/>
          <w:lang w:val="en-US"/>
        </w:rPr>
        <w:t xml:space="preserve"> and the one with the worst situation in relation to the average family income. At the other extreme, </w:t>
      </w:r>
      <w:r w:rsidR="00B53C63">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w:t>
      </w:r>
      <w:proofErr w:type="gramStart"/>
      <w:r w:rsidRPr="00384A8F">
        <w:rPr>
          <w:rFonts w:ascii="Times New Roman" w:hAnsi="Times New Roman" w:cs="Times New Roman"/>
          <w:sz w:val="24"/>
          <w:szCs w:val="24"/>
          <w:lang w:val="en-US"/>
        </w:rPr>
        <w:t>6</w:t>
      </w:r>
      <w:proofErr w:type="gramEnd"/>
      <w:r w:rsidRPr="00384A8F">
        <w:rPr>
          <w:rFonts w:ascii="Times New Roman" w:hAnsi="Times New Roman" w:cs="Times New Roman"/>
          <w:sz w:val="24"/>
          <w:szCs w:val="24"/>
          <w:lang w:val="en-US"/>
        </w:rPr>
        <w:t xml:space="preserve">, in the central zone, was sixth in the average income ranking. All of the </w:t>
      </w:r>
      <w:r w:rsidR="00B53C63">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in the southern zone presented </w:t>
      </w:r>
      <w:r>
        <w:rPr>
          <w:rFonts w:ascii="Times New Roman" w:hAnsi="Times New Roman" w:cs="Times New Roman"/>
          <w:sz w:val="24"/>
          <w:szCs w:val="24"/>
          <w:lang w:val="en-US"/>
        </w:rPr>
        <w:t>SMR</w:t>
      </w:r>
      <w:r w:rsidRPr="00384A8F">
        <w:rPr>
          <w:rFonts w:ascii="Times New Roman" w:hAnsi="Times New Roman" w:cs="Times New Roman"/>
          <w:sz w:val="24"/>
          <w:szCs w:val="24"/>
          <w:lang w:val="en-US"/>
        </w:rPr>
        <w:t xml:space="preserve">s above 100, which means that their situation was worse than the reference for the jurisdiction. The opposite occurred with all of those in the northern zone, located above the same reference. Measured by the </w:t>
      </w:r>
      <w:r>
        <w:rPr>
          <w:rFonts w:ascii="Times New Roman" w:hAnsi="Times New Roman" w:cs="Times New Roman"/>
          <w:sz w:val="24"/>
          <w:szCs w:val="24"/>
          <w:lang w:val="en-US"/>
        </w:rPr>
        <w:t>SII</w:t>
      </w:r>
      <w:r w:rsidRPr="00384A8F">
        <w:rPr>
          <w:rFonts w:ascii="Times New Roman" w:hAnsi="Times New Roman" w:cs="Times New Roman"/>
          <w:sz w:val="24"/>
          <w:szCs w:val="24"/>
          <w:lang w:val="en-US"/>
        </w:rPr>
        <w:t xml:space="preserve">, the exploration of the relationship between average family income and mortality, at the </w:t>
      </w:r>
      <w:r w:rsidR="00B53C63">
        <w:rPr>
          <w:rFonts w:ascii="Times New Roman" w:hAnsi="Times New Roman" w:cs="Times New Roman"/>
          <w:sz w:val="24"/>
          <w:szCs w:val="24"/>
          <w:lang w:val="en-US"/>
        </w:rPr>
        <w:t xml:space="preserve">ward </w:t>
      </w:r>
      <w:r w:rsidRPr="00384A8F">
        <w:rPr>
          <w:rFonts w:ascii="Times New Roman" w:hAnsi="Times New Roman" w:cs="Times New Roman"/>
          <w:sz w:val="24"/>
          <w:szCs w:val="24"/>
          <w:lang w:val="en-US"/>
        </w:rPr>
        <w:t>level, seems to present a correlation (Figure X)</w:t>
      </w:r>
    </w:p>
    <w:p w:rsidR="008748ED" w:rsidRPr="00384A8F" w:rsidRDefault="008748ED" w:rsidP="0016684F">
      <w:pPr>
        <w:spacing w:after="0" w:line="480" w:lineRule="auto"/>
        <w:contextualSpacing/>
        <w:jc w:val="both"/>
        <w:rPr>
          <w:noProof/>
          <w:lang w:val="en-US"/>
        </w:rPr>
      </w:pPr>
    </w:p>
    <w:p w:rsidR="002476B5" w:rsidRDefault="002476B5" w:rsidP="0016684F">
      <w:pPr>
        <w:spacing w:after="0" w:line="480" w:lineRule="auto"/>
        <w:contextualSpacing/>
        <w:jc w:val="both"/>
        <w:rPr>
          <w:rFonts w:ascii="Times New Roman" w:hAnsi="Times New Roman" w:cs="Times New Roman"/>
          <w:sz w:val="24"/>
          <w:szCs w:val="24"/>
        </w:rPr>
      </w:pPr>
      <w:r>
        <w:rPr>
          <w:noProof/>
          <w:lang w:val="en-US"/>
        </w:rPr>
        <w:drawing>
          <wp:inline distT="0" distB="0" distL="0" distR="0" wp14:anchorId="20A633D8" wp14:editId="2FE7F1A3">
            <wp:extent cx="5971540" cy="3004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3004820"/>
                    </a:xfrm>
                    <a:prstGeom prst="rect">
                      <a:avLst/>
                    </a:prstGeom>
                  </pic:spPr>
                </pic:pic>
              </a:graphicData>
            </a:graphic>
          </wp:inline>
        </w:drawing>
      </w:r>
    </w:p>
    <w:p w:rsidR="00384A8F" w:rsidRDefault="00384A8F" w:rsidP="00384A8F">
      <w:pPr>
        <w:spacing w:after="0" w:line="480" w:lineRule="auto"/>
        <w:contextualSpacing/>
        <w:jc w:val="both"/>
        <w:rPr>
          <w:rFonts w:ascii="Times New Roman" w:hAnsi="Times New Roman" w:cs="Times New Roman"/>
          <w:sz w:val="24"/>
          <w:szCs w:val="24"/>
        </w:rPr>
      </w:pPr>
    </w:p>
    <w:p w:rsidR="003A09B7" w:rsidRPr="00384A8F" w:rsidRDefault="00384A8F" w:rsidP="003A09B7">
      <w:pPr>
        <w:spacing w:after="0" w:line="480" w:lineRule="auto"/>
        <w:contextualSpacing/>
        <w:jc w:val="both"/>
        <w:rPr>
          <w:rFonts w:ascii="Times New Roman" w:hAnsi="Times New Roman" w:cs="Times New Roman"/>
          <w:sz w:val="24"/>
          <w:szCs w:val="24"/>
          <w:lang w:val="en-US"/>
        </w:rPr>
      </w:pPr>
      <w:r w:rsidRPr="00384A8F">
        <w:rPr>
          <w:rFonts w:ascii="Times New Roman" w:hAnsi="Times New Roman" w:cs="Times New Roman"/>
          <w:sz w:val="24"/>
          <w:szCs w:val="24"/>
          <w:lang w:val="en-US"/>
        </w:rPr>
        <w:t xml:space="preserve">Based on the data on expected deaths according to the specific mortality rates of the CABA, the median age of the expected deaths in each </w:t>
      </w:r>
      <w:r w:rsidR="00B53C63">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was approximated, grouping the expected deaths into five-year age groups and identifying the one that accumulated 50% of the deaths. </w:t>
      </w:r>
      <w:r w:rsidR="00B53C63">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4 </w:t>
      </w:r>
      <w:r w:rsidRPr="00384A8F">
        <w:rPr>
          <w:rFonts w:ascii="Times New Roman" w:hAnsi="Times New Roman" w:cs="Times New Roman"/>
          <w:sz w:val="24"/>
          <w:szCs w:val="24"/>
          <w:lang w:val="en-US"/>
        </w:rPr>
        <w:lastRenderedPageBreak/>
        <w:t xml:space="preserve">and 8, both in the southern zone, were the only ones that observed a lower median age than expected since they accumulated 50% of the deaths in the age groups 70-74 and 65-69 respectively, while this accumulation was expected in the age group 75-59. For </w:t>
      </w:r>
      <w:r w:rsidR="00B53C63">
        <w:rPr>
          <w:rFonts w:ascii="Times New Roman" w:hAnsi="Times New Roman" w:cs="Times New Roman"/>
          <w:sz w:val="24"/>
          <w:szCs w:val="24"/>
          <w:lang w:val="en-US"/>
        </w:rPr>
        <w:t>other</w:t>
      </w:r>
      <w:r w:rsidRPr="00384A8F">
        <w:rPr>
          <w:rFonts w:ascii="Times New Roman" w:hAnsi="Times New Roman" w:cs="Times New Roman"/>
          <w:sz w:val="24"/>
          <w:szCs w:val="24"/>
          <w:lang w:val="en-US"/>
        </w:rPr>
        <w:t xml:space="preserve"> </w:t>
      </w:r>
      <w:r w:rsidR="00B53C63">
        <w:rPr>
          <w:rFonts w:ascii="Times New Roman" w:hAnsi="Times New Roman" w:cs="Times New Roman"/>
          <w:sz w:val="24"/>
          <w:szCs w:val="24"/>
          <w:lang w:val="en-US"/>
        </w:rPr>
        <w:t>wards</w:t>
      </w:r>
      <w:r w:rsidRPr="00384A8F">
        <w:rPr>
          <w:rFonts w:ascii="Times New Roman" w:hAnsi="Times New Roman" w:cs="Times New Roman"/>
          <w:sz w:val="24"/>
          <w:szCs w:val="24"/>
          <w:lang w:val="en-US"/>
        </w:rPr>
        <w:t xml:space="preserve">, the median value was in the same age group for both observed and expected deaths, except for </w:t>
      </w:r>
      <w:r w:rsidR="00B53C63">
        <w:rPr>
          <w:rFonts w:ascii="Times New Roman" w:hAnsi="Times New Roman" w:cs="Times New Roman"/>
          <w:sz w:val="24"/>
          <w:szCs w:val="24"/>
          <w:lang w:val="en-US"/>
        </w:rPr>
        <w:t>ward</w:t>
      </w:r>
      <w:r w:rsidRPr="00384A8F">
        <w:rPr>
          <w:rFonts w:ascii="Times New Roman" w:hAnsi="Times New Roman" w:cs="Times New Roman"/>
          <w:sz w:val="24"/>
          <w:szCs w:val="24"/>
          <w:lang w:val="en-US"/>
        </w:rPr>
        <w:t xml:space="preserve"> 10 (southern zone), 12 (central zone), 14 (northern zone) and 15 (central zone), which observed the median age in the age group 80 years and older, when this value was expected between 75 and 79 years.</w:t>
      </w:r>
    </w:p>
    <w:p w:rsidR="00384A8F" w:rsidRPr="00737A37" w:rsidRDefault="00384A8F" w:rsidP="003A09B7">
      <w:pPr>
        <w:spacing w:after="0" w:line="480" w:lineRule="auto"/>
        <w:contextualSpacing/>
        <w:jc w:val="both"/>
        <w:rPr>
          <w:rFonts w:ascii="Times New Roman" w:hAnsi="Times New Roman" w:cs="Times New Roman"/>
          <w:b/>
          <w:sz w:val="24"/>
          <w:szCs w:val="24"/>
          <w:lang w:val="en-US"/>
        </w:rPr>
      </w:pPr>
    </w:p>
    <w:p w:rsidR="003A09B7" w:rsidRPr="003A09B7" w:rsidRDefault="003A09B7" w:rsidP="003A09B7">
      <w:pPr>
        <w:spacing w:after="0" w:line="480" w:lineRule="auto"/>
        <w:contextualSpacing/>
        <w:jc w:val="both"/>
        <w:rPr>
          <w:rFonts w:ascii="Times New Roman" w:hAnsi="Times New Roman" w:cs="Times New Roman"/>
          <w:b/>
          <w:sz w:val="24"/>
          <w:szCs w:val="24"/>
        </w:rPr>
      </w:pPr>
      <w:bookmarkStart w:id="2" w:name="_GoBack"/>
      <w:bookmarkEnd w:id="2"/>
      <w:r w:rsidRPr="00B53C63">
        <w:rPr>
          <w:rFonts w:ascii="Times New Roman" w:hAnsi="Times New Roman" w:cs="Times New Roman"/>
          <w:b/>
          <w:sz w:val="24"/>
          <w:szCs w:val="24"/>
          <w:highlight w:val="yellow"/>
        </w:rPr>
        <w:t>DISCUSIÓN</w:t>
      </w:r>
    </w:p>
    <w:p w:rsidR="001C6486" w:rsidRPr="001C6486" w:rsidRDefault="001C6486" w:rsidP="00F35E47">
      <w:pPr>
        <w:spacing w:after="0" w:line="480" w:lineRule="auto"/>
        <w:ind w:firstLine="708"/>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findings of the present study highlight the disadvantageous situation of the communes of the so-called "southern zone" of </w:t>
      </w:r>
      <w:r>
        <w:rPr>
          <w:rFonts w:ascii="Times New Roman" w:hAnsi="Times New Roman" w:cs="Times New Roman"/>
          <w:sz w:val="24"/>
          <w:szCs w:val="24"/>
          <w:lang w:val="en-US"/>
        </w:rPr>
        <w:t>ACBA</w:t>
      </w:r>
      <w:r w:rsidRPr="001C6486">
        <w:rPr>
          <w:rFonts w:ascii="Times New Roman" w:hAnsi="Times New Roman" w:cs="Times New Roman"/>
          <w:sz w:val="24"/>
          <w:szCs w:val="24"/>
          <w:lang w:val="en-US"/>
        </w:rPr>
        <w:t xml:space="preserve">. It could be described how the accumulated incidence of COVID-19 at xxx days of the epidemic development is higher in the communes that conform that zone. Inequality increases among young adults, reaching great magnitude as the specific rates of these groups double in the most deprived commune compared to the one with the best income in the city. Levels of positivity higher than those of the jurisdiction </w:t>
      </w:r>
      <w:proofErr w:type="gramStart"/>
      <w:r w:rsidRPr="001C6486">
        <w:rPr>
          <w:rFonts w:ascii="Times New Roman" w:hAnsi="Times New Roman" w:cs="Times New Roman"/>
          <w:sz w:val="24"/>
          <w:szCs w:val="24"/>
          <w:lang w:val="en-US"/>
        </w:rPr>
        <w:t>were also observed</w:t>
      </w:r>
      <w:proofErr w:type="gramEnd"/>
      <w:r w:rsidRPr="001C6486">
        <w:rPr>
          <w:rFonts w:ascii="Times New Roman" w:hAnsi="Times New Roman" w:cs="Times New Roman"/>
          <w:sz w:val="24"/>
          <w:szCs w:val="24"/>
          <w:lang w:val="en-US"/>
        </w:rPr>
        <w:t xml:space="preserve"> in all the communes of the southern zone, although this phenomenon could also be detected in communes of the central zone. In relation to the lethality, a lower level of heterogeneity was observed, finding non-significant differences between the </w:t>
      </w:r>
      <w:proofErr w:type="gramStart"/>
      <w:r w:rsidRPr="001C6486">
        <w:rPr>
          <w:rFonts w:ascii="Times New Roman" w:hAnsi="Times New Roman" w:cs="Times New Roman"/>
          <w:sz w:val="24"/>
          <w:szCs w:val="24"/>
          <w:lang w:val="en-US"/>
        </w:rPr>
        <w:t>majority</w:t>
      </w:r>
      <w:proofErr w:type="gramEnd"/>
      <w:r w:rsidRPr="001C6486">
        <w:rPr>
          <w:rFonts w:ascii="Times New Roman" w:hAnsi="Times New Roman" w:cs="Times New Roman"/>
          <w:sz w:val="24"/>
          <w:szCs w:val="24"/>
          <w:lang w:val="en-US"/>
        </w:rPr>
        <w:t xml:space="preserve"> of the communes. In any case, differences </w:t>
      </w:r>
      <w:proofErr w:type="gramStart"/>
      <w:r w:rsidRPr="001C6486">
        <w:rPr>
          <w:rFonts w:ascii="Times New Roman" w:hAnsi="Times New Roman" w:cs="Times New Roman"/>
          <w:sz w:val="24"/>
          <w:szCs w:val="24"/>
          <w:lang w:val="en-US"/>
        </w:rPr>
        <w:t>were observed</w:t>
      </w:r>
      <w:proofErr w:type="gramEnd"/>
      <w:r w:rsidRPr="001C6486">
        <w:rPr>
          <w:rFonts w:ascii="Times New Roman" w:hAnsi="Times New Roman" w:cs="Times New Roman"/>
          <w:sz w:val="24"/>
          <w:szCs w:val="24"/>
          <w:lang w:val="en-US"/>
        </w:rPr>
        <w:t xml:space="preserve"> between the columns of extreme values, although in the opposite direction to that observed in the phenomena described above. In this </w:t>
      </w:r>
      <w:proofErr w:type="gramStart"/>
      <w:r w:rsidRPr="001C6486">
        <w:rPr>
          <w:rFonts w:ascii="Times New Roman" w:hAnsi="Times New Roman" w:cs="Times New Roman"/>
          <w:sz w:val="24"/>
          <w:szCs w:val="24"/>
          <w:lang w:val="en-US"/>
        </w:rPr>
        <w:t>case</w:t>
      </w:r>
      <w:proofErr w:type="gramEnd"/>
      <w:r w:rsidRPr="001C6486">
        <w:rPr>
          <w:rFonts w:ascii="Times New Roman" w:hAnsi="Times New Roman" w:cs="Times New Roman"/>
          <w:sz w:val="24"/>
          <w:szCs w:val="24"/>
          <w:lang w:val="en-US"/>
        </w:rPr>
        <w:t xml:space="preserve"> the best position was occupied by a commune in the southern zone which, in turn, was located in the third worst place in relation to the average income of the families living there. In any case, observing the phenomenon by age groups, higher levels of mortality </w:t>
      </w:r>
      <w:proofErr w:type="gramStart"/>
      <w:r w:rsidRPr="001C6486">
        <w:rPr>
          <w:rFonts w:ascii="Times New Roman" w:hAnsi="Times New Roman" w:cs="Times New Roman"/>
          <w:sz w:val="24"/>
          <w:szCs w:val="24"/>
          <w:lang w:val="en-US"/>
        </w:rPr>
        <w:t>were found</w:t>
      </w:r>
      <w:proofErr w:type="gramEnd"/>
      <w:r w:rsidRPr="001C6486">
        <w:rPr>
          <w:rFonts w:ascii="Times New Roman" w:hAnsi="Times New Roman" w:cs="Times New Roman"/>
          <w:sz w:val="24"/>
          <w:szCs w:val="24"/>
          <w:lang w:val="en-US"/>
        </w:rPr>
        <w:t xml:space="preserve"> among the older population of the most disadvantaged communes. </w:t>
      </w:r>
    </w:p>
    <w:p w:rsidR="00F35E47" w:rsidRDefault="001C6486" w:rsidP="001C6486">
      <w:pPr>
        <w:spacing w:after="0" w:line="480" w:lineRule="auto"/>
        <w:contextualSpacing/>
        <w:jc w:val="both"/>
        <w:rPr>
          <w:rFonts w:ascii="Times New Roman" w:hAnsi="Times New Roman" w:cs="Times New Roman"/>
          <w:sz w:val="24"/>
          <w:szCs w:val="24"/>
        </w:rPr>
      </w:pPr>
      <w:r w:rsidRPr="001C6486">
        <w:rPr>
          <w:rFonts w:ascii="Times New Roman" w:hAnsi="Times New Roman" w:cs="Times New Roman"/>
          <w:sz w:val="24"/>
          <w:szCs w:val="24"/>
          <w:lang w:val="en-US"/>
        </w:rPr>
        <w:lastRenderedPageBreak/>
        <w:t xml:space="preserve">The results observed are congruent with previous studies that described the southern zone of CABA as a segregated geographical area with comparatively disadvantageous conditions in terms of the aspects involved in determining the health of populations and their living conditions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w:instrText>
      </w:r>
      <w:r w:rsidR="00C22846">
        <w:rPr>
          <w:rFonts w:ascii="Times New Roman" w:hAnsi="Times New Roman" w:cs="Times New Roman"/>
          <w:sz w:val="24"/>
          <w:szCs w:val="24"/>
        </w:rPr>
        <w:instrText>-46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w:instrText>
      </w:r>
      <w:r w:rsidR="00C22846" w:rsidRPr="001C6486">
        <w:rPr>
          <w:rFonts w:ascii="Times New Roman" w:hAnsi="Times New Roman" w:cs="Times New Roman"/>
          <w:sz w:val="24"/>
          <w:szCs w:val="24"/>
          <w:lang w:val="en-US"/>
        </w:rPr>
        <w:instrText>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1C6486">
        <w:rPr>
          <w:rFonts w:ascii="Times New Roman" w:hAnsi="Times New Roman" w:cs="Times New Roman"/>
          <w:noProof/>
          <w:sz w:val="24"/>
          <w:szCs w:val="24"/>
          <w:lang w:val="en-US"/>
        </w:rPr>
        <w:t>(4–8)</w:t>
      </w:r>
      <w:r w:rsidR="00C22846">
        <w:rPr>
          <w:rFonts w:ascii="Times New Roman" w:hAnsi="Times New Roman" w:cs="Times New Roman"/>
          <w:sz w:val="24"/>
          <w:szCs w:val="24"/>
        </w:rPr>
        <w:fldChar w:fldCharType="end"/>
      </w:r>
      <w:r w:rsidR="00F35E47" w:rsidRPr="001C6486">
        <w:rPr>
          <w:rFonts w:ascii="Times New Roman" w:hAnsi="Times New Roman" w:cs="Times New Roman"/>
          <w:sz w:val="24"/>
          <w:szCs w:val="24"/>
          <w:lang w:val="en-US"/>
        </w:rPr>
        <w:t xml:space="preserve">. </w:t>
      </w:r>
      <w:r w:rsidRPr="001C6486">
        <w:rPr>
          <w:rFonts w:ascii="Times New Roman" w:hAnsi="Times New Roman" w:cs="Times New Roman"/>
          <w:sz w:val="24"/>
          <w:szCs w:val="24"/>
          <w:lang w:val="en-US"/>
        </w:rPr>
        <w:t xml:space="preserve">It is possible that this context is the result of a structuring element such as the material conditions of </w:t>
      </w:r>
      <w:proofErr w:type="gramStart"/>
      <w:r w:rsidRPr="001C6486">
        <w:rPr>
          <w:rFonts w:ascii="Times New Roman" w:hAnsi="Times New Roman" w:cs="Times New Roman"/>
          <w:sz w:val="24"/>
          <w:szCs w:val="24"/>
          <w:lang w:val="en-US"/>
        </w:rPr>
        <w:t>existence which</w:t>
      </w:r>
      <w:proofErr w:type="gramEnd"/>
      <w:r w:rsidRPr="001C6486">
        <w:rPr>
          <w:rFonts w:ascii="Times New Roman" w:hAnsi="Times New Roman" w:cs="Times New Roman"/>
          <w:sz w:val="24"/>
          <w:szCs w:val="24"/>
          <w:lang w:val="en-US"/>
        </w:rPr>
        <w:t>, as seen in this study, were shown to be associated with the differential impact of the epidemic, its measurement having been approximated by the average family income in each commune. A similar situation had been observed for morbidity in Barcelona</w:t>
      </w:r>
      <w:r w:rsidR="00DE3FAB"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1C6486">
        <w:rPr>
          <w:rFonts w:ascii="Times New Roman" w:hAnsi="Times New Roman" w:cs="Times New Roman"/>
          <w:noProof/>
          <w:sz w:val="24"/>
          <w:szCs w:val="24"/>
          <w:lang w:val="en-US"/>
        </w:rPr>
        <w:t>(12)</w:t>
      </w:r>
      <w:r w:rsidR="00C22846">
        <w:rPr>
          <w:rFonts w:ascii="Times New Roman" w:hAnsi="Times New Roman" w:cs="Times New Roman"/>
          <w:sz w:val="24"/>
          <w:szCs w:val="24"/>
        </w:rPr>
        <w:fldChar w:fldCharType="end"/>
      </w:r>
      <w:r w:rsidR="00DE3FAB" w:rsidRPr="001C6486">
        <w:rPr>
          <w:rFonts w:ascii="Times New Roman" w:hAnsi="Times New Roman" w:cs="Times New Roman"/>
          <w:sz w:val="24"/>
          <w:szCs w:val="24"/>
          <w:lang w:val="en-US"/>
        </w:rPr>
        <w:t xml:space="preserve"> </w:t>
      </w:r>
      <w:r w:rsidRPr="001C6486">
        <w:rPr>
          <w:rFonts w:ascii="Times New Roman" w:hAnsi="Times New Roman" w:cs="Times New Roman"/>
          <w:sz w:val="24"/>
          <w:szCs w:val="24"/>
          <w:lang w:val="en-US"/>
        </w:rPr>
        <w:t>and mortality in the United Kingdom</w:t>
      </w:r>
      <w:r w:rsidR="00DE3FAB"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C22846" w:rsidRPr="001C6486">
        <w:rPr>
          <w:rFonts w:ascii="Times New Roman" w:hAnsi="Times New Roman" w:cs="Times New Roman"/>
          <w:sz w:val="24"/>
          <w:szCs w:val="24"/>
          <w:lang w:val="en-US"/>
        </w:rPr>
        <w:instrText>ADDIN CSL_CITATION {"citationItems":[{"id":"ITEM-1","itemData":{"DOI":"10.1111/1475-5890.12232","abstract":"Abstract This paper brings together</w:instrText>
      </w:r>
      <w:r w:rsidR="00C22846">
        <w:rPr>
          <w:rFonts w:ascii="Times New Roman" w:hAnsi="Times New Roman" w:cs="Times New Roman"/>
          <w:sz w:val="24"/>
          <w:szCs w:val="24"/>
        </w:rPr>
        <w:instrText xml:space="preserve">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C22846">
        <w:rPr>
          <w:rFonts w:ascii="Times New Roman" w:hAnsi="Times New Roman" w:cs="Times New Roman"/>
          <w:noProof/>
          <w:sz w:val="24"/>
          <w:szCs w:val="24"/>
        </w:rPr>
        <w:t>(11)</w:t>
      </w:r>
      <w:r w:rsidR="00C22846">
        <w:rPr>
          <w:rFonts w:ascii="Times New Roman" w:hAnsi="Times New Roman" w:cs="Times New Roman"/>
          <w:sz w:val="24"/>
          <w:szCs w:val="24"/>
        </w:rPr>
        <w:fldChar w:fldCharType="end"/>
      </w:r>
      <w:r w:rsidR="00DE3FAB">
        <w:rPr>
          <w:rFonts w:ascii="Times New Roman" w:hAnsi="Times New Roman" w:cs="Times New Roman"/>
          <w:sz w:val="24"/>
          <w:szCs w:val="24"/>
        </w:rPr>
        <w:t>.</w:t>
      </w:r>
    </w:p>
    <w:p w:rsidR="00DE3FAB" w:rsidRDefault="001C6486" w:rsidP="001C6486">
      <w:pPr>
        <w:spacing w:after="0" w:line="480" w:lineRule="auto"/>
        <w:contextualSpacing/>
        <w:jc w:val="both"/>
        <w:rPr>
          <w:rFonts w:ascii="Times New Roman" w:hAnsi="Times New Roman" w:cs="Times New Roman"/>
          <w:sz w:val="24"/>
          <w:szCs w:val="24"/>
        </w:rPr>
      </w:pPr>
      <w:r w:rsidRPr="001C6486">
        <w:rPr>
          <w:rFonts w:ascii="Times New Roman" w:hAnsi="Times New Roman" w:cs="Times New Roman"/>
          <w:sz w:val="24"/>
          <w:szCs w:val="24"/>
          <w:lang w:val="en-US"/>
        </w:rPr>
        <w:t xml:space="preserve">A notable finding is the higher incidence of COVID-19 among young adults in the southern communes of CABA. </w:t>
      </w:r>
      <w:proofErr w:type="gramStart"/>
      <w:r w:rsidRPr="001C6486">
        <w:rPr>
          <w:rFonts w:ascii="Times New Roman" w:hAnsi="Times New Roman" w:cs="Times New Roman"/>
          <w:sz w:val="24"/>
          <w:szCs w:val="24"/>
          <w:lang w:val="en-US"/>
        </w:rPr>
        <w:t>While the design of this research does not allow for individual-level associations, it could be hypothesized that, as described to Chicago's Hispanic population in Kim's study</w:t>
      </w:r>
      <w:r w:rsidR="00C22846" w:rsidRPr="001C6486">
        <w:rPr>
          <w:rFonts w:ascii="Times New Roman" w:hAnsi="Times New Roman" w:cs="Times New Roman"/>
          <w:sz w:val="24"/>
          <w:szCs w:val="24"/>
          <w:lang w:val="en-US"/>
        </w:rPr>
        <w:t xml:space="preserve"> </w:t>
      </w:r>
      <w:r w:rsidR="00C22846">
        <w:rPr>
          <w:rFonts w:ascii="Times New Roman" w:hAnsi="Times New Roman" w:cs="Times New Roman"/>
          <w:sz w:val="24"/>
          <w:szCs w:val="24"/>
        </w:rPr>
        <w:fldChar w:fldCharType="begin" w:fldLock="1"/>
      </w:r>
      <w:r w:rsidR="00EE0CA3" w:rsidRPr="001C6486">
        <w:rPr>
          <w:rFonts w:ascii="Times New Roman" w:hAnsi="Times New Roman" w:cs="Times New Roman"/>
          <w:sz w:val="24"/>
          <w:szCs w:val="24"/>
          <w:lang w:val="en-US"/>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C22846">
        <w:rPr>
          <w:rFonts w:ascii="Times New Roman" w:hAnsi="Times New Roman" w:cs="Times New Roman"/>
          <w:sz w:val="24"/>
          <w:szCs w:val="24"/>
        </w:rPr>
        <w:fldChar w:fldCharType="separate"/>
      </w:r>
      <w:r w:rsidR="00C22846" w:rsidRPr="001C6486">
        <w:rPr>
          <w:rFonts w:ascii="Times New Roman" w:hAnsi="Times New Roman" w:cs="Times New Roman"/>
          <w:noProof/>
          <w:sz w:val="24"/>
          <w:szCs w:val="24"/>
          <w:lang w:val="en-US"/>
        </w:rPr>
        <w:t>(10)</w:t>
      </w:r>
      <w:r w:rsidR="00C22846">
        <w:rPr>
          <w:rFonts w:ascii="Times New Roman" w:hAnsi="Times New Roman" w:cs="Times New Roman"/>
          <w:sz w:val="24"/>
          <w:szCs w:val="24"/>
        </w:rPr>
        <w:fldChar w:fldCharType="end"/>
      </w:r>
      <w:r w:rsidR="00DE3FAB" w:rsidRPr="001C6486">
        <w:rPr>
          <w:rFonts w:ascii="Times New Roman" w:hAnsi="Times New Roman" w:cs="Times New Roman"/>
          <w:sz w:val="24"/>
          <w:szCs w:val="24"/>
          <w:lang w:val="en-US"/>
        </w:rPr>
        <w:t>,</w:t>
      </w:r>
      <w:r w:rsidRPr="001C6486">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1C6486">
        <w:rPr>
          <w:rFonts w:ascii="Times New Roman" w:hAnsi="Times New Roman" w:cs="Times New Roman"/>
          <w:sz w:val="24"/>
          <w:szCs w:val="24"/>
          <w:lang w:val="en-US"/>
        </w:rPr>
        <w:t>here are higher levels of exposure among workers in vulnerable areas due to the greater insertion (in relative terms) in sectors linked to the informal economy (with less compliance with protocols) and to essential tasks (security, cleaning, nursing).</w:t>
      </w:r>
      <w:proofErr w:type="gramEnd"/>
      <w:r w:rsidRPr="001C6486">
        <w:rPr>
          <w:rFonts w:ascii="Times New Roman" w:hAnsi="Times New Roman" w:cs="Times New Roman"/>
          <w:sz w:val="24"/>
          <w:szCs w:val="24"/>
          <w:lang w:val="en-US"/>
        </w:rPr>
        <w:t xml:space="preserve"> Another element is comorbidity: unfavorable living conditions are associated with less detection and higher prevalence of chronic non</w:t>
      </w:r>
      <w:r>
        <w:rPr>
          <w:rFonts w:ascii="Times New Roman" w:hAnsi="Times New Roman" w:cs="Times New Roman"/>
          <w:sz w:val="24"/>
          <w:szCs w:val="24"/>
          <w:lang w:val="en-US"/>
        </w:rPr>
        <w:t>-</w:t>
      </w:r>
      <w:r w:rsidRPr="001C6486">
        <w:rPr>
          <w:rFonts w:ascii="Times New Roman" w:hAnsi="Times New Roman" w:cs="Times New Roman"/>
          <w:sz w:val="24"/>
          <w:szCs w:val="24"/>
          <w:lang w:val="en-US"/>
        </w:rPr>
        <w:t>communicable diseases that act as comorbidities of COVID-19, worsening the prognosis in the evolution of the disease</w:t>
      </w:r>
      <w:r w:rsidR="00EE0CA3" w:rsidRPr="001C6486">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009A11C8" w:rsidRPr="001C6486">
        <w:rPr>
          <w:rFonts w:ascii="Times New Roman" w:hAnsi="Times New Roman" w:cs="Times New Roman"/>
          <w:sz w:val="24"/>
          <w:szCs w:val="24"/>
          <w:lang w:val="en-US"/>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endpoint (RR: 8.52, 95% CI:</w:instrText>
      </w:r>
      <w:r w:rsidR="009A11C8">
        <w:rPr>
          <w:rFonts w:ascii="Times New Roman" w:hAnsi="Times New Roman" w:cs="Times New Roman"/>
          <w:sz w:val="24"/>
          <w:szCs w:val="24"/>
        </w:rPr>
        <w:instrText xml:space="preserve">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(23)","plainTextFormattedCitation":"(23)","previouslyFormattedCitation":"(22)"},"properties":{"noteIndex":0},"schema":"https://github.com/citation-style-language/schema/raw/master/csl-citation.json"}</w:instrText>
      </w:r>
      <w:r w:rsidR="00EE0CA3">
        <w:rPr>
          <w:rFonts w:ascii="Times New Roman" w:hAnsi="Times New Roman" w:cs="Times New Roman"/>
          <w:sz w:val="24"/>
          <w:szCs w:val="24"/>
        </w:rPr>
        <w:fldChar w:fldCharType="separate"/>
      </w:r>
      <w:r w:rsidR="009A11C8" w:rsidRPr="009A11C8">
        <w:rPr>
          <w:rFonts w:ascii="Times New Roman" w:hAnsi="Times New Roman" w:cs="Times New Roman"/>
          <w:noProof/>
          <w:sz w:val="24"/>
          <w:szCs w:val="24"/>
        </w:rPr>
        <w:t>(23)</w:t>
      </w:r>
      <w:r w:rsidR="00EE0CA3">
        <w:rPr>
          <w:rFonts w:ascii="Times New Roman" w:hAnsi="Times New Roman" w:cs="Times New Roman"/>
          <w:sz w:val="24"/>
          <w:szCs w:val="24"/>
        </w:rPr>
        <w:fldChar w:fldCharType="end"/>
      </w:r>
      <w:r w:rsidR="00266441">
        <w:rPr>
          <w:rFonts w:ascii="Times New Roman" w:hAnsi="Times New Roman" w:cs="Times New Roman"/>
          <w:sz w:val="24"/>
          <w:szCs w:val="24"/>
        </w:rPr>
        <w:t>.</w:t>
      </w:r>
    </w:p>
    <w:p w:rsidR="00A92FDD" w:rsidRPr="001C6486" w:rsidRDefault="001C6486" w:rsidP="001C6486">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results of this study call into question some of the underlying logics of government and media discourses about the </w:t>
      </w:r>
      <w:proofErr w:type="gramStart"/>
      <w:r w:rsidRPr="001C6486">
        <w:rPr>
          <w:rFonts w:ascii="Times New Roman" w:hAnsi="Times New Roman" w:cs="Times New Roman"/>
          <w:sz w:val="24"/>
          <w:szCs w:val="24"/>
          <w:lang w:val="en-US"/>
        </w:rPr>
        <w:t>cross-cutting</w:t>
      </w:r>
      <w:proofErr w:type="gramEnd"/>
      <w:r w:rsidRPr="001C6486">
        <w:rPr>
          <w:rFonts w:ascii="Times New Roman" w:hAnsi="Times New Roman" w:cs="Times New Roman"/>
          <w:sz w:val="24"/>
          <w:szCs w:val="24"/>
          <w:lang w:val="en-US"/>
        </w:rPr>
        <w:t xml:space="preserve"> impact of the epidemic across all levels of social vulnerability. As previously argued, the idea that the epidemic impacts equally</w:t>
      </w:r>
      <w:r w:rsidR="00A92FDD" w:rsidRPr="001C6486">
        <w:rPr>
          <w:rFonts w:ascii="Times New Roman" w:hAnsi="Times New Roman" w:cs="Times New Roman"/>
          <w:sz w:val="24"/>
          <w:szCs w:val="24"/>
          <w:lang w:val="en-US"/>
        </w:rPr>
        <w:t xml:space="preserve"> </w:t>
      </w:r>
      <w:r w:rsidR="00EE0CA3">
        <w:rPr>
          <w:rFonts w:ascii="Times New Roman" w:hAnsi="Times New Roman" w:cs="Times New Roman"/>
          <w:sz w:val="24"/>
          <w:szCs w:val="24"/>
        </w:rPr>
        <w:fldChar w:fldCharType="begin" w:fldLock="1"/>
      </w:r>
      <w:r w:rsidR="00C907FC" w:rsidRPr="001C6486">
        <w:rPr>
          <w:rFonts w:ascii="Times New Roman" w:hAnsi="Times New Roman" w:cs="Times New Roman"/>
          <w:sz w:val="24"/>
          <w:szCs w:val="24"/>
          <w:lang w:val="en-US"/>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EE0CA3">
        <w:rPr>
          <w:rFonts w:ascii="Times New Roman" w:hAnsi="Times New Roman" w:cs="Times New Roman"/>
          <w:sz w:val="24"/>
          <w:szCs w:val="24"/>
        </w:rPr>
        <w:fldChar w:fldCharType="separate"/>
      </w:r>
      <w:r w:rsidR="00C907FC" w:rsidRPr="001C6486">
        <w:rPr>
          <w:rFonts w:ascii="Times New Roman" w:hAnsi="Times New Roman" w:cs="Times New Roman"/>
          <w:noProof/>
          <w:sz w:val="24"/>
          <w:szCs w:val="24"/>
          <w:lang w:val="en-US"/>
        </w:rPr>
        <w:t>(14)</w:t>
      </w:r>
      <w:r w:rsidR="00EE0CA3">
        <w:rPr>
          <w:rFonts w:ascii="Times New Roman" w:hAnsi="Times New Roman" w:cs="Times New Roman"/>
          <w:sz w:val="24"/>
          <w:szCs w:val="24"/>
        </w:rPr>
        <w:fldChar w:fldCharType="end"/>
      </w:r>
      <w:r w:rsidR="00A92FDD" w:rsidRPr="001C6486">
        <w:rPr>
          <w:rFonts w:ascii="Times New Roman" w:hAnsi="Times New Roman" w:cs="Times New Roman"/>
          <w:sz w:val="24"/>
          <w:szCs w:val="24"/>
          <w:lang w:val="en-US"/>
        </w:rPr>
        <w:t xml:space="preserve"> </w:t>
      </w:r>
      <w:r w:rsidRPr="001C6486">
        <w:rPr>
          <w:rFonts w:ascii="Times New Roman" w:hAnsi="Times New Roman" w:cs="Times New Roman"/>
          <w:sz w:val="24"/>
          <w:szCs w:val="24"/>
          <w:lang w:val="en-US"/>
        </w:rPr>
        <w:t xml:space="preserve">is difficult to support empirically in the case of CABA. The main advantage of this study, then, lies in the possibility of making inequalities visible and orienting the weighting of the impact of the pandemic on the CABA towards the complexity of its determination, directing it towards the social conditions of existence, made invisible by the discourses based on the humanization of the </w:t>
      </w:r>
      <w:r w:rsidRPr="001C6486">
        <w:rPr>
          <w:rFonts w:ascii="Times New Roman" w:hAnsi="Times New Roman" w:cs="Times New Roman"/>
          <w:sz w:val="24"/>
          <w:szCs w:val="24"/>
          <w:lang w:val="en-US"/>
        </w:rPr>
        <w:lastRenderedPageBreak/>
        <w:t xml:space="preserve">virus, fear and war metaphors, for example. On the other hand, the description of mortality through indicators adjusted by age, made it possible to overcome the approach based on indicators per capita, vulnerable to the demographic structures as factors of confusion, as warned by </w:t>
      </w:r>
      <w:proofErr w:type="spellStart"/>
      <w:r w:rsidRPr="001C6486">
        <w:rPr>
          <w:rFonts w:ascii="Times New Roman" w:hAnsi="Times New Roman" w:cs="Times New Roman"/>
          <w:sz w:val="24"/>
          <w:szCs w:val="24"/>
          <w:lang w:val="en-US"/>
        </w:rPr>
        <w:t>Heuveline</w:t>
      </w:r>
      <w:proofErr w:type="spellEnd"/>
      <w:r w:rsidRPr="001C6486">
        <w:rPr>
          <w:rFonts w:ascii="Times New Roman" w:hAnsi="Times New Roman" w:cs="Times New Roman"/>
          <w:sz w:val="24"/>
          <w:szCs w:val="24"/>
          <w:lang w:val="en-US"/>
        </w:rPr>
        <w:t xml:space="preserve"> and </w:t>
      </w:r>
      <w:proofErr w:type="spellStart"/>
      <w:r w:rsidRPr="001C6486">
        <w:rPr>
          <w:rFonts w:ascii="Times New Roman" w:hAnsi="Times New Roman" w:cs="Times New Roman"/>
          <w:sz w:val="24"/>
          <w:szCs w:val="24"/>
          <w:lang w:val="en-US"/>
        </w:rPr>
        <w:t>Tzen</w:t>
      </w:r>
      <w:proofErr w:type="spellEnd"/>
      <w:r w:rsidR="00534EB2" w:rsidRPr="001C6486">
        <w:rPr>
          <w:rFonts w:ascii="Times New Roman" w:hAnsi="Times New Roman" w:cs="Times New Roman"/>
          <w:sz w:val="24"/>
          <w:szCs w:val="24"/>
          <w:lang w:val="en-US"/>
        </w:rPr>
        <w:t xml:space="preserve"> </w:t>
      </w:r>
      <w:r w:rsidR="00EE0CA3" w:rsidRPr="00EE0CA3">
        <w:rPr>
          <w:rFonts w:ascii="Times New Roman" w:hAnsi="Times New Roman" w:cs="Times New Roman"/>
          <w:sz w:val="24"/>
          <w:szCs w:val="24"/>
        </w:rPr>
        <w:fldChar w:fldCharType="begin" w:fldLock="1"/>
      </w:r>
      <w:r w:rsidR="00C907FC" w:rsidRPr="001C6486">
        <w:rPr>
          <w:rFonts w:ascii="Times New Roman" w:hAnsi="Times New Roman" w:cs="Times New Roman"/>
          <w:sz w:val="24"/>
          <w:szCs w:val="24"/>
          <w:lang w:val="en-US"/>
        </w:rPr>
        <w:instrText xml:space="preserve">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w:instrText>
      </w:r>
      <w:r w:rsidR="00C907FC">
        <w:rPr>
          <w:rFonts w:ascii="Times New Roman" w:hAnsi="Times New Roman" w:cs="Times New Roman"/>
          <w:sz w:val="24"/>
          <w:szCs w:val="24"/>
        </w:rPr>
        <w:instrText>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w:instrText>
      </w:r>
      <w:r w:rsidR="00C907FC" w:rsidRPr="001C6486">
        <w:rPr>
          <w:rFonts w:ascii="Times New Roman" w:hAnsi="Times New Roman" w:cs="Times New Roman"/>
          <w:sz w:val="24"/>
          <w:szCs w:val="24"/>
          <w:lang w:val="en-US"/>
        </w:rPr>
        <w:instrText>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00EE0CA3" w:rsidRPr="00EE0CA3">
        <w:rPr>
          <w:rFonts w:ascii="Times New Roman" w:hAnsi="Times New Roman" w:cs="Times New Roman"/>
          <w:sz w:val="24"/>
          <w:szCs w:val="24"/>
        </w:rPr>
        <w:fldChar w:fldCharType="separate"/>
      </w:r>
      <w:r w:rsidR="00C907FC" w:rsidRPr="001C6486">
        <w:rPr>
          <w:rFonts w:ascii="Times New Roman" w:hAnsi="Times New Roman" w:cs="Times New Roman"/>
          <w:noProof/>
          <w:sz w:val="24"/>
          <w:szCs w:val="24"/>
          <w:lang w:val="en-US"/>
        </w:rPr>
        <w:t>(16)</w:t>
      </w:r>
      <w:r w:rsidR="00EE0CA3" w:rsidRPr="00EE0CA3">
        <w:rPr>
          <w:rFonts w:ascii="Times New Roman" w:hAnsi="Times New Roman" w:cs="Times New Roman"/>
          <w:sz w:val="24"/>
          <w:szCs w:val="24"/>
        </w:rPr>
        <w:fldChar w:fldCharType="end"/>
      </w:r>
      <w:r w:rsidR="00EE0CA3" w:rsidRPr="001C6486">
        <w:rPr>
          <w:rFonts w:ascii="Times New Roman" w:hAnsi="Times New Roman" w:cs="Times New Roman"/>
          <w:sz w:val="24"/>
          <w:szCs w:val="24"/>
          <w:lang w:val="en-US"/>
        </w:rPr>
        <w:t>.</w:t>
      </w:r>
    </w:p>
    <w:p w:rsidR="001C6486" w:rsidRPr="001C6486" w:rsidRDefault="001C6486" w:rsidP="001C6486">
      <w:pPr>
        <w:spacing w:after="0" w:line="480" w:lineRule="auto"/>
        <w:contextualSpacing/>
        <w:jc w:val="both"/>
        <w:rPr>
          <w:rFonts w:ascii="Times New Roman" w:hAnsi="Times New Roman" w:cs="Times New Roman"/>
          <w:sz w:val="24"/>
          <w:szCs w:val="24"/>
          <w:lang w:val="en-US"/>
        </w:rPr>
      </w:pPr>
      <w:r w:rsidRPr="001C6486">
        <w:rPr>
          <w:rFonts w:ascii="Times New Roman" w:hAnsi="Times New Roman" w:cs="Times New Roman"/>
          <w:sz w:val="24"/>
          <w:szCs w:val="24"/>
          <w:lang w:val="en-US"/>
        </w:rPr>
        <w:t xml:space="preserve">The fundamental limitation of this study lies in the limits of its methodology. Aggregate studies allow the establishment of correlational hypotheses, but do not measure risk factors or causalities at the individual level. In this framework, the results are of a descriptive scope, which is a limitation when designing interventions. In this sense, it is necessary to highlight a general limitation anchored in the characteristics of health information systems: quantitative approaches to the evolution of the epidemic </w:t>
      </w:r>
      <w:proofErr w:type="gramStart"/>
      <w:r w:rsidRPr="001C6486">
        <w:rPr>
          <w:rFonts w:ascii="Times New Roman" w:hAnsi="Times New Roman" w:cs="Times New Roman"/>
          <w:sz w:val="24"/>
          <w:szCs w:val="24"/>
          <w:lang w:val="en-US"/>
        </w:rPr>
        <w:t>are based</w:t>
      </w:r>
      <w:proofErr w:type="gramEnd"/>
      <w:r w:rsidRPr="001C6486">
        <w:rPr>
          <w:rFonts w:ascii="Times New Roman" w:hAnsi="Times New Roman" w:cs="Times New Roman"/>
          <w:sz w:val="24"/>
          <w:szCs w:val="24"/>
          <w:lang w:val="en-US"/>
        </w:rPr>
        <w:t xml:space="preserve"> on epidemiological surveillance systems that in many cases present coverage and integrity problems. On the other hand, it must be taken into account that throughout the pandemic, the national States have been modifying the definitions of "suspected case" and "confirmed case", which </w:t>
      </w:r>
      <w:proofErr w:type="gramStart"/>
      <w:r w:rsidRPr="001C6486">
        <w:rPr>
          <w:rFonts w:ascii="Times New Roman" w:hAnsi="Times New Roman" w:cs="Times New Roman"/>
          <w:sz w:val="24"/>
          <w:szCs w:val="24"/>
          <w:lang w:val="en-US"/>
        </w:rPr>
        <w:t>impacts</w:t>
      </w:r>
      <w:proofErr w:type="gramEnd"/>
      <w:r w:rsidRPr="001C6486">
        <w:rPr>
          <w:rFonts w:ascii="Times New Roman" w:hAnsi="Times New Roman" w:cs="Times New Roman"/>
          <w:sz w:val="24"/>
          <w:szCs w:val="24"/>
          <w:lang w:val="en-US"/>
        </w:rPr>
        <w:t xml:space="preserve"> the detection capacity of the surveillance systems. Nor can it be ignored that the purpose of generating data States is not investigative, but rather surveillance, so that often there are procedures that are not sufficiently refined, such as those for determining the basic cause of death or the existence of comorbidities.</w:t>
      </w:r>
    </w:p>
    <w:p w:rsidR="008C2083" w:rsidRPr="001C6486" w:rsidRDefault="001C6486" w:rsidP="001C6486">
      <w:pPr>
        <w:spacing w:after="0" w:line="480" w:lineRule="auto"/>
        <w:contextualSpacing/>
        <w:jc w:val="both"/>
        <w:rPr>
          <w:rFonts w:ascii="Times New Roman" w:hAnsi="Times New Roman" w:cs="Times New Roman"/>
          <w:b/>
          <w:sz w:val="24"/>
          <w:szCs w:val="24"/>
          <w:lang w:val="en-US"/>
        </w:rPr>
      </w:pPr>
      <w:r w:rsidRPr="001C6486">
        <w:rPr>
          <w:rFonts w:ascii="Times New Roman" w:hAnsi="Times New Roman" w:cs="Times New Roman"/>
          <w:sz w:val="24"/>
          <w:szCs w:val="24"/>
          <w:lang w:val="en-US"/>
        </w:rPr>
        <w:t xml:space="preserve">After </w:t>
      </w:r>
      <w:r>
        <w:rPr>
          <w:rFonts w:ascii="Times New Roman" w:hAnsi="Times New Roman" w:cs="Times New Roman"/>
          <w:sz w:val="24"/>
          <w:szCs w:val="24"/>
          <w:lang w:val="en-US"/>
        </w:rPr>
        <w:t>XX</w:t>
      </w:r>
      <w:r w:rsidRPr="001C6486">
        <w:rPr>
          <w:rFonts w:ascii="Times New Roman" w:hAnsi="Times New Roman" w:cs="Times New Roman"/>
          <w:sz w:val="24"/>
          <w:szCs w:val="24"/>
          <w:lang w:val="en-US"/>
        </w:rPr>
        <w:t xml:space="preserve"> days from the beginning of the epidemic in CABA, the description of </w:t>
      </w:r>
      <w:proofErr w:type="spellStart"/>
      <w:r w:rsidRPr="001C6486">
        <w:rPr>
          <w:rFonts w:ascii="Times New Roman" w:hAnsi="Times New Roman" w:cs="Times New Roman"/>
          <w:sz w:val="24"/>
          <w:szCs w:val="24"/>
          <w:lang w:val="en-US"/>
        </w:rPr>
        <w:t>morbi</w:t>
      </w:r>
      <w:proofErr w:type="spellEnd"/>
      <w:r>
        <w:rPr>
          <w:rFonts w:ascii="Times New Roman" w:hAnsi="Times New Roman" w:cs="Times New Roman"/>
          <w:sz w:val="24"/>
          <w:szCs w:val="24"/>
          <w:lang w:val="en-US"/>
        </w:rPr>
        <w:t>-</w:t>
      </w:r>
      <w:r w:rsidRPr="001C6486">
        <w:rPr>
          <w:rFonts w:ascii="Times New Roman" w:hAnsi="Times New Roman" w:cs="Times New Roman"/>
          <w:sz w:val="24"/>
          <w:szCs w:val="24"/>
          <w:lang w:val="en-US"/>
        </w:rPr>
        <w:t>mortality by COVID-19 validates the idea of drastically reinforcing public policies aimed at guaranteeing access to health services, deepening detection, testing, assistance and isolation in populations with deficient living conditions.</w:t>
      </w:r>
    </w:p>
    <w:sectPr w:rsidR="008C2083" w:rsidRPr="001C6486" w:rsidSect="0016684F">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6413AE"/>
    <w:rsid w:val="00012ECE"/>
    <w:rsid w:val="00022331"/>
    <w:rsid w:val="00035090"/>
    <w:rsid w:val="000535B4"/>
    <w:rsid w:val="0008236E"/>
    <w:rsid w:val="000B09AA"/>
    <w:rsid w:val="000F093C"/>
    <w:rsid w:val="0015734E"/>
    <w:rsid w:val="0016684F"/>
    <w:rsid w:val="00177BF9"/>
    <w:rsid w:val="00183AD3"/>
    <w:rsid w:val="001A23A1"/>
    <w:rsid w:val="001C00FB"/>
    <w:rsid w:val="001C1E69"/>
    <w:rsid w:val="001C5E82"/>
    <w:rsid w:val="001C6486"/>
    <w:rsid w:val="001E7090"/>
    <w:rsid w:val="001F579D"/>
    <w:rsid w:val="002031D9"/>
    <w:rsid w:val="00223AF7"/>
    <w:rsid w:val="00234F1C"/>
    <w:rsid w:val="002476B5"/>
    <w:rsid w:val="00253AD9"/>
    <w:rsid w:val="00263576"/>
    <w:rsid w:val="00266441"/>
    <w:rsid w:val="002837CC"/>
    <w:rsid w:val="00287CB8"/>
    <w:rsid w:val="00296331"/>
    <w:rsid w:val="002C273B"/>
    <w:rsid w:val="002C3BF8"/>
    <w:rsid w:val="002E77A3"/>
    <w:rsid w:val="00314B54"/>
    <w:rsid w:val="00384A8F"/>
    <w:rsid w:val="00387843"/>
    <w:rsid w:val="003A09B7"/>
    <w:rsid w:val="003A0EA5"/>
    <w:rsid w:val="003D313E"/>
    <w:rsid w:val="00405EFF"/>
    <w:rsid w:val="004D66F7"/>
    <w:rsid w:val="004F29CE"/>
    <w:rsid w:val="004F5494"/>
    <w:rsid w:val="005067ED"/>
    <w:rsid w:val="00530EC0"/>
    <w:rsid w:val="00534EB2"/>
    <w:rsid w:val="005640CF"/>
    <w:rsid w:val="00591312"/>
    <w:rsid w:val="005938C1"/>
    <w:rsid w:val="005A13EF"/>
    <w:rsid w:val="005C36FF"/>
    <w:rsid w:val="00613314"/>
    <w:rsid w:val="00620FDF"/>
    <w:rsid w:val="00624D5A"/>
    <w:rsid w:val="00625B25"/>
    <w:rsid w:val="0063065E"/>
    <w:rsid w:val="006413AE"/>
    <w:rsid w:val="00642538"/>
    <w:rsid w:val="006667C1"/>
    <w:rsid w:val="006A0045"/>
    <w:rsid w:val="006B4853"/>
    <w:rsid w:val="006E368F"/>
    <w:rsid w:val="006F5DB8"/>
    <w:rsid w:val="00726E11"/>
    <w:rsid w:val="00737A37"/>
    <w:rsid w:val="0076493B"/>
    <w:rsid w:val="007905F6"/>
    <w:rsid w:val="007927B0"/>
    <w:rsid w:val="007A69FA"/>
    <w:rsid w:val="008005A0"/>
    <w:rsid w:val="008207A5"/>
    <w:rsid w:val="0083747C"/>
    <w:rsid w:val="00837D3B"/>
    <w:rsid w:val="008533FA"/>
    <w:rsid w:val="0086600D"/>
    <w:rsid w:val="008748ED"/>
    <w:rsid w:val="008A48B8"/>
    <w:rsid w:val="008C2083"/>
    <w:rsid w:val="008D1911"/>
    <w:rsid w:val="009A0571"/>
    <w:rsid w:val="009A11C8"/>
    <w:rsid w:val="009D1D54"/>
    <w:rsid w:val="009D32F7"/>
    <w:rsid w:val="009F3E07"/>
    <w:rsid w:val="00A00385"/>
    <w:rsid w:val="00A53250"/>
    <w:rsid w:val="00A82D02"/>
    <w:rsid w:val="00A92254"/>
    <w:rsid w:val="00A92FDD"/>
    <w:rsid w:val="00AA2A3F"/>
    <w:rsid w:val="00AA54C9"/>
    <w:rsid w:val="00AA6101"/>
    <w:rsid w:val="00AC5E4E"/>
    <w:rsid w:val="00AF4DEB"/>
    <w:rsid w:val="00B045C6"/>
    <w:rsid w:val="00B04F32"/>
    <w:rsid w:val="00B066BE"/>
    <w:rsid w:val="00B22020"/>
    <w:rsid w:val="00B43A3F"/>
    <w:rsid w:val="00B44245"/>
    <w:rsid w:val="00B53C63"/>
    <w:rsid w:val="00B66534"/>
    <w:rsid w:val="00B66F20"/>
    <w:rsid w:val="00B67051"/>
    <w:rsid w:val="00B7671A"/>
    <w:rsid w:val="00B86978"/>
    <w:rsid w:val="00BA5397"/>
    <w:rsid w:val="00BC62E4"/>
    <w:rsid w:val="00C22846"/>
    <w:rsid w:val="00C27F56"/>
    <w:rsid w:val="00C43D50"/>
    <w:rsid w:val="00C907FC"/>
    <w:rsid w:val="00CC68D8"/>
    <w:rsid w:val="00CD6A34"/>
    <w:rsid w:val="00CE656D"/>
    <w:rsid w:val="00CE7BAA"/>
    <w:rsid w:val="00CF09FC"/>
    <w:rsid w:val="00CF34EC"/>
    <w:rsid w:val="00D11846"/>
    <w:rsid w:val="00D262C9"/>
    <w:rsid w:val="00D510C0"/>
    <w:rsid w:val="00D51DF5"/>
    <w:rsid w:val="00D53805"/>
    <w:rsid w:val="00D57FBD"/>
    <w:rsid w:val="00D66AFE"/>
    <w:rsid w:val="00D7685A"/>
    <w:rsid w:val="00D93573"/>
    <w:rsid w:val="00DB620B"/>
    <w:rsid w:val="00DD6046"/>
    <w:rsid w:val="00DE13F5"/>
    <w:rsid w:val="00DE3FAB"/>
    <w:rsid w:val="00DF0D82"/>
    <w:rsid w:val="00DF13D6"/>
    <w:rsid w:val="00E0436D"/>
    <w:rsid w:val="00E17D1B"/>
    <w:rsid w:val="00E6015C"/>
    <w:rsid w:val="00E86067"/>
    <w:rsid w:val="00EB6BA4"/>
    <w:rsid w:val="00EE0CA3"/>
    <w:rsid w:val="00EE64E1"/>
    <w:rsid w:val="00EF2B6B"/>
    <w:rsid w:val="00F138DB"/>
    <w:rsid w:val="00F35E47"/>
    <w:rsid w:val="00F71983"/>
    <w:rsid w:val="00F952D7"/>
    <w:rsid w:val="00F95E60"/>
    <w:rsid w:val="00FD1227"/>
    <w:rsid w:val="00FD1870"/>
    <w:rsid w:val="00FD537F"/>
    <w:rsid w:val="00FF10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FF69"/>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616105063">
      <w:marLeft w:val="0"/>
      <w:marRight w:val="136"/>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906450494">
      <w:marLeft w:val="0"/>
      <w:marRight w:val="136"/>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E48B8-34B1-49A6-98A5-4939418F9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3127</TotalTime>
  <Pages>14</Pages>
  <Words>10715</Words>
  <Characters>61076</Characters>
  <Application>Microsoft Office Word</Application>
  <DocSecurity>0</DocSecurity>
  <Lines>508</Lines>
  <Paragraphs>143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Adrian</cp:lastModifiedBy>
  <cp:revision>42</cp:revision>
  <dcterms:created xsi:type="dcterms:W3CDTF">2020-09-27T22:54:00Z</dcterms:created>
  <dcterms:modified xsi:type="dcterms:W3CDTF">2020-11-20T03:23:00Z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