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FA" w:rsidRDefault="008533FA" w:rsidP="0016684F">
      <w:pPr>
        <w:spacing w:after="0" w:line="480" w:lineRule="auto"/>
        <w:contextualSpacing/>
        <w:jc w:val="both"/>
        <w:rPr>
          <w:rFonts w:ascii="Times New Roman" w:hAnsi="Times New Roman" w:cs="Times New Roman"/>
          <w:b/>
          <w:sz w:val="24"/>
          <w:szCs w:val="24"/>
          <w:lang w:val="en-US"/>
        </w:rPr>
      </w:pPr>
      <w:r w:rsidRPr="008533FA">
        <w:rPr>
          <w:rFonts w:ascii="Times New Roman" w:hAnsi="Times New Roman" w:cs="Times New Roman"/>
          <w:b/>
          <w:sz w:val="24"/>
          <w:szCs w:val="24"/>
          <w:lang w:val="en-US"/>
        </w:rPr>
        <w:t>INEQUALITIES IN MORBIMORTALITY DUE TO COVID-19 IN THE AUTONOMOUS CITY OF BUENOS AIRES</w:t>
      </w:r>
    </w:p>
    <w:p w:rsidR="001A23A1" w:rsidRPr="008005A0" w:rsidRDefault="001A23A1" w:rsidP="0016684F">
      <w:pPr>
        <w:spacing w:after="0" w:line="480" w:lineRule="auto"/>
        <w:contextualSpacing/>
        <w:jc w:val="both"/>
        <w:rPr>
          <w:rFonts w:ascii="Times New Roman" w:hAnsi="Times New Roman" w:cs="Times New Roman"/>
          <w:sz w:val="24"/>
          <w:szCs w:val="24"/>
          <w:lang w:val="en-US"/>
        </w:rPr>
      </w:pPr>
      <w:proofErr w:type="spellStart"/>
      <w:r w:rsidRPr="008005A0">
        <w:rPr>
          <w:rFonts w:ascii="Times New Roman" w:hAnsi="Times New Roman" w:cs="Times New Roman"/>
          <w:sz w:val="24"/>
          <w:szCs w:val="24"/>
          <w:lang w:val="en-US"/>
        </w:rPr>
        <w:t>Adrián</w:t>
      </w:r>
      <w:proofErr w:type="spellEnd"/>
      <w:r w:rsidRPr="008005A0">
        <w:rPr>
          <w:rFonts w:ascii="Times New Roman" w:hAnsi="Times New Roman" w:cs="Times New Roman"/>
          <w:sz w:val="24"/>
          <w:szCs w:val="24"/>
          <w:lang w:val="en-US"/>
        </w:rPr>
        <w:t xml:space="preserve"> Santoro</w:t>
      </w:r>
    </w:p>
    <w:p w:rsidR="00D57FBD" w:rsidRPr="008005A0" w:rsidRDefault="00D57FBD" w:rsidP="0016684F">
      <w:pPr>
        <w:spacing w:after="0" w:line="480" w:lineRule="auto"/>
        <w:contextualSpacing/>
        <w:jc w:val="both"/>
        <w:rPr>
          <w:rFonts w:ascii="Times New Roman" w:hAnsi="Times New Roman" w:cs="Times New Roman"/>
          <w:b/>
          <w:sz w:val="24"/>
          <w:szCs w:val="24"/>
          <w:lang w:val="en-US"/>
        </w:rPr>
      </w:pPr>
    </w:p>
    <w:p w:rsidR="00A82D02" w:rsidRDefault="008005A0" w:rsidP="0016684F">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PRESENTATION</w:t>
      </w:r>
    </w:p>
    <w:p w:rsidR="001C5E82" w:rsidRDefault="008005A0" w:rsidP="0016684F">
      <w:pPr>
        <w:spacing w:after="0" w:line="480" w:lineRule="auto"/>
        <w:contextualSpacing/>
        <w:jc w:val="both"/>
        <w:rPr>
          <w:rFonts w:ascii="Times New Roman" w:hAnsi="Times New Roman" w:cs="Times New Roman"/>
          <w:sz w:val="24"/>
          <w:szCs w:val="24"/>
          <w:lang w:val="en-US"/>
        </w:rPr>
      </w:pPr>
      <w:r w:rsidRPr="008005A0">
        <w:rPr>
          <w:rFonts w:ascii="Times New Roman" w:hAnsi="Times New Roman" w:cs="Times New Roman"/>
          <w:sz w:val="24"/>
          <w:szCs w:val="24"/>
          <w:lang w:val="en-US"/>
        </w:rPr>
        <w:t>The first confirmed cases of SARS-CoV-2 infection in Argentina were in the Autonomous City of Buenos Aires (</w:t>
      </w:r>
      <w:r>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in early March 2020. They were tourists returning from European cities that were registering high levels of COVID-19 incidence. The virus quickly began to circulate in the community and spread to other jurisdictions. However, until early September 2020, the </w:t>
      </w:r>
      <w:r w:rsidR="008533FA">
        <w:rPr>
          <w:rFonts w:ascii="Times New Roman" w:hAnsi="Times New Roman" w:cs="Times New Roman"/>
          <w:sz w:val="24"/>
          <w:szCs w:val="24"/>
          <w:lang w:val="en-US"/>
        </w:rPr>
        <w:t>ACBA</w:t>
      </w:r>
      <w:r w:rsidRPr="008005A0">
        <w:rPr>
          <w:rFonts w:ascii="Times New Roman" w:hAnsi="Times New Roman" w:cs="Times New Roman"/>
          <w:sz w:val="24"/>
          <w:szCs w:val="24"/>
          <w:lang w:val="en-US"/>
        </w:rPr>
        <w:t xml:space="preserve"> and the 40 districts of the Province of Buenos Aires that surround it (the geographic aggregate known as the Buenos Aires Metropolitan Area) accounted for nearly 95 percent of the country's incident cases and deaths.</w:t>
      </w: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proofErr w:type="gramStart"/>
      <w:r w:rsidRPr="00BC62E4">
        <w:rPr>
          <w:rFonts w:ascii="Times New Roman" w:hAnsi="Times New Roman" w:cs="Times New Roman"/>
          <w:sz w:val="24"/>
          <w:szCs w:val="24"/>
          <w:lang w:val="en-US"/>
        </w:rPr>
        <w:t>three</w:t>
      </w:r>
      <w:proofErr w:type="gramEnd"/>
      <w:r w:rsidRPr="00BC62E4">
        <w:rPr>
          <w:rFonts w:ascii="Times New Roman" w:hAnsi="Times New Roman" w:cs="Times New Roman"/>
          <w:sz w:val="24"/>
          <w:szCs w:val="24"/>
          <w:lang w:val="en-US"/>
        </w:rPr>
        <w:t xml:space="preserve"> deaths throughout the country, on March 20</w:t>
      </w:r>
      <w:r w:rsidR="00CD6A34">
        <w:rPr>
          <w:rFonts w:ascii="Times New Roman" w:hAnsi="Times New Roman" w:cs="Times New Roman"/>
          <w:sz w:val="24"/>
          <w:szCs w:val="24"/>
          <w:lang w:val="en-US"/>
        </w:rPr>
        <w:t>, 2020,</w:t>
      </w:r>
      <w:r w:rsidRPr="00BC62E4">
        <w:rPr>
          <w:rFonts w:ascii="Times New Roman" w:hAnsi="Times New Roman" w:cs="Times New Roman"/>
          <w:sz w:val="24"/>
          <w:szCs w:val="24"/>
          <w:lang w:val="en-US"/>
        </w:rPr>
        <w:t xml:space="preserve"> the "Preventive and Mandatory Social Isolation" was decreed</w:t>
      </w:r>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The main purpose of the regulation was to delay the epidemic's maturation, giving time for the health system's preparation, and to strengthen a structure capable of responding to the demands of the new situation, given the high virus reproduction capacity and the great demand for resources for the attention it would potentially demand.</w:t>
      </w:r>
    </w:p>
    <w:p w:rsidR="00D66AFE" w:rsidRPr="00BC62E4"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lastRenderedPageBreak/>
        <w:t xml:space="preserve">The ACBA is the federal district of the Argentine Republic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after ten days of isolation, mobility in workplaces had been reduced by more than 80 percent compared to the reference value of "normal". The same happened with mobility in parks and squares, and in vehicle traffic.</w:t>
      </w:r>
    </w:p>
    <w:p w:rsidR="0083747C" w:rsidRPr="00B066BE" w:rsidRDefault="008533FA" w:rsidP="00B066BE">
      <w:pPr>
        <w:spacing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Pr="008533FA">
        <w:rPr>
          <w:rFonts w:ascii="Times New Roman" w:hAnsi="Times New Roman" w:cs="Times New Roman"/>
          <w:sz w:val="24"/>
          <w:szCs w:val="24"/>
          <w:lang w:val="en-US"/>
        </w:rPr>
        <w:t>, where 3,075,646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Pr>
          <w:rFonts w:ascii="Times New Roman" w:hAnsi="Times New Roman" w:cs="Times New Roman"/>
          <w:sz w:val="24"/>
          <w:szCs w:val="24"/>
        </w:rPr>
        <w:instrText>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All 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bookmarkEnd w:id="0"/>
    <w:bookmarkEnd w:id="1"/>
    <w:p w:rsidR="00C907FC" w:rsidRDefault="0016684F" w:rsidP="0016684F">
      <w:pPr>
        <w:spacing w:after="0" w:line="480" w:lineRule="auto"/>
        <w:contextualSpacing/>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ab/>
      </w:r>
      <w:r w:rsidR="00B066BE"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argued that in cities such as New York, so-called "essential workers" constitute a population made up mostly of vulnerable people, mainly African Americans and Hispanics, so these communities' exposure to the virus is greater. Also in the United States, an ecological study on the distribution of mortality related to COVID-19 in the city 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w:t>
      </w:r>
      <w:r w:rsidR="00C907FC" w:rsidRPr="00B066BE">
        <w:rPr>
          <w:rFonts w:ascii="Times New Roman" w:hAnsi="Times New Roman" w:cs="Times New Roman"/>
          <w:sz w:val="24"/>
          <w:szCs w:val="24"/>
          <w:lang w:val="en-US"/>
        </w:rPr>
        <w:lastRenderedPageBreak/>
        <w:t>this phenomenon. In the same vein,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C907FC" w:rsidRP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proofErr w:type="spellStart"/>
      <w:r w:rsidRPr="00C907FC">
        <w:rPr>
          <w:rFonts w:ascii="Times New Roman" w:hAnsi="Times New Roman" w:cs="Times New Roman"/>
          <w:sz w:val="24"/>
          <w:szCs w:val="24"/>
          <w:lang w:val="en-US"/>
        </w:rPr>
        <w:t>morbimortality</w:t>
      </w:r>
      <w:proofErr w:type="spellEnd"/>
      <w:r w:rsidRPr="00C907FC">
        <w:rPr>
          <w:rFonts w:ascii="Times New Roman" w:hAnsi="Times New Roman" w:cs="Times New Roman"/>
          <w:sz w:val="24"/>
          <w:szCs w:val="24"/>
          <w:lang w:val="en-US"/>
        </w:rPr>
        <w:t xml:space="preserve"> by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the socioeconomic consequences of unemployment, loss of income, delays in the care of other health conditions, etc. In the same line,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proofErr w:type="spellStart"/>
      <w:r w:rsidRPr="00C907FC">
        <w:rPr>
          <w:rFonts w:ascii="Times New Roman" w:hAnsi="Times New Roman" w:cs="Times New Roman"/>
          <w:sz w:val="24"/>
          <w:szCs w:val="24"/>
          <w:lang w:val="en-US"/>
        </w:rPr>
        <w:t>sanitarists</w:t>
      </w:r>
      <w:proofErr w:type="spellEnd"/>
      <w:r w:rsidRPr="00C907FC">
        <w:rPr>
          <w:rFonts w:ascii="Times New Roman" w:hAnsi="Times New Roman" w:cs="Times New Roman"/>
          <w:sz w:val="24"/>
          <w:szCs w:val="24"/>
          <w:lang w:val="en-US"/>
        </w:rPr>
        <w:t xml:space="preserve"> and communicators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w:t>
      </w:r>
      <w:r w:rsidRPr="00C907FC">
        <w:rPr>
          <w:rFonts w:ascii="Times New Roman" w:hAnsi="Times New Roman" w:cs="Times New Roman"/>
          <w:sz w:val="24"/>
          <w:szCs w:val="24"/>
          <w:lang w:val="en-US"/>
        </w:rPr>
        <w:lastRenderedPageBreak/>
        <w:t>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D57FBD"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The inequality in the availability of information between countries and subnational areas </w:t>
      </w:r>
      <w:proofErr w:type="gramStart"/>
      <w:r w:rsidRPr="00C907FC">
        <w:rPr>
          <w:rFonts w:ascii="Times New Roman" w:hAnsi="Times New Roman" w:cs="Times New Roman"/>
          <w:sz w:val="24"/>
          <w:szCs w:val="24"/>
          <w:lang w:val="en-US"/>
        </w:rPr>
        <w:t>should also be highlighted</w:t>
      </w:r>
      <w:proofErr w:type="gramEnd"/>
      <w:r w:rsidRPr="00C907FC">
        <w:rPr>
          <w:rFonts w:ascii="Times New Roman" w:hAnsi="Times New Roman" w:cs="Times New Roman"/>
          <w:sz w:val="24"/>
          <w:szCs w:val="24"/>
          <w:lang w:val="en-US"/>
        </w:rPr>
        <w:t xml:space="preserve">, which determines different levels of coverage, completeness and specificity of the statistics. Within this framework, "per-capita" indicators </w:t>
      </w:r>
      <w:proofErr w:type="gramStart"/>
      <w:r w:rsidRPr="00C907FC">
        <w:rPr>
          <w:rFonts w:ascii="Times New Roman" w:hAnsi="Times New Roman" w:cs="Times New Roman"/>
          <w:sz w:val="24"/>
          <w:szCs w:val="24"/>
          <w:lang w:val="en-US"/>
        </w:rPr>
        <w:t>are commonly disseminated</w:t>
      </w:r>
      <w:proofErr w:type="gramEnd"/>
      <w:r w:rsidRPr="00C907FC">
        <w:rPr>
          <w:rFonts w:ascii="Times New Roman" w:hAnsi="Times New Roman" w:cs="Times New Roman"/>
          <w:sz w:val="24"/>
          <w:szCs w:val="24"/>
          <w:lang w:val="en-US"/>
        </w:rPr>
        <w:t xml:space="preserve">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need to adjust factors of confusion (demographic structure and time elapsed since the beginning of the epidemic) for the assessment of the impact of the pandemic on different populations. The young demographic structure is generally associated with populations with high levels of deprivation and masking,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r w:rsidR="00296331" w:rsidRPr="00296331">
        <w:rPr>
          <w:rFonts w:ascii="Times New Roman" w:hAnsi="Times New Roman" w:cs="Times New Roman"/>
          <w:sz w:val="24"/>
          <w:szCs w:val="24"/>
          <w:lang w:val="en-US"/>
        </w:rPr>
        <w:t xml:space="preserve">The objective of this study was to describe the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by COVID-19 in the CABA and to quantify the level of inequality observed among the communes that compose it. The assumption that guided the description was </w:t>
      </w:r>
      <w:proofErr w:type="gramStart"/>
      <w:r w:rsidR="00296331" w:rsidRPr="00296331">
        <w:rPr>
          <w:rFonts w:ascii="Times New Roman" w:hAnsi="Times New Roman" w:cs="Times New Roman"/>
          <w:sz w:val="24"/>
          <w:szCs w:val="24"/>
          <w:lang w:val="en-US"/>
        </w:rPr>
        <w:t>based on the fact that</w:t>
      </w:r>
      <w:proofErr w:type="gramEnd"/>
      <w:r w:rsidR="00296331" w:rsidRPr="00296331">
        <w:rPr>
          <w:rFonts w:ascii="Times New Roman" w:hAnsi="Times New Roman" w:cs="Times New Roman"/>
          <w:sz w:val="24"/>
          <w:szCs w:val="24"/>
          <w:lang w:val="en-US"/>
        </w:rPr>
        <w:t xml:space="preserve"> the unequal distribution of </w:t>
      </w:r>
      <w:proofErr w:type="spellStart"/>
      <w:r w:rsidR="00296331" w:rsidRPr="00296331">
        <w:rPr>
          <w:rFonts w:ascii="Times New Roman" w:hAnsi="Times New Roman" w:cs="Times New Roman"/>
          <w:sz w:val="24"/>
          <w:szCs w:val="24"/>
          <w:lang w:val="en-US"/>
        </w:rPr>
        <w:t>morbimortality</w:t>
      </w:r>
      <w:proofErr w:type="spellEnd"/>
      <w:r w:rsidR="00296331" w:rsidRPr="00296331">
        <w:rPr>
          <w:rFonts w:ascii="Times New Roman" w:hAnsi="Times New Roman" w:cs="Times New Roman"/>
          <w:sz w:val="24"/>
          <w:szCs w:val="24"/>
          <w:lang w:val="en-US"/>
        </w:rPr>
        <w:t xml:space="preserve"> indicators represents a greater negative impact in the southern zone of the city, which integrates the lowest income communes and is identified in the bibliography as the most neglected area of the city.</w:t>
      </w:r>
    </w:p>
    <w:p w:rsidR="00296331" w:rsidRPr="00296331" w:rsidRDefault="00296331"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63065E" w:rsidP="0016684F">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It was an observational study, of descriptive scope, from population aggregates. The temporal cut was transversal. </w:t>
      </w:r>
      <w:proofErr w:type="gramStart"/>
      <w:r w:rsidRPr="0063065E">
        <w:rPr>
          <w:rFonts w:ascii="Times New Roman" w:hAnsi="Times New Roman" w:cs="Times New Roman"/>
          <w:sz w:val="24"/>
          <w:szCs w:val="24"/>
          <w:lang w:val="en-US"/>
        </w:rPr>
        <w:t xml:space="preserve">The units of analysis were represented by each commune of </w:t>
      </w:r>
      <w:r>
        <w:rPr>
          <w:rFonts w:ascii="Times New Roman" w:hAnsi="Times New Roman" w:cs="Times New Roman"/>
          <w:sz w:val="24"/>
          <w:szCs w:val="24"/>
          <w:lang w:val="en-US"/>
        </w:rPr>
        <w:t>ACBA</w:t>
      </w:r>
      <w:proofErr w:type="gramEnd"/>
      <w:r w:rsidRPr="0063065E">
        <w:rPr>
          <w:rFonts w:ascii="Times New Roman" w:hAnsi="Times New Roman" w:cs="Times New Roman"/>
          <w:sz w:val="24"/>
          <w:szCs w:val="24"/>
          <w:lang w:val="en-US"/>
        </w:rPr>
        <w:t xml:space="preserve">. The study population </w:t>
      </w:r>
      <w:proofErr w:type="gramStart"/>
      <w:r w:rsidRPr="0063065E">
        <w:rPr>
          <w:rFonts w:ascii="Times New Roman" w:hAnsi="Times New Roman" w:cs="Times New Roman"/>
          <w:sz w:val="24"/>
          <w:szCs w:val="24"/>
          <w:lang w:val="en-US"/>
        </w:rPr>
        <w:t>was made up</w:t>
      </w:r>
      <w:proofErr w:type="gramEnd"/>
      <w:r w:rsidRPr="0063065E">
        <w:rPr>
          <w:rFonts w:ascii="Times New Roman" w:hAnsi="Times New Roman" w:cs="Times New Roman"/>
          <w:sz w:val="24"/>
          <w:szCs w:val="24"/>
          <w:lang w:val="en-US"/>
        </w:rPr>
        <w:t xml:space="preserve"> of the 15 communes into which the </w:t>
      </w:r>
      <w:r>
        <w:rPr>
          <w:rFonts w:ascii="Times New Roman" w:hAnsi="Times New Roman" w:cs="Times New Roman"/>
          <w:sz w:val="24"/>
          <w:szCs w:val="24"/>
          <w:lang w:val="en-US"/>
        </w:rPr>
        <w:t xml:space="preserve">ACBA </w:t>
      </w:r>
      <w:r w:rsidRPr="0063065E">
        <w:rPr>
          <w:rFonts w:ascii="Times New Roman" w:hAnsi="Times New Roman" w:cs="Times New Roman"/>
          <w:sz w:val="24"/>
          <w:szCs w:val="24"/>
          <w:lang w:val="en-US"/>
        </w:rPr>
        <w:t xml:space="preserve">is divided. </w:t>
      </w:r>
      <w:proofErr w:type="gramStart"/>
      <w:r w:rsidRPr="0063065E">
        <w:rPr>
          <w:rFonts w:ascii="Times New Roman" w:hAnsi="Times New Roman" w:cs="Times New Roman"/>
          <w:sz w:val="24"/>
          <w:szCs w:val="24"/>
          <w:lang w:val="en-US"/>
        </w:rPr>
        <w:t>The results were described by communes and zones</w:t>
      </w:r>
      <w:proofErr w:type="gramEnd"/>
      <w:r w:rsidRPr="0063065E">
        <w:rPr>
          <w:rFonts w:ascii="Times New Roman" w:hAnsi="Times New Roman" w:cs="Times New Roman"/>
          <w:sz w:val="24"/>
          <w:szCs w:val="24"/>
          <w:lang w:val="en-US"/>
        </w:rPr>
        <w:t>. The division of the city into communes responds to an inter</w:t>
      </w:r>
      <w:r>
        <w:rPr>
          <w:rFonts w:ascii="Times New Roman" w:hAnsi="Times New Roman" w:cs="Times New Roman"/>
          <w:sz w:val="24"/>
          <w:szCs w:val="24"/>
          <w:lang w:val="en-US"/>
        </w:rPr>
        <w:t>-</w:t>
      </w:r>
      <w:r w:rsidRPr="0063065E">
        <w:rPr>
          <w:rFonts w:ascii="Times New Roman" w:hAnsi="Times New Roman" w:cs="Times New Roman"/>
          <w:sz w:val="24"/>
          <w:szCs w:val="24"/>
          <w:lang w:val="en-US"/>
        </w:rPr>
        <w:lastRenderedPageBreak/>
        <w:t xml:space="preserve">jurisdictional and political-administrative division of the territory. The zones represent groupings of communes according to the homogeneity observed in different indicators of quality of life. Thus, the southern zone </w:t>
      </w:r>
      <w:proofErr w:type="gramStart"/>
      <w:r w:rsidRPr="0063065E">
        <w:rPr>
          <w:rFonts w:ascii="Times New Roman" w:hAnsi="Times New Roman" w:cs="Times New Roman"/>
          <w:sz w:val="24"/>
          <w:szCs w:val="24"/>
          <w:lang w:val="en-US"/>
        </w:rPr>
        <w:t>is considered</w:t>
      </w:r>
      <w:proofErr w:type="gramEnd"/>
      <w:r w:rsidRPr="0063065E">
        <w:rPr>
          <w:rFonts w:ascii="Times New Roman" w:hAnsi="Times New Roman" w:cs="Times New Roman"/>
          <w:sz w:val="24"/>
          <w:szCs w:val="24"/>
          <w:lang w:val="en-US"/>
        </w:rPr>
        <w:t xml:space="preserve"> to be made up of communes 4, 8, 9 and 10; the central zone is made up of communes 1, 3, 4, 5, 6, 7, 11, 12 and 15; and the northern zone is made up of communes 2, 13 and 14.</w:t>
      </w:r>
    </w:p>
    <w:p w:rsidR="0063065E" w:rsidRDefault="0063065E" w:rsidP="00DE13F5">
      <w:pPr>
        <w:spacing w:after="0" w:line="480" w:lineRule="auto"/>
        <w:contextualSpacing/>
        <w:jc w:val="both"/>
        <w:rPr>
          <w:rFonts w:ascii="Times New Roman" w:hAnsi="Times New Roman" w:cs="Times New Roman"/>
          <w:sz w:val="24"/>
          <w:szCs w:val="24"/>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the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commune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communes with values below one represented communes with average income below the average of the city and vice versa. </w:t>
      </w:r>
      <w:proofErr w:type="spellStart"/>
      <w:r>
        <w:rPr>
          <w:rFonts w:ascii="Times New Roman" w:hAnsi="Times New Roman" w:cs="Times New Roman"/>
          <w:sz w:val="24"/>
          <w:szCs w:val="24"/>
        </w:rPr>
        <w:t>It</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was</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called</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standardized</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income</w:t>
      </w:r>
      <w:proofErr w:type="spellEnd"/>
      <w:r w:rsidRPr="0063065E">
        <w:rPr>
          <w:rFonts w:ascii="Times New Roman" w:hAnsi="Times New Roman" w:cs="Times New Roman"/>
          <w:sz w:val="24"/>
          <w:szCs w:val="24"/>
        </w:rPr>
        <w:t xml:space="preserve"> </w:t>
      </w:r>
      <w:proofErr w:type="spellStart"/>
      <w:r w:rsidRPr="0063065E">
        <w:rPr>
          <w:rFonts w:ascii="Times New Roman" w:hAnsi="Times New Roman" w:cs="Times New Roman"/>
          <w:sz w:val="24"/>
          <w:szCs w:val="24"/>
        </w:rPr>
        <w:t>index</w:t>
      </w:r>
      <w:proofErr w:type="spellEnd"/>
      <w:r w:rsidRPr="0063065E">
        <w:rPr>
          <w:rFonts w:ascii="Times New Roman" w:hAnsi="Times New Roman" w:cs="Times New Roman"/>
          <w:sz w:val="24"/>
          <w:szCs w:val="24"/>
        </w:rPr>
        <w:t>" (SII)</w:t>
      </w:r>
      <w:r>
        <w:rPr>
          <w:rFonts w:ascii="Times New Roman" w:hAnsi="Times New Roman" w:cs="Times New Roman"/>
          <w:sz w:val="24"/>
          <w:szCs w:val="24"/>
        </w:rPr>
        <w:t>.</w:t>
      </w:r>
    </w:p>
    <w:p w:rsidR="0063065E"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We worked with the information reported up to ##/##/#### on the website of the Government of the City of Buenos Aires </w:t>
      </w:r>
      <w:r>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a portal that offers in microdata the official epidemiological information of the Government of the City of Buenos Aires that comes from the National Health Surveillance System of Argentina. Cases that did not have information on age or commune of residence </w:t>
      </w:r>
      <w:proofErr w:type="gramStart"/>
      <w:r w:rsidRPr="0063065E">
        <w:rPr>
          <w:rFonts w:ascii="Times New Roman" w:hAnsi="Times New Roman" w:cs="Times New Roman"/>
          <w:sz w:val="24"/>
          <w:szCs w:val="24"/>
          <w:lang w:val="en-US"/>
        </w:rPr>
        <w:t>were excluded</w:t>
      </w:r>
      <w:proofErr w:type="gramEnd"/>
      <w:r w:rsidRPr="0063065E">
        <w:rPr>
          <w:rFonts w:ascii="Times New Roman" w:hAnsi="Times New Roman" w:cs="Times New Roman"/>
          <w:sz w:val="24"/>
          <w:szCs w:val="24"/>
          <w:lang w:val="en-US"/>
        </w:rPr>
        <w:t xml:space="preserve"> from the analysis. Thus, </w:t>
      </w:r>
      <w:r w:rsidRPr="0063065E">
        <w:rPr>
          <w:rFonts w:ascii="Times New Roman" w:hAnsi="Times New Roman" w:cs="Times New Roman"/>
          <w:color w:val="FF0000"/>
          <w:sz w:val="24"/>
          <w:szCs w:val="24"/>
          <w:lang w:val="en-US"/>
        </w:rPr>
        <w:t>11,079</w:t>
      </w:r>
      <w:r w:rsidRPr="0063065E">
        <w:rPr>
          <w:rFonts w:ascii="Times New Roman" w:hAnsi="Times New Roman" w:cs="Times New Roman"/>
          <w:sz w:val="24"/>
          <w:szCs w:val="24"/>
          <w:lang w:val="en-US"/>
        </w:rPr>
        <w:t xml:space="preserve"> of the </w:t>
      </w:r>
      <w:r w:rsidRPr="0063065E">
        <w:rPr>
          <w:rFonts w:ascii="Times New Roman" w:hAnsi="Times New Roman" w:cs="Times New Roman"/>
          <w:color w:val="FF0000"/>
          <w:sz w:val="24"/>
          <w:szCs w:val="24"/>
          <w:lang w:val="en-US"/>
        </w:rPr>
        <w:t>339,652</w:t>
      </w:r>
      <w:r w:rsidRPr="0063065E">
        <w:rPr>
          <w:rFonts w:ascii="Times New Roman" w:hAnsi="Times New Roman" w:cs="Times New Roman"/>
          <w:sz w:val="24"/>
          <w:szCs w:val="24"/>
          <w:lang w:val="en-US"/>
        </w:rPr>
        <w:t xml:space="preserve"> total cases were rejected (3.3%). Among the confirmed cases, the records discarded represented </w:t>
      </w:r>
      <w:r w:rsidRPr="0063065E">
        <w:rPr>
          <w:rFonts w:ascii="Times New Roman" w:hAnsi="Times New Roman" w:cs="Times New Roman"/>
          <w:color w:val="FF0000"/>
          <w:sz w:val="24"/>
          <w:szCs w:val="24"/>
          <w:lang w:val="en-US"/>
        </w:rPr>
        <w:t>2.7%</w:t>
      </w:r>
      <w:r w:rsidRPr="006306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530EC0" w:rsidRP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reference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Pr="00530EC0">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Para el total de la CABA y para cada comuna se calcularon la tasa de incidencia acumulada cada 1.000 habitantes, la tasa de mortalidad cada 1.000 habitantes, el porcentaje de letalidad y el porcentaje de positividad. </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Para medir los niveles de mortalidad</w:t>
      </w:r>
      <w:r w:rsidRPr="00BA5397">
        <w:rPr>
          <w:rFonts w:ascii="Times New Roman" w:hAnsi="Times New Roman" w:cs="Times New Roman"/>
          <w:sz w:val="24"/>
          <w:szCs w:val="24"/>
        </w:rPr>
        <w:t xml:space="preserve"> </w:t>
      </w:r>
      <w:r>
        <w:rPr>
          <w:rFonts w:ascii="Times New Roman" w:hAnsi="Times New Roman" w:cs="Times New Roman"/>
          <w:sz w:val="24"/>
          <w:szCs w:val="24"/>
        </w:rPr>
        <w:t xml:space="preserve">por comuna eliminando el factor de confusión de las diferentes estructuras demográficas, se calculó la razón de mortalidad estandarizada (RME) </w:t>
      </w:r>
      <w:r>
        <w:rPr>
          <w:rFonts w:ascii="Times New Roman" w:hAnsi="Times New Roman" w:cs="Times New Roman"/>
          <w:sz w:val="24"/>
          <w:szCs w:val="24"/>
        </w:rPr>
        <w:lastRenderedPageBreak/>
        <w:t>según la metodología propuesta por la Organización Panamericana de la Salud (CITAR), tomando a las tasas específicas de mortalidad por grupos de edad de la CABA como estándar.</w:t>
      </w:r>
    </w:p>
    <w:p w:rsidR="00287CB8" w:rsidRDefault="00287CB8" w:rsidP="00287CB8">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Para evaluar los niveles de desigualdad y concentración se calcularon </w:t>
      </w:r>
      <w:r w:rsidR="00CF34EC">
        <w:rPr>
          <w:rFonts w:ascii="Times New Roman" w:hAnsi="Times New Roman" w:cs="Times New Roman"/>
          <w:sz w:val="24"/>
          <w:szCs w:val="24"/>
        </w:rPr>
        <w:t>cocientes,</w:t>
      </w:r>
      <w:r>
        <w:rPr>
          <w:rFonts w:ascii="Times New Roman" w:hAnsi="Times New Roman" w:cs="Times New Roman"/>
          <w:sz w:val="24"/>
          <w:szCs w:val="24"/>
        </w:rPr>
        <w:t xml:space="preserve"> diferencias de tasas</w:t>
      </w:r>
      <w:r w:rsidR="00530EC0">
        <w:rPr>
          <w:rFonts w:ascii="Times New Roman" w:hAnsi="Times New Roman" w:cs="Times New Roman"/>
          <w:sz w:val="24"/>
          <w:szCs w:val="24"/>
        </w:rPr>
        <w:t>.</w:t>
      </w:r>
    </w:p>
    <w:p w:rsidR="00DE13F5" w:rsidRDefault="00DE13F5"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Se calcularon los intervalos al 95% de confianza (IC95%) para los indicadores analizados. Para la tasa de incidencia acumulada cada 1.000 habitantes, la tasa de mortalidad cada 1.000 habitantes, el porcentaje de letalidad y el porcentaje de positividad el IC95% se estimo mediante la aproximación normal. Para las RME, se utilizó la metodología del Chi</w:t>
      </w:r>
      <w:r w:rsidRPr="00DE13F5">
        <w:rPr>
          <w:rFonts w:ascii="Times New Roman" w:hAnsi="Times New Roman" w:cs="Times New Roman"/>
          <w:szCs w:val="24"/>
          <w:vertAlign w:val="superscript"/>
        </w:rPr>
        <w:t>2</w:t>
      </w:r>
      <w:r>
        <w:rPr>
          <w:rFonts w:ascii="Times New Roman" w:hAnsi="Times New Roman" w:cs="Times New Roman"/>
          <w:szCs w:val="24"/>
        </w:rPr>
        <w:t xml:space="preserve">, </w:t>
      </w:r>
      <w:r>
        <w:rPr>
          <w:rFonts w:ascii="Times New Roman" w:hAnsi="Times New Roman" w:cs="Times New Roman"/>
          <w:sz w:val="24"/>
          <w:szCs w:val="24"/>
        </w:rPr>
        <w:t xml:space="preserve">propuesta por XXX </w:t>
      </w:r>
      <w:r w:rsidR="002031D9">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(19)","plainTextFormattedCitation":"(19)","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(19)</w:t>
      </w:r>
      <w:r w:rsidR="002031D9">
        <w:rPr>
          <w:rFonts w:ascii="Times New Roman" w:hAnsi="Times New Roman" w:cs="Times New Roman"/>
          <w:sz w:val="24"/>
          <w:szCs w:val="24"/>
        </w:rPr>
        <w:fldChar w:fldCharType="end"/>
      </w:r>
      <w:r w:rsidR="00CF34EC">
        <w:rPr>
          <w:rFonts w:ascii="Times New Roman" w:hAnsi="Times New Roman" w:cs="Times New Roman"/>
          <w:sz w:val="24"/>
          <w:szCs w:val="24"/>
        </w:rPr>
        <w:t xml:space="preserve"> y para los cocientes de tasas la propuesta </w:t>
      </w:r>
      <w:r w:rsidR="00CF34EC" w:rsidRPr="002031D9">
        <w:rPr>
          <w:rFonts w:ascii="Times New Roman" w:hAnsi="Times New Roman" w:cs="Times New Roman"/>
          <w:sz w:val="24"/>
          <w:szCs w:val="24"/>
        </w:rPr>
        <w:t xml:space="preserve">por </w:t>
      </w:r>
      <w:proofErr w:type="spellStart"/>
      <w:r w:rsidR="00CF34EC" w:rsidRPr="002031D9">
        <w:rPr>
          <w:rFonts w:ascii="Times New Roman" w:hAnsi="Times New Roman" w:cs="Times New Roman"/>
          <w:sz w:val="24"/>
          <w:szCs w:val="24"/>
        </w:rPr>
        <w:t>Fay</w:t>
      </w:r>
      <w:proofErr w:type="spellEnd"/>
      <w:r w:rsidR="00CF34EC" w:rsidRPr="002031D9">
        <w:rPr>
          <w:rFonts w:ascii="Times New Roman" w:hAnsi="Times New Roman" w:cs="Times New Roman"/>
          <w:sz w:val="24"/>
          <w:szCs w:val="24"/>
        </w:rPr>
        <w:t xml:space="preserve"> </w:t>
      </w:r>
      <w:r w:rsidR="002031D9" w:rsidRPr="002031D9">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(20)","plainTextFormattedCitation":"(20)","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(20)</w:t>
      </w:r>
      <w:r w:rsidR="002031D9" w:rsidRPr="002031D9">
        <w:rPr>
          <w:rFonts w:ascii="Times New Roman" w:hAnsi="Times New Roman" w:cs="Times New Roman"/>
          <w:sz w:val="24"/>
          <w:szCs w:val="24"/>
        </w:rPr>
        <w:fldChar w:fldCharType="end"/>
      </w:r>
      <w:r w:rsidRPr="002031D9">
        <w:rPr>
          <w:rFonts w:ascii="Times New Roman" w:hAnsi="Times New Roman" w:cs="Times New Roman"/>
          <w:sz w:val="24"/>
          <w:szCs w:val="24"/>
        </w:rPr>
        <w:t>.</w:t>
      </w:r>
    </w:p>
    <w:p w:rsidR="00EE0CA3" w:rsidRDefault="00EE0CA3"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procesamiento de los datos, los análisis estadísticos y las figuras fueron realizadas con el software estadístico R </w:t>
      </w:r>
      <w:r>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(21)","plainTextFormattedCitation":"(21)","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w:t>
      </w:r>
    </w:p>
    <w:p w:rsidR="00DD6046" w:rsidRDefault="00DD6046" w:rsidP="00DE13F5">
      <w:pPr>
        <w:spacing w:after="0" w:line="480" w:lineRule="auto"/>
        <w:contextualSpacing/>
        <w:jc w:val="both"/>
        <w:rPr>
          <w:rFonts w:ascii="Times New Roman" w:hAnsi="Times New Roman" w:cs="Times New Roman"/>
          <w:sz w:val="24"/>
          <w:szCs w:val="24"/>
        </w:rPr>
      </w:pPr>
    </w:p>
    <w:p w:rsidR="00DD6046" w:rsidRDefault="00DD6046" w:rsidP="00DE13F5">
      <w:pPr>
        <w:spacing w:after="0" w:line="480" w:lineRule="auto"/>
        <w:contextualSpacing/>
        <w:jc w:val="both"/>
        <w:rPr>
          <w:rFonts w:ascii="Times New Roman" w:hAnsi="Times New Roman" w:cs="Times New Roman"/>
          <w:b/>
          <w:sz w:val="24"/>
          <w:szCs w:val="24"/>
        </w:rPr>
      </w:pPr>
      <w:r w:rsidRPr="00DD6046">
        <w:rPr>
          <w:rFonts w:ascii="Times New Roman" w:hAnsi="Times New Roman" w:cs="Times New Roman"/>
          <w:b/>
          <w:sz w:val="24"/>
          <w:szCs w:val="24"/>
        </w:rPr>
        <w:t>RESULTADOS</w:t>
      </w:r>
    </w:p>
    <w:p w:rsidR="00CF34EC" w:rsidRPr="00CF34EC" w:rsidRDefault="00CF34EC"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CF34EC">
        <w:rPr>
          <w:rFonts w:ascii="Times New Roman" w:hAnsi="Times New Roman" w:cs="Times New Roman"/>
          <w:sz w:val="24"/>
          <w:szCs w:val="24"/>
        </w:rPr>
        <w:t xml:space="preserve">Hasta el día 4 de octubre de 2020 </w:t>
      </w:r>
      <w:r>
        <w:rPr>
          <w:rFonts w:ascii="Times New Roman" w:hAnsi="Times New Roman" w:cs="Times New Roman"/>
          <w:sz w:val="24"/>
          <w:szCs w:val="24"/>
        </w:rPr>
        <w:t xml:space="preserve">habían transcurrido 215 días desde el primer caso confirmado de COVID-19. En ese período ingresaron al sistema de vigilancia epidemiológica </w:t>
      </w:r>
      <w:r w:rsidR="00387843">
        <w:rPr>
          <w:rFonts w:ascii="Times New Roman" w:hAnsi="Times New Roman" w:cs="Times New Roman"/>
          <w:sz w:val="24"/>
          <w:szCs w:val="24"/>
        </w:rPr>
        <w:t>328,573</w:t>
      </w:r>
      <w:r>
        <w:rPr>
          <w:rFonts w:ascii="Times New Roman" w:hAnsi="Times New Roman" w:cs="Times New Roman"/>
          <w:sz w:val="24"/>
          <w:szCs w:val="24"/>
        </w:rPr>
        <w:t xml:space="preserve"> caso</w:t>
      </w:r>
      <w:r w:rsidR="00387843">
        <w:rPr>
          <w:rFonts w:ascii="Times New Roman" w:hAnsi="Times New Roman" w:cs="Times New Roman"/>
          <w:sz w:val="24"/>
          <w:szCs w:val="24"/>
        </w:rPr>
        <w:t>s sospechosos, de los cuales 125</w:t>
      </w:r>
      <w:r>
        <w:rPr>
          <w:rFonts w:ascii="Times New Roman" w:hAnsi="Times New Roman" w:cs="Times New Roman"/>
          <w:sz w:val="24"/>
          <w:szCs w:val="24"/>
        </w:rPr>
        <w:t>,</w:t>
      </w:r>
      <w:r w:rsidR="00387843">
        <w:rPr>
          <w:rFonts w:ascii="Times New Roman" w:hAnsi="Times New Roman" w:cs="Times New Roman"/>
          <w:sz w:val="24"/>
          <w:szCs w:val="24"/>
        </w:rPr>
        <w:t>652</w:t>
      </w:r>
      <w:r>
        <w:rPr>
          <w:rFonts w:ascii="Times New Roman" w:hAnsi="Times New Roman" w:cs="Times New Roman"/>
          <w:sz w:val="24"/>
          <w:szCs w:val="24"/>
        </w:rPr>
        <w:t xml:space="preserve"> se confirmaron</w:t>
      </w:r>
      <w:r w:rsidR="00387843">
        <w:rPr>
          <w:rFonts w:ascii="Times New Roman" w:hAnsi="Times New Roman" w:cs="Times New Roman"/>
          <w:sz w:val="24"/>
          <w:szCs w:val="24"/>
        </w:rPr>
        <w:t>, lo que determinaba una tasa de incidencia acumulada de 40.8 casos por mil habitantes (IC95% 40.6 - 41.1).</w:t>
      </w:r>
    </w:p>
    <w:p w:rsidR="007927B0" w:rsidRDefault="007927B0" w:rsidP="00DE13F5">
      <w:pPr>
        <w:spacing w:after="0" w:line="480" w:lineRule="auto"/>
        <w:contextualSpacing/>
        <w:jc w:val="both"/>
        <w:rPr>
          <w:rFonts w:ascii="Times New Roman" w:hAnsi="Times New Roman" w:cs="Times New Roman"/>
          <w:b/>
          <w:color w:val="FF0000"/>
          <w:sz w:val="24"/>
          <w:szCs w:val="24"/>
        </w:rPr>
      </w:pPr>
      <w:r>
        <w:rPr>
          <w:rFonts w:ascii="Times New Roman" w:hAnsi="Times New Roman" w:cs="Times New Roman"/>
          <w:sz w:val="24"/>
          <w:szCs w:val="24"/>
        </w:rPr>
        <w:tab/>
      </w:r>
      <w:r w:rsidR="00387843">
        <w:rPr>
          <w:rFonts w:ascii="Times New Roman" w:hAnsi="Times New Roman" w:cs="Times New Roman"/>
          <w:sz w:val="24"/>
          <w:szCs w:val="24"/>
        </w:rPr>
        <w:t>El análisis de la incidencia demostró que ésta</w:t>
      </w:r>
      <w:r w:rsidR="00B045C6">
        <w:rPr>
          <w:rFonts w:ascii="Times New Roman" w:hAnsi="Times New Roman" w:cs="Times New Roman"/>
          <w:sz w:val="24"/>
          <w:szCs w:val="24"/>
        </w:rPr>
        <w:t xml:space="preserve"> no se distribuyó de manera homogénea, ya que osciló entre 25.8 </w:t>
      </w:r>
      <w:r w:rsidR="00AA2A3F">
        <w:rPr>
          <w:rFonts w:ascii="Times New Roman" w:hAnsi="Times New Roman" w:cs="Times New Roman"/>
          <w:sz w:val="24"/>
          <w:szCs w:val="24"/>
        </w:rPr>
        <w:t xml:space="preserve">por mil habitantes (IC95% 25.2 - 26.5) </w:t>
      </w:r>
      <w:r w:rsidR="00B045C6">
        <w:rPr>
          <w:rFonts w:ascii="Times New Roman" w:hAnsi="Times New Roman" w:cs="Times New Roman"/>
          <w:sz w:val="24"/>
          <w:szCs w:val="24"/>
        </w:rPr>
        <w:t>en la Comuna 12</w:t>
      </w:r>
      <w:r w:rsidR="001A23A1">
        <w:rPr>
          <w:rFonts w:ascii="Times New Roman" w:hAnsi="Times New Roman" w:cs="Times New Roman"/>
          <w:sz w:val="24"/>
          <w:szCs w:val="24"/>
        </w:rPr>
        <w:t xml:space="preserve"> (</w:t>
      </w:r>
      <w:r w:rsidR="00AC5E4E">
        <w:rPr>
          <w:rFonts w:ascii="Times New Roman" w:hAnsi="Times New Roman" w:cs="Times New Roman"/>
          <w:sz w:val="24"/>
          <w:szCs w:val="24"/>
        </w:rPr>
        <w:t>zona centro</w:t>
      </w:r>
      <w:r w:rsidR="001A23A1">
        <w:rPr>
          <w:rFonts w:ascii="Times New Roman" w:hAnsi="Times New Roman" w:cs="Times New Roman"/>
          <w:sz w:val="24"/>
          <w:szCs w:val="24"/>
        </w:rPr>
        <w:t>)</w:t>
      </w:r>
      <w:r>
        <w:rPr>
          <w:rFonts w:ascii="Times New Roman" w:hAnsi="Times New Roman" w:cs="Times New Roman"/>
          <w:sz w:val="24"/>
          <w:szCs w:val="24"/>
        </w:rPr>
        <w:t xml:space="preserve"> y 62.2</w:t>
      </w:r>
      <w:r w:rsidR="00B045C6">
        <w:rPr>
          <w:rFonts w:ascii="Times New Roman" w:hAnsi="Times New Roman" w:cs="Times New Roman"/>
          <w:sz w:val="24"/>
          <w:szCs w:val="24"/>
        </w:rPr>
        <w:t xml:space="preserve"> por mil habitantes </w:t>
      </w:r>
      <w:r w:rsidR="00AA2A3F">
        <w:rPr>
          <w:rFonts w:ascii="Times New Roman" w:hAnsi="Times New Roman" w:cs="Times New Roman"/>
          <w:sz w:val="24"/>
          <w:szCs w:val="24"/>
        </w:rPr>
        <w:t xml:space="preserve">(IC95% 61.3 - 63.2) </w:t>
      </w:r>
      <w:r w:rsidR="00B045C6">
        <w:rPr>
          <w:rFonts w:ascii="Times New Roman" w:hAnsi="Times New Roman" w:cs="Times New Roman"/>
          <w:sz w:val="24"/>
          <w:szCs w:val="24"/>
        </w:rPr>
        <w:t>en la Comuna 4</w:t>
      </w:r>
      <w:r w:rsidR="00AC5E4E">
        <w:rPr>
          <w:rFonts w:ascii="Times New Roman" w:hAnsi="Times New Roman" w:cs="Times New Roman"/>
          <w:sz w:val="24"/>
          <w:szCs w:val="24"/>
        </w:rPr>
        <w:t xml:space="preserve"> </w:t>
      </w:r>
      <w:r w:rsidR="001A23A1">
        <w:rPr>
          <w:rFonts w:ascii="Times New Roman" w:hAnsi="Times New Roman" w:cs="Times New Roman"/>
          <w:sz w:val="24"/>
          <w:szCs w:val="24"/>
        </w:rPr>
        <w:t>(</w:t>
      </w:r>
      <w:r w:rsidR="00AC5E4E">
        <w:rPr>
          <w:rFonts w:ascii="Times New Roman" w:hAnsi="Times New Roman" w:cs="Times New Roman"/>
          <w:sz w:val="24"/>
          <w:szCs w:val="24"/>
        </w:rPr>
        <w:t>zona sur</w:t>
      </w:r>
      <w:r w:rsidR="001A23A1">
        <w:rPr>
          <w:rFonts w:ascii="Times New Roman" w:hAnsi="Times New Roman" w:cs="Times New Roman"/>
          <w:sz w:val="24"/>
          <w:szCs w:val="24"/>
        </w:rPr>
        <w:t>)</w:t>
      </w:r>
      <w:r w:rsidR="00B045C6">
        <w:rPr>
          <w:rFonts w:ascii="Times New Roman" w:hAnsi="Times New Roman" w:cs="Times New Roman"/>
          <w:sz w:val="24"/>
          <w:szCs w:val="24"/>
        </w:rPr>
        <w:t>.</w:t>
      </w:r>
      <w:r w:rsidR="00AA2A3F">
        <w:rPr>
          <w:rFonts w:ascii="Times New Roman" w:hAnsi="Times New Roman" w:cs="Times New Roman"/>
          <w:sz w:val="24"/>
          <w:szCs w:val="24"/>
        </w:rPr>
        <w:t xml:space="preserve"> Esta última </w:t>
      </w:r>
      <w:r>
        <w:rPr>
          <w:rFonts w:ascii="Times New Roman" w:hAnsi="Times New Roman" w:cs="Times New Roman"/>
          <w:sz w:val="24"/>
          <w:szCs w:val="24"/>
        </w:rPr>
        <w:t>c</w:t>
      </w:r>
      <w:r w:rsidR="00AA2A3F">
        <w:rPr>
          <w:rFonts w:ascii="Times New Roman" w:hAnsi="Times New Roman" w:cs="Times New Roman"/>
          <w:sz w:val="24"/>
          <w:szCs w:val="24"/>
        </w:rPr>
        <w:t xml:space="preserve">omuna, la de menor ingreso familiar promedio, presentó una tasa de incidencia acumulada 76.2% </w:t>
      </w:r>
      <w:r w:rsidR="00263576">
        <w:rPr>
          <w:rFonts w:ascii="Times New Roman" w:hAnsi="Times New Roman" w:cs="Times New Roman"/>
          <w:sz w:val="24"/>
          <w:szCs w:val="24"/>
        </w:rPr>
        <w:t xml:space="preserve">más alta que la de mejor situación socioeconómica -Comuna 14, en la zona norte- </w:t>
      </w:r>
      <w:r>
        <w:rPr>
          <w:rFonts w:ascii="Times New Roman" w:hAnsi="Times New Roman" w:cs="Times New Roman"/>
          <w:sz w:val="24"/>
          <w:szCs w:val="24"/>
        </w:rPr>
        <w:t>(cociente de tasas (CT) = 0.76, IC95% 1.72 - 1.81)</w:t>
      </w:r>
      <w:r w:rsidR="00AA2A3F">
        <w:rPr>
          <w:rFonts w:ascii="Times New Roman" w:hAnsi="Times New Roman" w:cs="Times New Roman"/>
          <w:sz w:val="24"/>
          <w:szCs w:val="24"/>
        </w:rPr>
        <w:t>.</w:t>
      </w:r>
      <w:r w:rsidR="00B7671A">
        <w:rPr>
          <w:rFonts w:ascii="Times New Roman" w:hAnsi="Times New Roman" w:cs="Times New Roman"/>
          <w:sz w:val="24"/>
          <w:szCs w:val="24"/>
        </w:rPr>
        <w:t xml:space="preserve"> </w:t>
      </w:r>
    </w:p>
    <w:p w:rsidR="00405EFF" w:rsidRDefault="00405EFF" w:rsidP="00DE13F5">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AC5E4E" w:rsidRDefault="007927B0"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D537F">
        <w:rPr>
          <w:rFonts w:ascii="Times New Roman" w:hAnsi="Times New Roman" w:cs="Times New Roman"/>
          <w:sz w:val="24"/>
          <w:szCs w:val="24"/>
        </w:rPr>
        <w:t xml:space="preserve">Al observar las diferencias en la incidencia por grupos de edad, las desigualdades adquieren </w:t>
      </w:r>
      <w:r w:rsidR="009F3E07">
        <w:rPr>
          <w:rFonts w:ascii="Times New Roman" w:hAnsi="Times New Roman" w:cs="Times New Roman"/>
          <w:sz w:val="24"/>
          <w:szCs w:val="24"/>
        </w:rPr>
        <w:t xml:space="preserve">también </w:t>
      </w:r>
      <w:r w:rsidR="00FD537F">
        <w:rPr>
          <w:rFonts w:ascii="Times New Roman" w:hAnsi="Times New Roman" w:cs="Times New Roman"/>
          <w:sz w:val="24"/>
          <w:szCs w:val="24"/>
        </w:rPr>
        <w:t xml:space="preserve">altas magnitudes, concentrándose las mayores diferencias </w:t>
      </w:r>
      <w:r w:rsidR="009F3E07">
        <w:rPr>
          <w:rFonts w:ascii="Times New Roman" w:hAnsi="Times New Roman" w:cs="Times New Roman"/>
          <w:sz w:val="24"/>
          <w:szCs w:val="24"/>
        </w:rPr>
        <w:t xml:space="preserve">principalmente </w:t>
      </w:r>
      <w:r w:rsidR="00FD537F">
        <w:rPr>
          <w:rFonts w:ascii="Times New Roman" w:hAnsi="Times New Roman" w:cs="Times New Roman"/>
          <w:sz w:val="24"/>
          <w:szCs w:val="24"/>
        </w:rPr>
        <w:t xml:space="preserve">entre </w:t>
      </w:r>
      <w:r w:rsidR="009F3E07">
        <w:rPr>
          <w:rFonts w:ascii="Times New Roman" w:hAnsi="Times New Roman" w:cs="Times New Roman"/>
          <w:sz w:val="24"/>
          <w:szCs w:val="24"/>
        </w:rPr>
        <w:t>los adultos jóvenes</w:t>
      </w:r>
      <w:r w:rsidR="00FD537F">
        <w:rPr>
          <w:rFonts w:ascii="Times New Roman" w:hAnsi="Times New Roman" w:cs="Times New Roman"/>
          <w:sz w:val="24"/>
          <w:szCs w:val="24"/>
        </w:rPr>
        <w:t xml:space="preserve">. </w:t>
      </w:r>
      <w:r w:rsidR="00B7671A">
        <w:rPr>
          <w:rFonts w:ascii="Times New Roman" w:hAnsi="Times New Roman" w:cs="Times New Roman"/>
          <w:sz w:val="24"/>
          <w:szCs w:val="24"/>
        </w:rPr>
        <w:t xml:space="preserve">En la figura 1 pueden observarse los diferentes niveles de incidencia entre </w:t>
      </w:r>
      <w:r w:rsidR="00FD537F">
        <w:rPr>
          <w:rFonts w:ascii="Times New Roman" w:hAnsi="Times New Roman" w:cs="Times New Roman"/>
          <w:sz w:val="24"/>
          <w:szCs w:val="24"/>
        </w:rPr>
        <w:t>las comunas de mejor y peor situación en relación a los ingresos familiares promedios</w:t>
      </w:r>
      <w:r w:rsidR="009F3E07">
        <w:rPr>
          <w:rFonts w:ascii="Times New Roman" w:hAnsi="Times New Roman" w:cs="Times New Roman"/>
          <w:sz w:val="24"/>
          <w:szCs w:val="24"/>
        </w:rPr>
        <w:t xml:space="preserve"> según las diferentes edades</w:t>
      </w:r>
      <w:r w:rsidR="00FD537F">
        <w:rPr>
          <w:rFonts w:ascii="Times New Roman" w:hAnsi="Times New Roman" w:cs="Times New Roman"/>
          <w:sz w:val="24"/>
          <w:szCs w:val="24"/>
        </w:rPr>
        <w:t xml:space="preserve">. Los dos grupos </w:t>
      </w:r>
      <w:r w:rsidR="009F3E07">
        <w:rPr>
          <w:rFonts w:ascii="Times New Roman" w:hAnsi="Times New Roman" w:cs="Times New Roman"/>
          <w:sz w:val="24"/>
          <w:szCs w:val="24"/>
        </w:rPr>
        <w:t>etarios</w:t>
      </w:r>
      <w:r w:rsidR="00FD537F">
        <w:rPr>
          <w:rFonts w:ascii="Times New Roman" w:hAnsi="Times New Roman" w:cs="Times New Roman"/>
          <w:sz w:val="24"/>
          <w:szCs w:val="24"/>
        </w:rPr>
        <w:t xml:space="preserve"> más desiguales son </w:t>
      </w:r>
      <w:r w:rsidR="009F3E07">
        <w:rPr>
          <w:rFonts w:ascii="Times New Roman" w:hAnsi="Times New Roman" w:cs="Times New Roman"/>
          <w:sz w:val="24"/>
          <w:szCs w:val="24"/>
        </w:rPr>
        <w:t>el</w:t>
      </w:r>
      <w:r w:rsidR="00FD537F">
        <w:rPr>
          <w:rFonts w:ascii="Times New Roman" w:hAnsi="Times New Roman" w:cs="Times New Roman"/>
          <w:sz w:val="24"/>
          <w:szCs w:val="24"/>
        </w:rPr>
        <w:t xml:space="preserve"> de 20 a 24 años, donde la incidencia de la comuna más desfavorecida representa 2.7 veces </w:t>
      </w:r>
      <w:r w:rsidR="00253AD9">
        <w:rPr>
          <w:rFonts w:ascii="Times New Roman" w:hAnsi="Times New Roman" w:cs="Times New Roman"/>
          <w:sz w:val="24"/>
          <w:szCs w:val="24"/>
        </w:rPr>
        <w:t xml:space="preserve">a </w:t>
      </w:r>
      <w:r w:rsidR="00FD537F">
        <w:rPr>
          <w:rFonts w:ascii="Times New Roman" w:hAnsi="Times New Roman" w:cs="Times New Roman"/>
          <w:sz w:val="24"/>
          <w:szCs w:val="24"/>
        </w:rPr>
        <w:t xml:space="preserve">la </w:t>
      </w:r>
      <w:r w:rsidR="00253AD9">
        <w:rPr>
          <w:rFonts w:ascii="Times New Roman" w:hAnsi="Times New Roman" w:cs="Times New Roman"/>
          <w:sz w:val="24"/>
          <w:szCs w:val="24"/>
        </w:rPr>
        <w:t xml:space="preserve">de </w:t>
      </w:r>
      <w:r w:rsidR="00FD537F">
        <w:rPr>
          <w:rFonts w:ascii="Times New Roman" w:hAnsi="Times New Roman" w:cs="Times New Roman"/>
          <w:sz w:val="24"/>
          <w:szCs w:val="24"/>
        </w:rPr>
        <w:t>mejor situación (CT</w:t>
      </w:r>
      <w:r w:rsidR="009F3E07">
        <w:rPr>
          <w:rFonts w:ascii="Times New Roman" w:hAnsi="Times New Roman" w:cs="Times New Roman"/>
          <w:sz w:val="24"/>
          <w:szCs w:val="24"/>
        </w:rPr>
        <w:t xml:space="preserve"> = 2.7, IC95% 2.4 - 3.0) y el</w:t>
      </w:r>
      <w:r w:rsidR="001A23A1">
        <w:rPr>
          <w:rFonts w:ascii="Times New Roman" w:hAnsi="Times New Roman" w:cs="Times New Roman"/>
          <w:sz w:val="24"/>
          <w:szCs w:val="24"/>
        </w:rPr>
        <w:t xml:space="preserve"> grupo</w:t>
      </w:r>
      <w:r w:rsidR="009F3E07">
        <w:rPr>
          <w:rFonts w:ascii="Times New Roman" w:hAnsi="Times New Roman" w:cs="Times New Roman"/>
          <w:sz w:val="24"/>
          <w:szCs w:val="24"/>
        </w:rPr>
        <w:t xml:space="preserve"> de 25 a 29 años, donde la primera representa 2.3 veces la segunda (CT = 2.3, IC95% 2.1 - 2.5).</w:t>
      </w:r>
    </w:p>
    <w:p w:rsidR="00FD537F" w:rsidRDefault="001A23A1"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EF2B6B" w:rsidRDefault="00234F1C"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F0D82">
        <w:rPr>
          <w:rFonts w:ascii="Times New Roman" w:hAnsi="Times New Roman" w:cs="Times New Roman"/>
          <w:sz w:val="24"/>
          <w:szCs w:val="24"/>
        </w:rPr>
        <w:t>Se evaluó</w:t>
      </w:r>
      <w:r w:rsidR="00D262C9">
        <w:rPr>
          <w:rFonts w:ascii="Times New Roman" w:hAnsi="Times New Roman" w:cs="Times New Roman"/>
          <w:sz w:val="24"/>
          <w:szCs w:val="24"/>
        </w:rPr>
        <w:t xml:space="preserve"> </w:t>
      </w:r>
      <w:r w:rsidR="00253AD9">
        <w:rPr>
          <w:rFonts w:ascii="Times New Roman" w:hAnsi="Times New Roman" w:cs="Times New Roman"/>
          <w:sz w:val="24"/>
          <w:szCs w:val="24"/>
        </w:rPr>
        <w:t xml:space="preserve">también </w:t>
      </w:r>
      <w:r w:rsidR="00DF0D82">
        <w:rPr>
          <w:rFonts w:ascii="Times New Roman" w:hAnsi="Times New Roman" w:cs="Times New Roman"/>
          <w:sz w:val="24"/>
          <w:szCs w:val="24"/>
        </w:rPr>
        <w:t xml:space="preserve">el </w:t>
      </w:r>
      <w:r w:rsidR="00D262C9">
        <w:rPr>
          <w:rFonts w:ascii="Times New Roman" w:hAnsi="Times New Roman" w:cs="Times New Roman"/>
          <w:sz w:val="24"/>
          <w:szCs w:val="24"/>
        </w:rPr>
        <w:t xml:space="preserve">porcentaje de positividad </w:t>
      </w:r>
      <w:r w:rsidR="00DF0D82">
        <w:rPr>
          <w:rFonts w:ascii="Times New Roman" w:hAnsi="Times New Roman" w:cs="Times New Roman"/>
          <w:sz w:val="24"/>
          <w:szCs w:val="24"/>
        </w:rPr>
        <w:t xml:space="preserve">como medida de la intensidad </w:t>
      </w:r>
      <w:r w:rsidR="00D262C9">
        <w:rPr>
          <w:rFonts w:ascii="Times New Roman" w:hAnsi="Times New Roman" w:cs="Times New Roman"/>
          <w:sz w:val="24"/>
          <w:szCs w:val="24"/>
        </w:rPr>
        <w:t>de</w:t>
      </w:r>
      <w:r w:rsidR="00DF0D82">
        <w:rPr>
          <w:rFonts w:ascii="Times New Roman" w:hAnsi="Times New Roman" w:cs="Times New Roman"/>
          <w:sz w:val="24"/>
          <w:szCs w:val="24"/>
        </w:rPr>
        <w:t xml:space="preserve"> la vigilancia epidemiológica. Este indicador </w:t>
      </w:r>
      <w:r w:rsidR="00D262C9">
        <w:rPr>
          <w:rFonts w:ascii="Times New Roman" w:hAnsi="Times New Roman" w:cs="Times New Roman"/>
          <w:sz w:val="24"/>
          <w:szCs w:val="24"/>
        </w:rPr>
        <w:t>se distribuyó de manera más homogénea entre las comunas de la CABA</w:t>
      </w:r>
      <w:r w:rsidR="00DF0D82">
        <w:rPr>
          <w:rFonts w:ascii="Times New Roman" w:hAnsi="Times New Roman" w:cs="Times New Roman"/>
          <w:sz w:val="24"/>
          <w:szCs w:val="24"/>
        </w:rPr>
        <w:t xml:space="preserve"> en comparación con la tasa de incidencia acumulada</w:t>
      </w:r>
      <w:r w:rsidR="00D262C9">
        <w:rPr>
          <w:rFonts w:ascii="Times New Roman" w:hAnsi="Times New Roman" w:cs="Times New Roman"/>
          <w:sz w:val="24"/>
          <w:szCs w:val="24"/>
        </w:rPr>
        <w:t xml:space="preserve">, sin </w:t>
      </w:r>
      <w:proofErr w:type="gramStart"/>
      <w:r w:rsidR="00D262C9">
        <w:rPr>
          <w:rFonts w:ascii="Times New Roman" w:hAnsi="Times New Roman" w:cs="Times New Roman"/>
          <w:sz w:val="24"/>
          <w:szCs w:val="24"/>
        </w:rPr>
        <w:t>embargo</w:t>
      </w:r>
      <w:proofErr w:type="gramEnd"/>
      <w:r w:rsidR="00D262C9">
        <w:rPr>
          <w:rFonts w:ascii="Times New Roman" w:hAnsi="Times New Roman" w:cs="Times New Roman"/>
          <w:sz w:val="24"/>
          <w:szCs w:val="24"/>
        </w:rPr>
        <w:t xml:space="preserve"> se evidenciaron diferencias significativas. Para el total de la ciudad, el porcentaje de positividad se ubic</w:t>
      </w:r>
      <w:r w:rsidR="00DF0D82">
        <w:rPr>
          <w:rFonts w:ascii="Times New Roman" w:hAnsi="Times New Roman" w:cs="Times New Roman"/>
          <w:sz w:val="24"/>
          <w:szCs w:val="24"/>
        </w:rPr>
        <w:t>ó</w:t>
      </w:r>
      <w:r w:rsidR="00D262C9">
        <w:rPr>
          <w:rFonts w:ascii="Times New Roman" w:hAnsi="Times New Roman" w:cs="Times New Roman"/>
          <w:sz w:val="24"/>
          <w:szCs w:val="24"/>
        </w:rPr>
        <w:t xml:space="preserve"> en el 38,0% (IC95% 37.8 - 38.2)</w:t>
      </w:r>
      <w:r w:rsidR="00DF0D82">
        <w:rPr>
          <w:rFonts w:ascii="Times New Roman" w:hAnsi="Times New Roman" w:cs="Times New Roman"/>
          <w:sz w:val="24"/>
          <w:szCs w:val="24"/>
        </w:rPr>
        <w:t xml:space="preserve">, </w:t>
      </w:r>
      <w:r w:rsidR="00EF2B6B">
        <w:rPr>
          <w:rFonts w:ascii="Times New Roman" w:hAnsi="Times New Roman" w:cs="Times New Roman"/>
          <w:sz w:val="24"/>
          <w:szCs w:val="24"/>
        </w:rPr>
        <w:t xml:space="preserve">ascendiendo </w:t>
      </w:r>
      <w:r w:rsidR="00DF0D82">
        <w:rPr>
          <w:rFonts w:ascii="Times New Roman" w:hAnsi="Times New Roman" w:cs="Times New Roman"/>
          <w:sz w:val="24"/>
          <w:szCs w:val="24"/>
        </w:rPr>
        <w:t>al 41,4% (IC95% 40.9 - 41.9) en el área de peores ingresos promedio. La comuna más favorecida presentó un nivel de positividad del 32,6% (IC95% 32.0 - 33.2), casi 10 puntos porcentuales por debajo de la más desfavorecida</w:t>
      </w:r>
      <w:r w:rsidR="00EF2B6B">
        <w:rPr>
          <w:rFonts w:ascii="Times New Roman" w:hAnsi="Times New Roman" w:cs="Times New Roman"/>
          <w:sz w:val="24"/>
          <w:szCs w:val="24"/>
        </w:rPr>
        <w:t xml:space="preserve"> econímicamente </w:t>
      </w:r>
      <w:r w:rsidR="00DF0D82">
        <w:rPr>
          <w:rFonts w:ascii="Times New Roman" w:hAnsi="Times New Roman" w:cs="Times New Roman"/>
          <w:sz w:val="24"/>
          <w:szCs w:val="24"/>
        </w:rPr>
        <w:t>y 5 por debajo el valor de la CABA</w:t>
      </w:r>
      <w:r w:rsidR="00EF2B6B">
        <w:rPr>
          <w:rFonts w:ascii="Times New Roman" w:hAnsi="Times New Roman" w:cs="Times New Roman"/>
          <w:sz w:val="24"/>
          <w:szCs w:val="24"/>
        </w:rPr>
        <w:t>. Es importante destacar que el valor de positividad más alto lo presentó la Comuna 3 con un 44,6% de los casos, un área que no presenta el nivel más bajo de ingresos promedio y que se ubica en la zona centro de la ciudad</w:t>
      </w:r>
      <w:r w:rsidR="00253AD9">
        <w:rPr>
          <w:rFonts w:ascii="Times New Roman" w:hAnsi="Times New Roman" w:cs="Times New Roman"/>
          <w:sz w:val="24"/>
          <w:szCs w:val="24"/>
        </w:rPr>
        <w:t xml:space="preserve"> De todas formas, al observar el conjunto de los valores de positividad, se observa una tendencia a la concentración en la zona centro.</w:t>
      </w:r>
      <w:r w:rsidR="00EF2B6B">
        <w:rPr>
          <w:rFonts w:ascii="Times New Roman" w:hAnsi="Times New Roman" w:cs="Times New Roman"/>
          <w:sz w:val="24"/>
          <w:szCs w:val="24"/>
        </w:rPr>
        <w:t xml:space="preserve"> </w:t>
      </w:r>
      <w:r w:rsidR="00263576">
        <w:rPr>
          <w:rFonts w:ascii="Times New Roman" w:hAnsi="Times New Roman" w:cs="Times New Roman"/>
          <w:sz w:val="24"/>
          <w:szCs w:val="24"/>
        </w:rPr>
        <w:t>L</w:t>
      </w:r>
      <w:r w:rsidR="00EF2B6B">
        <w:rPr>
          <w:rFonts w:ascii="Times New Roman" w:hAnsi="Times New Roman" w:cs="Times New Roman"/>
          <w:sz w:val="24"/>
          <w:szCs w:val="24"/>
        </w:rPr>
        <w:t xml:space="preserve">a figura 2 describe los diferentes niveles de positividad observados </w:t>
      </w:r>
      <w:r w:rsidR="00253AD9">
        <w:rPr>
          <w:rFonts w:ascii="Times New Roman" w:hAnsi="Times New Roman" w:cs="Times New Roman"/>
          <w:sz w:val="24"/>
          <w:szCs w:val="24"/>
        </w:rPr>
        <w:t>por comuna</w:t>
      </w:r>
      <w:r w:rsidR="00EF2B6B">
        <w:rPr>
          <w:rFonts w:ascii="Times New Roman" w:hAnsi="Times New Roman" w:cs="Times New Roman"/>
          <w:sz w:val="24"/>
          <w:szCs w:val="24"/>
        </w:rPr>
        <w:t>.</w:t>
      </w:r>
    </w:p>
    <w:p w:rsidR="00EF2B6B" w:rsidRDefault="00EF2B6B" w:rsidP="0016684F">
      <w:pPr>
        <w:spacing w:after="0" w:line="480" w:lineRule="auto"/>
        <w:contextualSpacing/>
        <w:jc w:val="both"/>
        <w:rPr>
          <w:rFonts w:ascii="Times New Roman" w:hAnsi="Times New Roman" w:cs="Times New Roman"/>
          <w:sz w:val="24"/>
          <w:szCs w:val="24"/>
        </w:rPr>
      </w:pP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9F3E07" w:rsidRDefault="00C27F56"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En relación a la letalidad, el porcentaje varió entre el 1.7% (IC95% 1.5 - 1.9) en la Comuna 8 (zona Sur) y el 3.6% (IC95% 3.1 - 4.1) en la Comuna 12 (zona Norte). Contrariamente a los fenómenos descriptos anteriormente, la letalidad presentó el valor más bajo en una comuna de la zona sur, lo que supondría que, en términos generales, el peor pronóstico para los infectados se encontró en una de las áreas más desfavorecidas, sobre todo si se tiene en cuenta, por ejemplo, que entre las cinco comunas con mayores porcentajes de letalidad (comunas 12, 11, 2, 10 y 13) no se encontró ninguna de la zona sur. Además, tres de ellas (2, 12 y 13) se encuentran entre las cinco de mejor promedio de ingreso familiar. Esto evidenciaría una asociación inversa entre nivel de ingresos y letalidad o, dicho de otra forma, peor pronóstico</w:t>
      </w:r>
      <w:r w:rsidR="00022331">
        <w:rPr>
          <w:rFonts w:ascii="Times New Roman" w:hAnsi="Times New Roman" w:cs="Times New Roman"/>
          <w:sz w:val="24"/>
          <w:szCs w:val="24"/>
        </w:rPr>
        <w:t xml:space="preserve"> para los infectados residentes en las zonas de mejores ingresos. Esta aparente asociación se desdibuja a medida que se avanza en </w:t>
      </w:r>
      <w:r w:rsidR="00022331">
        <w:rPr>
          <w:rFonts w:ascii="Times New Roman" w:hAnsi="Times New Roman" w:cs="Times New Roman"/>
          <w:sz w:val="24"/>
          <w:szCs w:val="24"/>
        </w:rPr>
        <w:lastRenderedPageBreak/>
        <w:t>los grupos etarios</w:t>
      </w:r>
      <w:r w:rsidR="00EE64E1">
        <w:rPr>
          <w:rFonts w:ascii="Times New Roman" w:hAnsi="Times New Roman" w:cs="Times New Roman"/>
          <w:sz w:val="24"/>
          <w:szCs w:val="24"/>
        </w:rPr>
        <w:t>,</w:t>
      </w:r>
      <w:r w:rsidR="00022331">
        <w:rPr>
          <w:rFonts w:ascii="Times New Roman" w:hAnsi="Times New Roman" w:cs="Times New Roman"/>
          <w:sz w:val="24"/>
          <w:szCs w:val="24"/>
        </w:rPr>
        <w:t xml:space="preserve"> como se observa en la figura X. Al analizar los grupos etarios de mayores de 60 años, se detectó que </w:t>
      </w:r>
      <w:r w:rsidR="00EE64E1">
        <w:rPr>
          <w:rFonts w:ascii="Times New Roman" w:hAnsi="Times New Roman" w:cs="Times New Roman"/>
          <w:sz w:val="24"/>
          <w:szCs w:val="24"/>
        </w:rPr>
        <w:t>la concentración en las comunas más desfavorecidas es más fuerte. De todos modos, la amplitud de algunos int</w:t>
      </w:r>
      <w:r w:rsidR="00613314">
        <w:rPr>
          <w:rFonts w:ascii="Times New Roman" w:hAnsi="Times New Roman" w:cs="Times New Roman"/>
          <w:sz w:val="24"/>
          <w:szCs w:val="24"/>
        </w:rPr>
        <w:t>ervalos de confianza no permite</w:t>
      </w:r>
      <w:r w:rsidR="00EE64E1">
        <w:rPr>
          <w:rFonts w:ascii="Times New Roman" w:hAnsi="Times New Roman" w:cs="Times New Roman"/>
          <w:sz w:val="24"/>
          <w:szCs w:val="24"/>
        </w:rPr>
        <w:t xml:space="preserve"> hacer aseveraciones exentas de un alto grado de incertidumbre.</w:t>
      </w: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613314" w:rsidRDefault="008207A5"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Se observó heterogeneidad en la distribución de la mortalidad al interior de la CABA. Las razones de mortalidad estandarizadas oscilaron entre 66.5 (IC95% 55.6 – 77.6) y 158.3 (IC95% 141.9 – 176.0). La comuna con la peor situación de mortalidad fue </w:t>
      </w:r>
      <w:proofErr w:type="gramStart"/>
      <w:r>
        <w:rPr>
          <w:rFonts w:ascii="Times New Roman" w:hAnsi="Times New Roman" w:cs="Times New Roman"/>
          <w:sz w:val="24"/>
          <w:szCs w:val="24"/>
        </w:rPr>
        <w:t>la número</w:t>
      </w:r>
      <w:proofErr w:type="gramEnd"/>
      <w:r>
        <w:rPr>
          <w:rFonts w:ascii="Times New Roman" w:hAnsi="Times New Roman" w:cs="Times New Roman"/>
          <w:sz w:val="24"/>
          <w:szCs w:val="24"/>
        </w:rPr>
        <w:t xml:space="preserve"> 4, de la zona sur y </w:t>
      </w:r>
      <w:r w:rsidR="008D1911">
        <w:rPr>
          <w:rFonts w:ascii="Times New Roman" w:hAnsi="Times New Roman" w:cs="Times New Roman"/>
          <w:sz w:val="24"/>
          <w:szCs w:val="24"/>
        </w:rPr>
        <w:t xml:space="preserve">la de peor situación en relación a los ingresos promedio de las familias. En el otro extremo, la Comuna 6, de la zona centro, sexta en el ranking de ingresos promedio. Todas las comunas de la </w:t>
      </w:r>
      <w:r w:rsidR="008D1911">
        <w:rPr>
          <w:rFonts w:ascii="Times New Roman" w:hAnsi="Times New Roman" w:cs="Times New Roman"/>
          <w:sz w:val="24"/>
          <w:szCs w:val="24"/>
        </w:rPr>
        <w:lastRenderedPageBreak/>
        <w:t xml:space="preserve">zona sur presentaron RME superiores a 100, es decir que su situación fue peor a la </w:t>
      </w:r>
      <w:r w:rsidR="00EB6BA4">
        <w:rPr>
          <w:rFonts w:ascii="Times New Roman" w:hAnsi="Times New Roman" w:cs="Times New Roman"/>
          <w:sz w:val="24"/>
          <w:szCs w:val="24"/>
        </w:rPr>
        <w:t xml:space="preserve">referencia </w:t>
      </w:r>
      <w:r w:rsidR="008D1911">
        <w:rPr>
          <w:rFonts w:ascii="Times New Roman" w:hAnsi="Times New Roman" w:cs="Times New Roman"/>
          <w:sz w:val="24"/>
          <w:szCs w:val="24"/>
        </w:rPr>
        <w:t xml:space="preserve">de la jurisdicción. Lo contrario ocurrió con todas las de zona norte, </w:t>
      </w:r>
      <w:r w:rsidR="00EB6BA4">
        <w:rPr>
          <w:rFonts w:ascii="Times New Roman" w:hAnsi="Times New Roman" w:cs="Times New Roman"/>
          <w:sz w:val="24"/>
          <w:szCs w:val="24"/>
        </w:rPr>
        <w:t>ubicadas por encima de la misma referencia.</w:t>
      </w:r>
      <w:r w:rsidR="00F952D7">
        <w:rPr>
          <w:rFonts w:ascii="Times New Roman" w:hAnsi="Times New Roman" w:cs="Times New Roman"/>
          <w:sz w:val="24"/>
          <w:szCs w:val="24"/>
        </w:rPr>
        <w:t xml:space="preserve"> Medida a través de a RME, la exploración de la relación entre ingresos promedio de las familias y la mortalidad, a nivel de las comunas, parece presentar una correlación (figura X)</w:t>
      </w:r>
    </w:p>
    <w:p w:rsidR="002C3BF8" w:rsidRDefault="002C3BF8" w:rsidP="0016684F">
      <w:pPr>
        <w:spacing w:after="0" w:line="480" w:lineRule="auto"/>
        <w:contextualSpacing/>
        <w:jc w:val="both"/>
        <w:rPr>
          <w:rFonts w:ascii="Times New Roman" w:hAnsi="Times New Roman" w:cs="Times New Roman"/>
          <w:sz w:val="24"/>
          <w:szCs w:val="24"/>
        </w:rPr>
      </w:pPr>
    </w:p>
    <w:p w:rsidR="008748ED" w:rsidRPr="008C2083" w:rsidRDefault="008748ED" w:rsidP="0016684F">
      <w:pPr>
        <w:spacing w:after="0" w:line="480" w:lineRule="auto"/>
        <w:contextualSpacing/>
        <w:jc w:val="both"/>
        <w:rPr>
          <w:noProof/>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9F3E07" w:rsidRDefault="009F3E07" w:rsidP="0016684F">
      <w:pPr>
        <w:spacing w:after="0" w:line="480" w:lineRule="auto"/>
        <w:contextualSpacing/>
        <w:jc w:val="both"/>
        <w:rPr>
          <w:rFonts w:ascii="Times New Roman" w:hAnsi="Times New Roman" w:cs="Times New Roman"/>
          <w:sz w:val="24"/>
          <w:szCs w:val="24"/>
        </w:rPr>
      </w:pPr>
    </w:p>
    <w:p w:rsidR="002476B5" w:rsidRDefault="002476B5" w:rsidP="002476B5">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A partir de los datos de defunciones esperadas según las tasas específicas de mortalidad de la CABA, se </w:t>
      </w:r>
      <w:r w:rsidR="002C273B">
        <w:rPr>
          <w:rFonts w:ascii="Times New Roman" w:hAnsi="Times New Roman" w:cs="Times New Roman"/>
          <w:sz w:val="24"/>
          <w:szCs w:val="24"/>
        </w:rPr>
        <w:t xml:space="preserve">aproximó la edad mediana esperada de los fallecidos de cada comuna, agrupando las muertes esperadas en grupos quinquenales de edad e identificando aquel que acumulaba el 50% de las defunciones. Las comunas 4 y 8, ambas de la zona sur, fueron las únicas que observaron una mediana de edad menor a la esperada ya que acumularon el 50% de las defunciones en </w:t>
      </w:r>
      <w:r w:rsidR="003A09B7">
        <w:rPr>
          <w:rFonts w:ascii="Times New Roman" w:hAnsi="Times New Roman" w:cs="Times New Roman"/>
          <w:sz w:val="24"/>
          <w:szCs w:val="24"/>
        </w:rPr>
        <w:t>los</w:t>
      </w:r>
      <w:r w:rsidR="002C273B">
        <w:rPr>
          <w:rFonts w:ascii="Times New Roman" w:hAnsi="Times New Roman" w:cs="Times New Roman"/>
          <w:sz w:val="24"/>
          <w:szCs w:val="24"/>
        </w:rPr>
        <w:t xml:space="preserve"> grupo</w:t>
      </w:r>
      <w:r w:rsidR="003A09B7">
        <w:rPr>
          <w:rFonts w:ascii="Times New Roman" w:hAnsi="Times New Roman" w:cs="Times New Roman"/>
          <w:sz w:val="24"/>
          <w:szCs w:val="24"/>
        </w:rPr>
        <w:t>s</w:t>
      </w:r>
      <w:r w:rsidR="002C273B">
        <w:rPr>
          <w:rFonts w:ascii="Times New Roman" w:hAnsi="Times New Roman" w:cs="Times New Roman"/>
          <w:sz w:val="24"/>
          <w:szCs w:val="24"/>
        </w:rPr>
        <w:t xml:space="preserve"> etario de 70 a 74 años</w:t>
      </w:r>
      <w:r w:rsidR="003A09B7">
        <w:rPr>
          <w:rFonts w:ascii="Times New Roman" w:hAnsi="Times New Roman" w:cs="Times New Roman"/>
          <w:sz w:val="24"/>
          <w:szCs w:val="24"/>
        </w:rPr>
        <w:t xml:space="preserve"> y 65 a 69 años respectivamente</w:t>
      </w:r>
      <w:r w:rsidR="002C273B">
        <w:rPr>
          <w:rFonts w:ascii="Times New Roman" w:hAnsi="Times New Roman" w:cs="Times New Roman"/>
          <w:sz w:val="24"/>
          <w:szCs w:val="24"/>
        </w:rPr>
        <w:t xml:space="preserve">, mientras que dicha acumulación se esperaba en el grupo de edad de 75 a 59 años. Para el resto de las comunas el valor mediano se ubicó en el </w:t>
      </w:r>
      <w:r w:rsidR="003A09B7">
        <w:rPr>
          <w:rFonts w:ascii="Times New Roman" w:hAnsi="Times New Roman" w:cs="Times New Roman"/>
          <w:sz w:val="24"/>
          <w:szCs w:val="24"/>
        </w:rPr>
        <w:t xml:space="preserve">mismo </w:t>
      </w:r>
      <w:r w:rsidR="002C273B">
        <w:rPr>
          <w:rFonts w:ascii="Times New Roman" w:hAnsi="Times New Roman" w:cs="Times New Roman"/>
          <w:sz w:val="24"/>
          <w:szCs w:val="24"/>
        </w:rPr>
        <w:t>grupo etario</w:t>
      </w:r>
      <w:r w:rsidR="003A09B7">
        <w:rPr>
          <w:rFonts w:ascii="Times New Roman" w:hAnsi="Times New Roman" w:cs="Times New Roman"/>
          <w:sz w:val="24"/>
          <w:szCs w:val="24"/>
        </w:rPr>
        <w:t xml:space="preserve"> para las muertes observadas y para las </w:t>
      </w:r>
      <w:r w:rsidR="003A09B7">
        <w:rPr>
          <w:rFonts w:ascii="Times New Roman" w:hAnsi="Times New Roman" w:cs="Times New Roman"/>
          <w:sz w:val="24"/>
          <w:szCs w:val="24"/>
        </w:rPr>
        <w:lastRenderedPageBreak/>
        <w:t>esperadas, salvo para las comunas 10 (zona sur), 12 (zona centro), 14 (zona norte) y 15 (zona centro), que observaron la mediana de edad en el grupo etario de 80 años y más, cuando se esperaba ese valor entre los 75 y los 79 años.</w:t>
      </w:r>
    </w:p>
    <w:p w:rsidR="003A09B7" w:rsidRDefault="003A09B7" w:rsidP="003A09B7">
      <w:pPr>
        <w:spacing w:after="0" w:line="480" w:lineRule="auto"/>
        <w:contextualSpacing/>
        <w:jc w:val="both"/>
        <w:rPr>
          <w:rFonts w:ascii="Times New Roman" w:hAnsi="Times New Roman" w:cs="Times New Roman"/>
          <w:sz w:val="24"/>
          <w:szCs w:val="24"/>
        </w:rPr>
      </w:pPr>
    </w:p>
    <w:p w:rsidR="003A09B7" w:rsidRPr="003A09B7" w:rsidRDefault="003A09B7" w:rsidP="003A09B7">
      <w:pPr>
        <w:spacing w:after="0" w:line="480" w:lineRule="auto"/>
        <w:contextualSpacing/>
        <w:jc w:val="both"/>
        <w:rPr>
          <w:rFonts w:ascii="Times New Roman" w:hAnsi="Times New Roman" w:cs="Times New Roman"/>
          <w:b/>
          <w:sz w:val="24"/>
          <w:szCs w:val="24"/>
        </w:rPr>
      </w:pPr>
      <w:r w:rsidRPr="003A09B7">
        <w:rPr>
          <w:rFonts w:ascii="Times New Roman" w:hAnsi="Times New Roman" w:cs="Times New Roman"/>
          <w:b/>
          <w:sz w:val="24"/>
          <w:szCs w:val="24"/>
        </w:rPr>
        <w:t>DISCUSIÓN</w:t>
      </w:r>
    </w:p>
    <w:p w:rsidR="009F3E07" w:rsidRDefault="00642538" w:rsidP="00BC62E4">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Los hallazgos del presente estudio ponen en evidencia la situación desventajosa de las comunas de la denominada “zona sur”</w:t>
      </w:r>
      <w:r w:rsidR="007905F6">
        <w:rPr>
          <w:rFonts w:ascii="Times New Roman" w:hAnsi="Times New Roman" w:cs="Times New Roman"/>
          <w:sz w:val="24"/>
          <w:szCs w:val="24"/>
        </w:rPr>
        <w:t xml:space="preserve"> de la CABA. Pudo describirse có</w:t>
      </w:r>
      <w:r>
        <w:rPr>
          <w:rFonts w:ascii="Times New Roman" w:hAnsi="Times New Roman" w:cs="Times New Roman"/>
          <w:sz w:val="24"/>
          <w:szCs w:val="24"/>
        </w:rPr>
        <w:t xml:space="preserve">mo la incidencia acumulada de COVID-19 a xxx días de desarrollo de la epidemia es mayor en </w:t>
      </w:r>
      <w:r w:rsidR="008C2083">
        <w:rPr>
          <w:rFonts w:ascii="Times New Roman" w:hAnsi="Times New Roman" w:cs="Times New Roman"/>
          <w:sz w:val="24"/>
          <w:szCs w:val="24"/>
        </w:rPr>
        <w:t>las comunas que conforman esa zona</w:t>
      </w:r>
      <w:r>
        <w:rPr>
          <w:rFonts w:ascii="Times New Roman" w:hAnsi="Times New Roman" w:cs="Times New Roman"/>
          <w:sz w:val="24"/>
          <w:szCs w:val="24"/>
        </w:rPr>
        <w:t xml:space="preserve">. </w:t>
      </w:r>
      <w:r w:rsidR="007905F6">
        <w:rPr>
          <w:rFonts w:ascii="Times New Roman" w:hAnsi="Times New Roman" w:cs="Times New Roman"/>
          <w:sz w:val="24"/>
          <w:szCs w:val="24"/>
        </w:rPr>
        <w:t xml:space="preserve">La </w:t>
      </w:r>
      <w:r>
        <w:rPr>
          <w:rFonts w:ascii="Times New Roman" w:hAnsi="Times New Roman" w:cs="Times New Roman"/>
          <w:sz w:val="24"/>
          <w:szCs w:val="24"/>
        </w:rPr>
        <w:t>desigualdad se acrecienta entre los adultos jóvenes, alcanzando grandes magnitudes al duplicar</w:t>
      </w:r>
      <w:r w:rsidR="007905F6">
        <w:rPr>
          <w:rFonts w:ascii="Times New Roman" w:hAnsi="Times New Roman" w:cs="Times New Roman"/>
          <w:sz w:val="24"/>
          <w:szCs w:val="24"/>
        </w:rPr>
        <w:t>se</w:t>
      </w:r>
      <w:r>
        <w:rPr>
          <w:rFonts w:ascii="Times New Roman" w:hAnsi="Times New Roman" w:cs="Times New Roman"/>
          <w:sz w:val="24"/>
          <w:szCs w:val="24"/>
        </w:rPr>
        <w:t xml:space="preserve"> las tasas específicas de estos grupos en la comuna de mayor privación en </w:t>
      </w:r>
      <w:r w:rsidR="007905F6">
        <w:rPr>
          <w:rFonts w:ascii="Times New Roman" w:hAnsi="Times New Roman" w:cs="Times New Roman"/>
          <w:sz w:val="24"/>
          <w:szCs w:val="24"/>
        </w:rPr>
        <w:t>comparación</w:t>
      </w:r>
      <w:r>
        <w:rPr>
          <w:rFonts w:ascii="Times New Roman" w:hAnsi="Times New Roman" w:cs="Times New Roman"/>
          <w:sz w:val="24"/>
          <w:szCs w:val="24"/>
        </w:rPr>
        <w:t xml:space="preserve"> </w:t>
      </w:r>
      <w:r w:rsidR="00DE3FAB">
        <w:rPr>
          <w:rFonts w:ascii="Times New Roman" w:hAnsi="Times New Roman" w:cs="Times New Roman"/>
          <w:sz w:val="24"/>
          <w:szCs w:val="24"/>
        </w:rPr>
        <w:t>con</w:t>
      </w:r>
      <w:r>
        <w:rPr>
          <w:rFonts w:ascii="Times New Roman" w:hAnsi="Times New Roman" w:cs="Times New Roman"/>
          <w:sz w:val="24"/>
          <w:szCs w:val="24"/>
        </w:rPr>
        <w:t xml:space="preserve"> la de mejores ingresos</w:t>
      </w:r>
      <w:r w:rsidR="008C2083">
        <w:rPr>
          <w:rFonts w:ascii="Times New Roman" w:hAnsi="Times New Roman" w:cs="Times New Roman"/>
          <w:sz w:val="24"/>
          <w:szCs w:val="24"/>
        </w:rPr>
        <w:t xml:space="preserve"> de la ciudad</w:t>
      </w:r>
      <w:r>
        <w:rPr>
          <w:rFonts w:ascii="Times New Roman" w:hAnsi="Times New Roman" w:cs="Times New Roman"/>
          <w:sz w:val="24"/>
          <w:szCs w:val="24"/>
        </w:rPr>
        <w:t xml:space="preserve">. También se observaron </w:t>
      </w:r>
      <w:r w:rsidR="007905F6">
        <w:rPr>
          <w:rFonts w:ascii="Times New Roman" w:hAnsi="Times New Roman" w:cs="Times New Roman"/>
          <w:sz w:val="24"/>
          <w:szCs w:val="24"/>
        </w:rPr>
        <w:t>niveles</w:t>
      </w:r>
      <w:r>
        <w:rPr>
          <w:rFonts w:ascii="Times New Roman" w:hAnsi="Times New Roman" w:cs="Times New Roman"/>
          <w:sz w:val="24"/>
          <w:szCs w:val="24"/>
        </w:rPr>
        <w:t xml:space="preserve"> de positividad superiores a</w:t>
      </w:r>
      <w:r w:rsidR="007905F6">
        <w:rPr>
          <w:rFonts w:ascii="Times New Roman" w:hAnsi="Times New Roman" w:cs="Times New Roman"/>
          <w:sz w:val="24"/>
          <w:szCs w:val="24"/>
        </w:rPr>
        <w:t xml:space="preserve"> aquellos </w:t>
      </w:r>
      <w:r>
        <w:rPr>
          <w:rFonts w:ascii="Times New Roman" w:hAnsi="Times New Roman" w:cs="Times New Roman"/>
          <w:sz w:val="24"/>
          <w:szCs w:val="24"/>
        </w:rPr>
        <w:t>de la jurisdicción en todas las comunas de la zona sur, aunque este fenómeno también pudo detectarse en comunas de la zona centro. En relación a la letalidad, se observó un nivel inferior de heterogeneidad, encontrándose diferencias no significativas entre la mayoría de las comunas. De todos modos, sí se observaron diferencias entre las columnas de valores extremos</w:t>
      </w:r>
      <w:r w:rsidR="007905F6">
        <w:rPr>
          <w:rFonts w:ascii="Times New Roman" w:hAnsi="Times New Roman" w:cs="Times New Roman"/>
          <w:sz w:val="24"/>
          <w:szCs w:val="24"/>
        </w:rPr>
        <w:t>, aunque en el sentido inverso al observado en los fenómenos descriptos anteriormente</w:t>
      </w:r>
      <w:r>
        <w:rPr>
          <w:rFonts w:ascii="Times New Roman" w:hAnsi="Times New Roman" w:cs="Times New Roman"/>
          <w:sz w:val="24"/>
          <w:szCs w:val="24"/>
        </w:rPr>
        <w:t>. En este caso</w:t>
      </w:r>
      <w:r w:rsidR="007905F6">
        <w:rPr>
          <w:rFonts w:ascii="Times New Roman" w:hAnsi="Times New Roman" w:cs="Times New Roman"/>
          <w:sz w:val="24"/>
          <w:szCs w:val="24"/>
        </w:rPr>
        <w:t xml:space="preserve"> </w:t>
      </w:r>
      <w:r>
        <w:rPr>
          <w:rFonts w:ascii="Times New Roman" w:hAnsi="Times New Roman" w:cs="Times New Roman"/>
          <w:sz w:val="24"/>
          <w:szCs w:val="24"/>
        </w:rPr>
        <w:t xml:space="preserve">la </w:t>
      </w:r>
      <w:r w:rsidR="007905F6">
        <w:rPr>
          <w:rFonts w:ascii="Times New Roman" w:hAnsi="Times New Roman" w:cs="Times New Roman"/>
          <w:sz w:val="24"/>
          <w:szCs w:val="24"/>
        </w:rPr>
        <w:t xml:space="preserve">mejor </w:t>
      </w:r>
      <w:r>
        <w:rPr>
          <w:rFonts w:ascii="Times New Roman" w:hAnsi="Times New Roman" w:cs="Times New Roman"/>
          <w:sz w:val="24"/>
          <w:szCs w:val="24"/>
        </w:rPr>
        <w:t>posición la ocupó una comuna de la zona sur que, a su vez, se ubicó en el tercer peor lugar en relación a los ingresos promedios de las familias que la habitan.</w:t>
      </w:r>
      <w:r w:rsidR="007905F6">
        <w:rPr>
          <w:rFonts w:ascii="Times New Roman" w:hAnsi="Times New Roman" w:cs="Times New Roman"/>
          <w:sz w:val="24"/>
          <w:szCs w:val="24"/>
        </w:rPr>
        <w:t xml:space="preserve"> </w:t>
      </w:r>
      <w:r w:rsidR="00DE3FAB">
        <w:rPr>
          <w:rFonts w:ascii="Times New Roman" w:hAnsi="Times New Roman" w:cs="Times New Roman"/>
          <w:sz w:val="24"/>
          <w:szCs w:val="24"/>
        </w:rPr>
        <w:t>De todos modos</w:t>
      </w:r>
      <w:r w:rsidR="007905F6">
        <w:rPr>
          <w:rFonts w:ascii="Times New Roman" w:hAnsi="Times New Roman" w:cs="Times New Roman"/>
          <w:sz w:val="24"/>
          <w:szCs w:val="24"/>
        </w:rPr>
        <w:t>, observando el fenómeno por grupos etarios se constató mayores niveles de letalidad entre la población añosa de las comunas más desfavorecidas.</w:t>
      </w:r>
    </w:p>
    <w:p w:rsidR="00F35E47" w:rsidRDefault="00F35E47"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Los resultados observados son congruentes con estudios previos que describieron a la zona sur de la CABA como un área geográfica segregada y con condiciones comparativamente desventajosas en lo relativo a los </w:t>
      </w:r>
      <w:r w:rsidR="00DE3FAB">
        <w:rPr>
          <w:rFonts w:ascii="Times New Roman" w:hAnsi="Times New Roman" w:cs="Times New Roman"/>
          <w:sz w:val="24"/>
          <w:szCs w:val="24"/>
        </w:rPr>
        <w:t>aspectos que intervienen</w:t>
      </w:r>
      <w:r>
        <w:rPr>
          <w:rFonts w:ascii="Times New Roman" w:hAnsi="Times New Roman" w:cs="Times New Roman"/>
          <w:sz w:val="24"/>
          <w:szCs w:val="24"/>
        </w:rPr>
        <w:t xml:space="preserve"> </w:t>
      </w:r>
      <w:r w:rsidR="00DE3FAB">
        <w:rPr>
          <w:rFonts w:ascii="Times New Roman" w:hAnsi="Times New Roman" w:cs="Times New Roman"/>
          <w:sz w:val="24"/>
          <w:szCs w:val="24"/>
        </w:rPr>
        <w:t>en</w:t>
      </w:r>
      <w:r>
        <w:rPr>
          <w:rFonts w:ascii="Times New Roman" w:hAnsi="Times New Roman" w:cs="Times New Roman"/>
          <w:sz w:val="24"/>
          <w:szCs w:val="24"/>
        </w:rPr>
        <w:t xml:space="preserve"> la</w:t>
      </w:r>
      <w:r w:rsidR="00DE3FAB">
        <w:rPr>
          <w:rFonts w:ascii="Times New Roman" w:hAnsi="Times New Roman" w:cs="Times New Roman"/>
          <w:sz w:val="24"/>
          <w:szCs w:val="24"/>
        </w:rPr>
        <w:t xml:space="preserve"> determinación de</w:t>
      </w:r>
      <w:r>
        <w:rPr>
          <w:rFonts w:ascii="Times New Roman" w:hAnsi="Times New Roman" w:cs="Times New Roman"/>
          <w:sz w:val="24"/>
          <w:szCs w:val="24"/>
        </w:rPr>
        <w:t xml:space="preserve"> </w:t>
      </w:r>
      <w:r w:rsidR="00A92FDD">
        <w:rPr>
          <w:rFonts w:ascii="Times New Roman" w:hAnsi="Times New Roman" w:cs="Times New Roman"/>
          <w:sz w:val="24"/>
          <w:szCs w:val="24"/>
        </w:rPr>
        <w:t xml:space="preserve">la </w:t>
      </w:r>
      <w:r>
        <w:rPr>
          <w:rFonts w:ascii="Times New Roman" w:hAnsi="Times New Roman" w:cs="Times New Roman"/>
          <w:sz w:val="24"/>
          <w:szCs w:val="24"/>
        </w:rPr>
        <w:t>salud</w:t>
      </w:r>
      <w:r w:rsidR="00DE3FAB">
        <w:rPr>
          <w:rFonts w:ascii="Times New Roman" w:hAnsi="Times New Roman" w:cs="Times New Roman"/>
          <w:sz w:val="24"/>
          <w:szCs w:val="24"/>
        </w:rPr>
        <w:t xml:space="preserve"> de las poblaciones y sus condiciones de vida</w:t>
      </w:r>
      <w:r w:rsidR="00C22846">
        <w:rPr>
          <w:rFonts w:ascii="Times New Roman" w:hAnsi="Times New Roman" w:cs="Times New Roman"/>
          <w:sz w:val="24"/>
          <w:szCs w:val="24"/>
        </w:rPr>
        <w:t xml:space="preserve">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Pr>
          <w:rFonts w:ascii="Times New Roman" w:hAnsi="Times New Roman" w:cs="Times New Roman"/>
          <w:sz w:val="24"/>
          <w:szCs w:val="24"/>
        </w:rPr>
        <w:t xml:space="preserve">. Posiblemente, ese contexto resulte consecuencia de </w:t>
      </w:r>
      <w:r>
        <w:rPr>
          <w:rFonts w:ascii="Times New Roman" w:hAnsi="Times New Roman" w:cs="Times New Roman"/>
          <w:sz w:val="24"/>
          <w:szCs w:val="24"/>
        </w:rPr>
        <w:lastRenderedPageBreak/>
        <w:t xml:space="preserve">un elemento estructurante como las condiciones materiales de existencia que, como se ha visto en este estudio, </w:t>
      </w:r>
      <w:r w:rsidR="00C22846">
        <w:rPr>
          <w:rFonts w:ascii="Times New Roman" w:hAnsi="Times New Roman" w:cs="Times New Roman"/>
          <w:sz w:val="24"/>
          <w:szCs w:val="24"/>
        </w:rPr>
        <w:t>se mostró asociado</w:t>
      </w:r>
      <w:r>
        <w:rPr>
          <w:rFonts w:ascii="Times New Roman" w:hAnsi="Times New Roman" w:cs="Times New Roman"/>
          <w:sz w:val="24"/>
          <w:szCs w:val="24"/>
        </w:rPr>
        <w:t xml:space="preserve"> al impacto diferencial de la epidemia, habiéndose aproximado su medición mediante los ingresos familiares promedio de cada comuna.</w:t>
      </w:r>
      <w:r w:rsidR="00DE3FAB">
        <w:rPr>
          <w:rFonts w:ascii="Times New Roman" w:hAnsi="Times New Roman" w:cs="Times New Roman"/>
          <w:sz w:val="24"/>
          <w:szCs w:val="24"/>
        </w:rPr>
        <w:t xml:space="preserve"> Una situación similar se había observado para la morbilidad en </w:t>
      </w:r>
      <w:r w:rsidR="00C22846">
        <w:rPr>
          <w:rFonts w:ascii="Times New Roman" w:hAnsi="Times New Roman" w:cs="Times New Roman"/>
          <w:sz w:val="24"/>
          <w:szCs w:val="24"/>
        </w:rPr>
        <w:t>Barcelona</w:t>
      </w:r>
      <w:r w:rsidR="00DE3FAB">
        <w:rPr>
          <w:rFonts w:ascii="Times New Roman" w:hAnsi="Times New Roman" w:cs="Times New Roman"/>
          <w:sz w:val="24"/>
          <w:szCs w:val="24"/>
        </w:rPr>
        <w:t xml:space="preserve">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(12)</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 xml:space="preserve"> y la mortalidad en el Reino Unido </w:t>
      </w:r>
      <w:r w:rsidR="00C22846">
        <w:rPr>
          <w:rFonts w:ascii="Times New Roman" w:hAnsi="Times New Roman" w:cs="Times New Roman"/>
          <w:sz w:val="24"/>
          <w:szCs w:val="24"/>
        </w:rPr>
        <w:fldChar w:fldCharType="begin" w:fldLock="1"/>
      </w:r>
      <w:r w:rsidR="00C22846">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DE3FAB" w:rsidRDefault="00DE3FAB"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Un hallazgo destacable es la mayor incidencia de COVID-19 entre los adultos jóvenes de las comunas del sur de la CABA. Si bien el diseño de esta investigación no permite establecer asociaciones a nivel individual, podría </w:t>
      </w:r>
      <w:proofErr w:type="spellStart"/>
      <w:r>
        <w:rPr>
          <w:rFonts w:ascii="Times New Roman" w:hAnsi="Times New Roman" w:cs="Times New Roman"/>
          <w:sz w:val="24"/>
          <w:szCs w:val="24"/>
        </w:rPr>
        <w:t>hipotetizarse</w:t>
      </w:r>
      <w:proofErr w:type="spellEnd"/>
      <w:r>
        <w:rPr>
          <w:rFonts w:ascii="Times New Roman" w:hAnsi="Times New Roman" w:cs="Times New Roman"/>
          <w:sz w:val="24"/>
          <w:szCs w:val="24"/>
        </w:rPr>
        <w:t xml:space="preserve"> que, tal como se describió a la población hispana de Chicago en el estudio de</w:t>
      </w:r>
      <w:r w:rsidR="00C22846">
        <w:rPr>
          <w:rFonts w:ascii="Times New Roman" w:hAnsi="Times New Roman" w:cs="Times New Roman"/>
          <w:sz w:val="24"/>
          <w:szCs w:val="24"/>
        </w:rPr>
        <w:t xml:space="preserve"> Kim </w:t>
      </w:r>
      <w:r w:rsidR="00C22846">
        <w:rPr>
          <w:rFonts w:ascii="Times New Roman" w:hAnsi="Times New Roman" w:cs="Times New Roman"/>
          <w:sz w:val="24"/>
          <w:szCs w:val="24"/>
        </w:rPr>
        <w:fldChar w:fldCharType="begin" w:fldLock="1"/>
      </w:r>
      <w:r w:rsidR="00EE0CA3">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(10)</w:t>
      </w:r>
      <w:r w:rsidR="00C22846">
        <w:rPr>
          <w:rFonts w:ascii="Times New Roman" w:hAnsi="Times New Roman" w:cs="Times New Roman"/>
          <w:sz w:val="24"/>
          <w:szCs w:val="24"/>
        </w:rPr>
        <w:fldChar w:fldCharType="end"/>
      </w:r>
      <w:r>
        <w:rPr>
          <w:rFonts w:ascii="Times New Roman" w:hAnsi="Times New Roman" w:cs="Times New Roman"/>
          <w:sz w:val="24"/>
          <w:szCs w:val="24"/>
        </w:rPr>
        <w:t xml:space="preserve">,existen mayores niveles de exposición entre trabajadores y trabajadoras de áreas vulnerables debido a la mayor inserción (en términos relativos) en sectores ligados a la economía informal (con menor cumplimiento de protocolos) y a tareas esenciales (seguridad, limpieza, enfermería). </w:t>
      </w:r>
      <w:r w:rsidR="00266441">
        <w:rPr>
          <w:rFonts w:ascii="Times New Roman" w:hAnsi="Times New Roman" w:cs="Times New Roman"/>
          <w:sz w:val="24"/>
          <w:szCs w:val="24"/>
        </w:rPr>
        <w:t>Otro elemento la comorbilidad: las condiciones de vida desfavorables se asocian a la menor detección y mayor prevalencia de enfermedades crónicas no transmisibles que actúan como comorbilidades de COVID-19</w:t>
      </w:r>
      <w:r w:rsidR="00EE0CA3">
        <w:rPr>
          <w:rFonts w:ascii="Times New Roman" w:hAnsi="Times New Roman" w:cs="Times New Roman"/>
          <w:sz w:val="24"/>
          <w:szCs w:val="24"/>
        </w:rPr>
        <w:t xml:space="preserve"> empeorando los pronósticos en la evolución de la enfermedad </w:t>
      </w:r>
      <w:r w:rsidR="00EE0CA3">
        <w:rPr>
          <w:rFonts w:ascii="Times New Roman" w:hAnsi="Times New Roman" w:cs="Times New Roman"/>
          <w:sz w:val="24"/>
          <w:szCs w:val="24"/>
        </w:rPr>
        <w:fldChar w:fldCharType="begin" w:fldLock="1"/>
      </w:r>
      <w:r w:rsidR="0063065E">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(22)","plainTextFormattedCitation":"(22)","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63065E" w:rsidRPr="0063065E">
        <w:rPr>
          <w:rFonts w:ascii="Times New Roman" w:hAnsi="Times New Roman" w:cs="Times New Roman"/>
          <w:noProof/>
          <w:sz w:val="24"/>
          <w:szCs w:val="24"/>
        </w:rPr>
        <w:t>(22)</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A92FDD" w:rsidRPr="00534EB2" w:rsidRDefault="00A92FDD"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Los resultados de este estudio ponen en cuestión algunas lógicas subyacentes a los discursos gubernamentales y mediáticos acerca de la transversalidad del impacto de la epidemia a través de todos los niveles de vulnerabilidad social. Como se sostuvo previamente</w:t>
      </w:r>
      <w:r w:rsidR="00314B54">
        <w:rPr>
          <w:rFonts w:ascii="Times New Roman" w:hAnsi="Times New Roman" w:cs="Times New Roman"/>
          <w:sz w:val="24"/>
          <w:szCs w:val="24"/>
        </w:rPr>
        <w:t xml:space="preserve">, </w:t>
      </w:r>
      <w:r>
        <w:rPr>
          <w:rFonts w:ascii="Times New Roman" w:hAnsi="Times New Roman" w:cs="Times New Roman"/>
          <w:sz w:val="24"/>
          <w:szCs w:val="24"/>
        </w:rPr>
        <w:t xml:space="preserve">la idea de que la epidemia impacta de manera igualitaria </w:t>
      </w:r>
      <w:r w:rsidR="00EE0CA3">
        <w:rPr>
          <w:rFonts w:ascii="Times New Roman" w:hAnsi="Times New Roman" w:cs="Times New Roman"/>
          <w:sz w:val="24"/>
          <w:szCs w:val="24"/>
        </w:rPr>
        <w:fldChar w:fldCharType="begin" w:fldLock="1"/>
      </w:r>
      <w:r w:rsidR="00C907FC">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C907FC">
        <w:rPr>
          <w:rFonts w:ascii="Times New Roman" w:hAnsi="Times New Roman" w:cs="Times New Roman"/>
          <w:noProof/>
          <w:sz w:val="24"/>
          <w:szCs w:val="24"/>
        </w:rPr>
        <w:t>(14)</w:t>
      </w:r>
      <w:r w:rsidR="00EE0CA3">
        <w:rPr>
          <w:rFonts w:ascii="Times New Roman" w:hAnsi="Times New Roman" w:cs="Times New Roman"/>
          <w:sz w:val="24"/>
          <w:szCs w:val="24"/>
        </w:rPr>
        <w:fldChar w:fldCharType="end"/>
      </w:r>
      <w:r>
        <w:rPr>
          <w:rFonts w:ascii="Times New Roman" w:hAnsi="Times New Roman" w:cs="Times New Roman"/>
          <w:sz w:val="24"/>
          <w:szCs w:val="24"/>
        </w:rPr>
        <w:t xml:space="preserve"> resulta difícil de avalar empíricamente en el caso de la CABA.</w:t>
      </w:r>
      <w:r w:rsidR="00D510C0">
        <w:rPr>
          <w:rFonts w:ascii="Times New Roman" w:hAnsi="Times New Roman" w:cs="Times New Roman"/>
          <w:sz w:val="24"/>
          <w:szCs w:val="24"/>
        </w:rPr>
        <w:t xml:space="preserve"> La principal ventaja de este estudio, entonces, radica en la posibilidad de visibilizar las desigualdades y orientar la ponderación del impacto de la pandemia en la CABA hacia la complejidad de su determinación, orientándola hacia las condiciones sociales de existencia, </w:t>
      </w:r>
      <w:proofErr w:type="spellStart"/>
      <w:r w:rsidR="00D510C0">
        <w:rPr>
          <w:rFonts w:ascii="Times New Roman" w:hAnsi="Times New Roman" w:cs="Times New Roman"/>
          <w:sz w:val="24"/>
          <w:szCs w:val="24"/>
        </w:rPr>
        <w:t>invisibilizadas</w:t>
      </w:r>
      <w:proofErr w:type="spellEnd"/>
      <w:r w:rsidR="00D510C0">
        <w:rPr>
          <w:rFonts w:ascii="Times New Roman" w:hAnsi="Times New Roman" w:cs="Times New Roman"/>
          <w:sz w:val="24"/>
          <w:szCs w:val="24"/>
        </w:rPr>
        <w:t xml:space="preserve"> por los discursos basados en </w:t>
      </w:r>
      <w:r w:rsidR="00266441">
        <w:rPr>
          <w:rFonts w:ascii="Times New Roman" w:hAnsi="Times New Roman" w:cs="Times New Roman"/>
          <w:sz w:val="24"/>
          <w:szCs w:val="24"/>
        </w:rPr>
        <w:t>la humanización del virus, el</w:t>
      </w:r>
      <w:r w:rsidR="00D510C0">
        <w:rPr>
          <w:rFonts w:ascii="Times New Roman" w:hAnsi="Times New Roman" w:cs="Times New Roman"/>
          <w:sz w:val="24"/>
          <w:szCs w:val="24"/>
        </w:rPr>
        <w:t xml:space="preserve"> miedo y las metáforas bélicas</w:t>
      </w:r>
      <w:r w:rsidR="00266441">
        <w:rPr>
          <w:rFonts w:ascii="Times New Roman" w:hAnsi="Times New Roman" w:cs="Times New Roman"/>
          <w:sz w:val="24"/>
          <w:szCs w:val="24"/>
        </w:rPr>
        <w:t>,</w:t>
      </w:r>
      <w:r w:rsidR="00D510C0">
        <w:rPr>
          <w:rFonts w:ascii="Times New Roman" w:hAnsi="Times New Roman" w:cs="Times New Roman"/>
          <w:sz w:val="24"/>
          <w:szCs w:val="24"/>
        </w:rPr>
        <w:t xml:space="preserve"> por ejemplo.</w:t>
      </w:r>
      <w:r w:rsidR="00534EB2">
        <w:rPr>
          <w:rFonts w:ascii="Times New Roman" w:hAnsi="Times New Roman" w:cs="Times New Roman"/>
          <w:sz w:val="24"/>
          <w:szCs w:val="24"/>
        </w:rPr>
        <w:t xml:space="preserve"> Por otro lado, la descripción de la mortalidad a través de indicadores ajustados por edad, posibilitó superar el enfoque basado en indicadores </w:t>
      </w:r>
      <w:r w:rsidR="00534EB2" w:rsidRPr="00534EB2">
        <w:rPr>
          <w:rFonts w:ascii="Times New Roman" w:hAnsi="Times New Roman" w:cs="Times New Roman"/>
          <w:i/>
          <w:sz w:val="24"/>
          <w:szCs w:val="24"/>
        </w:rPr>
        <w:t>per cápita</w:t>
      </w:r>
      <w:r w:rsidR="00534EB2">
        <w:rPr>
          <w:rFonts w:ascii="Times New Roman" w:hAnsi="Times New Roman" w:cs="Times New Roman"/>
          <w:sz w:val="24"/>
          <w:szCs w:val="24"/>
        </w:rPr>
        <w:t xml:space="preserve">, vulnerables a </w:t>
      </w:r>
      <w:r w:rsidR="00534EB2">
        <w:rPr>
          <w:rFonts w:ascii="Times New Roman" w:hAnsi="Times New Roman" w:cs="Times New Roman"/>
          <w:sz w:val="24"/>
          <w:szCs w:val="24"/>
        </w:rPr>
        <w:lastRenderedPageBreak/>
        <w:t xml:space="preserve">las estructuras demográficas como factores de confusión, como </w:t>
      </w:r>
      <w:r w:rsidR="00534EB2" w:rsidRPr="00EE0CA3">
        <w:rPr>
          <w:rFonts w:ascii="Times New Roman" w:hAnsi="Times New Roman" w:cs="Times New Roman"/>
          <w:sz w:val="24"/>
          <w:szCs w:val="24"/>
        </w:rPr>
        <w:t>advirtieron</w:t>
      </w:r>
      <w:r w:rsidR="00EE0CA3">
        <w:rPr>
          <w:rFonts w:ascii="Times New Roman" w:hAnsi="Times New Roman" w:cs="Times New Roman"/>
          <w:sz w:val="24"/>
          <w:szCs w:val="24"/>
        </w:rPr>
        <w:t xml:space="preserve"> </w:t>
      </w:r>
      <w:proofErr w:type="spellStart"/>
      <w:r w:rsidR="00EE0CA3">
        <w:rPr>
          <w:rFonts w:ascii="Times New Roman" w:hAnsi="Times New Roman" w:cs="Times New Roman"/>
          <w:sz w:val="24"/>
          <w:szCs w:val="24"/>
        </w:rPr>
        <w:t>Heuveline</w:t>
      </w:r>
      <w:proofErr w:type="spellEnd"/>
      <w:r w:rsidR="00EE0CA3">
        <w:rPr>
          <w:rFonts w:ascii="Times New Roman" w:hAnsi="Times New Roman" w:cs="Times New Roman"/>
          <w:sz w:val="24"/>
          <w:szCs w:val="24"/>
        </w:rPr>
        <w:t xml:space="preserve"> y </w:t>
      </w:r>
      <w:proofErr w:type="spellStart"/>
      <w:r w:rsidR="00EE0CA3">
        <w:rPr>
          <w:rFonts w:ascii="Times New Roman" w:hAnsi="Times New Roman" w:cs="Times New Roman"/>
          <w:sz w:val="24"/>
          <w:szCs w:val="24"/>
        </w:rPr>
        <w:t>Tzen</w:t>
      </w:r>
      <w:proofErr w:type="spellEnd"/>
      <w:r w:rsidR="00534EB2" w:rsidRPr="00EE0CA3">
        <w:rPr>
          <w:rFonts w:ascii="Times New Roman" w:hAnsi="Times New Roman" w:cs="Times New Roman"/>
          <w:sz w:val="24"/>
          <w:szCs w:val="24"/>
        </w:rPr>
        <w:t xml:space="preserve"> </w:t>
      </w:r>
      <w:r w:rsidR="00EE0CA3" w:rsidRPr="00EE0CA3">
        <w:rPr>
          <w:rFonts w:ascii="Times New Roman" w:hAnsi="Times New Roman" w:cs="Times New Roman"/>
          <w:sz w:val="24"/>
          <w:szCs w:val="24"/>
        </w:rPr>
        <w:fldChar w:fldCharType="begin" w:fldLock="1"/>
      </w:r>
      <w:r w:rsidR="00C907FC">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C907FC">
        <w:rPr>
          <w:rFonts w:ascii="Times New Roman" w:hAnsi="Times New Roman" w:cs="Times New Roman"/>
          <w:noProof/>
          <w:sz w:val="24"/>
          <w:szCs w:val="24"/>
        </w:rPr>
        <w:t>(16)</w:t>
      </w:r>
      <w:r w:rsidR="00EE0CA3" w:rsidRPr="00EE0CA3">
        <w:rPr>
          <w:rFonts w:ascii="Times New Roman" w:hAnsi="Times New Roman" w:cs="Times New Roman"/>
          <w:sz w:val="24"/>
          <w:szCs w:val="24"/>
        </w:rPr>
        <w:fldChar w:fldCharType="end"/>
      </w:r>
      <w:r w:rsidR="00EE0CA3">
        <w:rPr>
          <w:rFonts w:ascii="Times New Roman" w:hAnsi="Times New Roman" w:cs="Times New Roman"/>
          <w:sz w:val="24"/>
          <w:szCs w:val="24"/>
        </w:rPr>
        <w:t>.</w:t>
      </w:r>
    </w:p>
    <w:p w:rsidR="00266441" w:rsidRDefault="00266441" w:rsidP="00F35E47">
      <w:pPr>
        <w:spacing w:after="0" w:line="48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La limitación fundamental de este estudio radica en los límites de su metodología. Los estudios de agregados permiten establecer hipótesis correlacionales, pero no mensurar factores de riesgo ni causalidades a nivel individual. En ese marco, los resultados son de alcance descriptivo, lo que resulta limitante al momento de diseñar intervenciones. En este sentido, debe resaltarse una limitación general anclada en las características de los sistemas de información de salud: los abordajes cuantitativos sobre la evolución de la epidemia se basan en sistemas de vigilancia epidemiológica</w:t>
      </w:r>
      <w:r w:rsidR="00FD1870">
        <w:rPr>
          <w:rFonts w:ascii="Times New Roman" w:hAnsi="Times New Roman" w:cs="Times New Roman"/>
          <w:sz w:val="24"/>
          <w:szCs w:val="24"/>
        </w:rPr>
        <w:t xml:space="preserve"> que en muchos casos presentan problemas de cobertura e integridad. Por otro lado, debe tenerse en cuenta que a lo largo de la pandemia los estados nacionales han ido modificando las definiciones de “caso sospechoso” y “caso confirmado” lo que impacta en capacidad de detección de los sistemas de vigilancia. Tampoco puede soslayarse que el propósito de la generación de estados datos no es investigativo, sino de vigilancia, por lo que muchas veces existen procedimiento no suficientemente depurados como, por ejemplo, los de determinación de la causa básica de muerte o de la existencia de comorbilidades.</w:t>
      </w:r>
      <w:bookmarkStart w:id="2" w:name="_GoBack"/>
      <w:bookmarkEnd w:id="2"/>
    </w:p>
    <w:p w:rsidR="008C2083" w:rsidRPr="002E77A3" w:rsidRDefault="00FD1870" w:rsidP="009A0571">
      <w:pPr>
        <w:spacing w:after="0" w:line="480" w:lineRule="auto"/>
        <w:ind w:firstLine="708"/>
        <w:contextualSpacing/>
        <w:jc w:val="both"/>
        <w:rPr>
          <w:rFonts w:ascii="Times New Roman" w:hAnsi="Times New Roman" w:cs="Times New Roman"/>
          <w:b/>
          <w:sz w:val="24"/>
          <w:szCs w:val="24"/>
        </w:rPr>
      </w:pPr>
      <w:r>
        <w:rPr>
          <w:rFonts w:ascii="Times New Roman" w:hAnsi="Times New Roman" w:cs="Times New Roman"/>
          <w:sz w:val="24"/>
          <w:szCs w:val="24"/>
        </w:rPr>
        <w:t xml:space="preserve">Transcurridos </w:t>
      </w:r>
      <w:r w:rsidRPr="00EE0CA3">
        <w:rPr>
          <w:rFonts w:ascii="Times New Roman" w:hAnsi="Times New Roman" w:cs="Times New Roman"/>
          <w:color w:val="FF0000"/>
          <w:sz w:val="24"/>
          <w:szCs w:val="24"/>
        </w:rPr>
        <w:t>XXX</w:t>
      </w:r>
      <w:r>
        <w:rPr>
          <w:rFonts w:ascii="Times New Roman" w:hAnsi="Times New Roman" w:cs="Times New Roman"/>
          <w:sz w:val="24"/>
          <w:szCs w:val="24"/>
        </w:rPr>
        <w:t xml:space="preserve"> días desde el inicio de la epidemia en la CABA, la descripción de la morbimortalidad por COVID-</w:t>
      </w:r>
      <w:r w:rsidR="009A0571">
        <w:rPr>
          <w:rFonts w:ascii="Times New Roman" w:hAnsi="Times New Roman" w:cs="Times New Roman"/>
          <w:sz w:val="24"/>
          <w:szCs w:val="24"/>
        </w:rPr>
        <w:t>19 convalida la idea de reforzar drásticamente las políticas públicas orientadas a garantizar el acceso a los servicios de salud, profundizar la detección, testeo, asistencia y aislamiento en poblaciones de condiciones de vida deficientes.</w:t>
      </w:r>
      <w:r w:rsidR="009A0571" w:rsidRPr="002E77A3">
        <w:rPr>
          <w:rFonts w:ascii="Times New Roman" w:hAnsi="Times New Roman" w:cs="Times New Roman"/>
          <w:b/>
          <w:sz w:val="24"/>
          <w:szCs w:val="24"/>
        </w:rPr>
        <w:t xml:space="preserve"> </w:t>
      </w:r>
    </w:p>
    <w:sectPr w:rsidR="008C2083" w:rsidRPr="002E77A3"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F093C"/>
    <w:rsid w:val="0016684F"/>
    <w:rsid w:val="00183AD3"/>
    <w:rsid w:val="001A23A1"/>
    <w:rsid w:val="001C00FB"/>
    <w:rsid w:val="001C1E69"/>
    <w:rsid w:val="001C5E82"/>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7843"/>
    <w:rsid w:val="003A09B7"/>
    <w:rsid w:val="003A0EA5"/>
    <w:rsid w:val="003D313E"/>
    <w:rsid w:val="00405EFF"/>
    <w:rsid w:val="004D66F7"/>
    <w:rsid w:val="004F29CE"/>
    <w:rsid w:val="005067ED"/>
    <w:rsid w:val="00530EC0"/>
    <w:rsid w:val="00534EB2"/>
    <w:rsid w:val="005640CF"/>
    <w:rsid w:val="00591312"/>
    <w:rsid w:val="005938C1"/>
    <w:rsid w:val="005A13EF"/>
    <w:rsid w:val="005C36FF"/>
    <w:rsid w:val="00613314"/>
    <w:rsid w:val="00620FDF"/>
    <w:rsid w:val="00624D5A"/>
    <w:rsid w:val="00625B25"/>
    <w:rsid w:val="0063065E"/>
    <w:rsid w:val="006413AE"/>
    <w:rsid w:val="00642538"/>
    <w:rsid w:val="006A0045"/>
    <w:rsid w:val="006B4853"/>
    <w:rsid w:val="006E368F"/>
    <w:rsid w:val="006F5DB8"/>
    <w:rsid w:val="00726E11"/>
    <w:rsid w:val="0076493B"/>
    <w:rsid w:val="007905F6"/>
    <w:rsid w:val="007927B0"/>
    <w:rsid w:val="007A69FA"/>
    <w:rsid w:val="008005A0"/>
    <w:rsid w:val="008207A5"/>
    <w:rsid w:val="0083747C"/>
    <w:rsid w:val="00837D3B"/>
    <w:rsid w:val="008533FA"/>
    <w:rsid w:val="0086600D"/>
    <w:rsid w:val="008748ED"/>
    <w:rsid w:val="008A48B8"/>
    <w:rsid w:val="008C2083"/>
    <w:rsid w:val="008D1911"/>
    <w:rsid w:val="009A0571"/>
    <w:rsid w:val="009D1D54"/>
    <w:rsid w:val="009D32F7"/>
    <w:rsid w:val="009F3E07"/>
    <w:rsid w:val="00A53250"/>
    <w:rsid w:val="00A82D02"/>
    <w:rsid w:val="00A92254"/>
    <w:rsid w:val="00A92FDD"/>
    <w:rsid w:val="00AA2A3F"/>
    <w:rsid w:val="00AA54C9"/>
    <w:rsid w:val="00AA6101"/>
    <w:rsid w:val="00AC5E4E"/>
    <w:rsid w:val="00B045C6"/>
    <w:rsid w:val="00B04F32"/>
    <w:rsid w:val="00B066BE"/>
    <w:rsid w:val="00B22020"/>
    <w:rsid w:val="00B44245"/>
    <w:rsid w:val="00B66534"/>
    <w:rsid w:val="00B66F20"/>
    <w:rsid w:val="00B67051"/>
    <w:rsid w:val="00B7671A"/>
    <w:rsid w:val="00B86978"/>
    <w:rsid w:val="00BA5397"/>
    <w:rsid w:val="00BC62E4"/>
    <w:rsid w:val="00C22846"/>
    <w:rsid w:val="00C27F56"/>
    <w:rsid w:val="00C43D50"/>
    <w:rsid w:val="00C907FC"/>
    <w:rsid w:val="00CC68D8"/>
    <w:rsid w:val="00CD6A34"/>
    <w:rsid w:val="00CE656D"/>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6067"/>
    <w:rsid w:val="00EB6BA4"/>
    <w:rsid w:val="00EE0CA3"/>
    <w:rsid w:val="00EE64E1"/>
    <w:rsid w:val="00EF2B6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2CD5"/>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DE4F9-C06D-4679-B125-F680416F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14</Pages>
  <Words>10337</Words>
  <Characters>58923</Characters>
  <Application>Microsoft Office Word</Application>
  <DocSecurity>0</DocSecurity>
  <Lines>491</Lines>
  <Paragraphs>138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35</cp:revision>
  <dcterms:created xsi:type="dcterms:W3CDTF">2020-09-27T22:54:00Z</dcterms:created>
  <dcterms:modified xsi:type="dcterms:W3CDTF">2020-10-25T01:00:00Z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