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77777777"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Los primeros casos de SARS-CoV-2 en Argentina se registraron en la Ciudad Autónoma de Buenos Aires (CABA) a principios de marzo de 2020 en turistas que retornaban de ciudades europeas que en ese momento presentaban altos niveles de incidencia de la enfermedad. Rápidamente, el virus comenzó rápidamente a circular en la comunidad y a dispersarse a otras jurisdicciones. Sin embargo, hasta septiembre de 2020, la CABA y los 40 distritos de Provincia de Buenos Aires que la rodean (el agregado geográfico denominado “Ámbito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4A93DFEE" w14:textId="77777777" w:rsidR="0015734E"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proofErr w:type="gramStart"/>
      <w:r w:rsidR="00C62971" w:rsidRPr="00245277">
        <w:rPr>
          <w:rFonts w:ascii="Times New Roman" w:hAnsi="Times New Roman" w:cs="Times New Roman"/>
          <w:sz w:val="24"/>
          <w:szCs w:val="24"/>
        </w:rPr>
        <w:t xml:space="preserve">ASPO) </w:t>
      </w:r>
      <w:r w:rsidRPr="00245277">
        <w:rPr>
          <w:rFonts w:ascii="Times New Roman" w:hAnsi="Times New Roman" w:cs="Times New Roman"/>
          <w:sz w:val="24"/>
          <w:szCs w:val="24"/>
        </w:rPr>
        <w:t xml:space="preserve"> </w:t>
      </w:r>
      <w:r w:rsidR="00597760" w:rsidRPr="00245277">
        <w:rPr>
          <w:rFonts w:ascii="Times New Roman" w:hAnsi="Times New Roman" w:cs="Times New Roman"/>
          <w:sz w:val="24"/>
          <w:szCs w:val="24"/>
        </w:rPr>
        <w:t>.</w:t>
      </w:r>
      <w:proofErr w:type="gramEnd"/>
    </w:p>
    <w:p w14:paraId="2602874D" w14:textId="77777777" w:rsidR="00597760" w:rsidRPr="00245277" w:rsidRDefault="00597760"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Fue determinante, entre otras medidas, el cierre de las escuelas, el cierre de las fronteras, la limitación de la circulación inter e </w:t>
      </w:r>
      <w:proofErr w:type="spellStart"/>
      <w:r w:rsidRPr="00245277">
        <w:rPr>
          <w:rFonts w:ascii="Times New Roman" w:hAnsi="Times New Roman" w:cs="Times New Roman"/>
          <w:sz w:val="24"/>
          <w:szCs w:val="24"/>
        </w:rPr>
        <w:t>intra</w:t>
      </w:r>
      <w:proofErr w:type="spellEnd"/>
      <w:r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  </w:t>
      </w:r>
    </w:p>
    <w:p w14:paraId="4A0D66A5" w14:textId="77777777" w:rsidR="00460688" w:rsidRPr="00245277" w:rsidRDefault="00460688" w:rsidP="00AD2E4B">
      <w:pPr>
        <w:spacing w:before="240" w:line="480" w:lineRule="auto"/>
        <w:contextualSpacing/>
        <w:jc w:val="both"/>
        <w:rPr>
          <w:rFonts w:ascii="Times New Roman" w:hAnsi="Times New Roman" w:cs="Times New Roman"/>
          <w:sz w:val="24"/>
          <w:szCs w:val="24"/>
        </w:rPr>
      </w:pPr>
    </w:p>
    <w:p w14:paraId="7F27A154" w14:textId="77777777" w:rsidR="0047445C"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w:t>
      </w:r>
      <w:r w:rsidRPr="00245277">
        <w:rPr>
          <w:rFonts w:ascii="Times New Roman" w:hAnsi="Times New Roman" w:cs="Times New Roman"/>
          <w:sz w:val="24"/>
          <w:szCs w:val="24"/>
        </w:rPr>
        <w:lastRenderedPageBreak/>
        <w:t xml:space="preserve">que debe dar respuestas a las demandas de la nueva situación, dada la elevada </w:t>
      </w:r>
      <w:r w:rsidRPr="00245277">
        <w:rPr>
          <w:rFonts w:ascii="Times New Roman" w:hAnsi="Times New Roman" w:cs="Times New Roman"/>
          <w:sz w:val="24"/>
          <w:szCs w:val="24"/>
          <w:highlight w:val="yellow"/>
        </w:rPr>
        <w:t xml:space="preserve">tasa de reproducción del virus y </w:t>
      </w:r>
      <w:proofErr w:type="gramStart"/>
      <w:r w:rsidRPr="00245277">
        <w:rPr>
          <w:rFonts w:ascii="Times New Roman" w:hAnsi="Times New Roman" w:cs="Times New Roman"/>
          <w:sz w:val="24"/>
          <w:szCs w:val="24"/>
          <w:highlight w:val="yellow"/>
        </w:rPr>
        <w:t>la alta</w:t>
      </w:r>
      <w:proofErr w:type="gramEnd"/>
      <w:r w:rsidRPr="00245277">
        <w:rPr>
          <w:rFonts w:ascii="Times New Roman" w:hAnsi="Times New Roman" w:cs="Times New Roman"/>
          <w:sz w:val="24"/>
          <w:szCs w:val="24"/>
          <w:highlight w:val="yellow"/>
        </w:rPr>
        <w:t xml:space="preserve"> potencial demanda de recursos que requerirá su atención.</w:t>
      </w:r>
      <w:r w:rsidRPr="00245277">
        <w:rPr>
          <w:rFonts w:ascii="Times New Roman" w:hAnsi="Times New Roman" w:cs="Times New Roman"/>
          <w:sz w:val="24"/>
          <w:szCs w:val="24"/>
        </w:rPr>
        <w:t xml:space="preserve"> </w:t>
      </w:r>
    </w:p>
    <w:p w14:paraId="2E65081B" w14:textId="77777777"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 xml:space="preserve">y adopta las </w:t>
      </w:r>
      <w:r w:rsidRPr="00245277">
        <w:rPr>
          <w:rFonts w:ascii="Times New Roman" w:hAnsi="Times New Roman" w:cs="Times New Roman"/>
          <w:sz w:val="24"/>
          <w:szCs w:val="24"/>
          <w:highlight w:val="yellow"/>
        </w:rPr>
        <w:t>regulaciones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xml:space="preserve">, la movilidad en lugares de trabajo se redujo en </w:t>
      </w:r>
      <w:proofErr w:type="spellStart"/>
      <w:r w:rsidR="00E334CD" w:rsidRPr="00245277">
        <w:rPr>
          <w:rFonts w:ascii="Times New Roman" w:hAnsi="Times New Roman" w:cs="Times New Roman"/>
          <w:sz w:val="24"/>
          <w:szCs w:val="24"/>
        </w:rPr>
        <w:t>mas</w:t>
      </w:r>
      <w:proofErr w:type="spellEnd"/>
      <w:r w:rsidR="00E334CD" w:rsidRPr="00245277">
        <w:rPr>
          <w:rFonts w:ascii="Times New Roman" w:hAnsi="Times New Roman" w:cs="Times New Roman"/>
          <w:sz w:val="24"/>
          <w:szCs w:val="24"/>
        </w:rPr>
        <w:t xml:space="preserve"> de 80% comparado con el valor de refe</w:t>
      </w:r>
      <w:r w:rsidR="00E334CD" w:rsidRPr="00245277">
        <w:rPr>
          <w:rFonts w:ascii="Times New Roman" w:hAnsi="Times New Roman" w:cs="Times New Roman"/>
          <w:sz w:val="24"/>
          <w:szCs w:val="24"/>
          <w:highlight w:val="yellow"/>
        </w:rPr>
        <w:t>rencia “normal”.</w:t>
      </w:r>
      <w:r w:rsidR="00E334CD" w:rsidRPr="00245277">
        <w:rPr>
          <w:rFonts w:ascii="Times New Roman" w:hAnsi="Times New Roman" w:cs="Times New Roman"/>
          <w:sz w:val="24"/>
          <w:szCs w:val="24"/>
        </w:rPr>
        <w:t xml:space="preserve"> </w:t>
      </w:r>
      <w:r w:rsidR="00E75EC3" w:rsidRPr="00245277">
        <w:rPr>
          <w:rFonts w:ascii="Times New Roman" w:hAnsi="Times New Roman" w:cs="Times New Roman"/>
          <w:sz w:val="24"/>
          <w:szCs w:val="24"/>
        </w:rPr>
        <w:t xml:space="preserve"> </w:t>
      </w:r>
      <w:r w:rsidR="00EF1DA0" w:rsidRPr="00245277">
        <w:rPr>
          <w:rFonts w:ascii="Times New Roman" w:hAnsi="Times New Roman" w:cs="Times New Roman"/>
          <w:sz w:val="24"/>
          <w:szCs w:val="24"/>
        </w:rPr>
        <w:tab/>
      </w:r>
      <w:r w:rsidR="00E334CD" w:rsidRPr="00245277">
        <w:rPr>
          <w:rFonts w:ascii="Times New Roman" w:hAnsi="Times New Roman" w:cs="Times New Roman"/>
          <w:sz w:val="24"/>
          <w:szCs w:val="24"/>
        </w:rPr>
        <w:t xml:space="preserve">Lo mismo sucedió con la movilidad en parques y en el tráfico vehicular. </w:t>
      </w:r>
    </w:p>
    <w:p w14:paraId="74F4BF8F" w14:textId="77777777" w:rsidR="00E334CD" w:rsidRPr="00245277"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debemos destacar que el distrito </w:t>
      </w:r>
      <w:proofErr w:type="spellStart"/>
      <w:r w:rsidRPr="00245277">
        <w:rPr>
          <w:rFonts w:ascii="Times New Roman" w:hAnsi="Times New Roman" w:cs="Times New Roman"/>
          <w:sz w:val="24"/>
          <w:szCs w:val="24"/>
        </w:rPr>
        <w:t>federeal</w:t>
      </w:r>
      <w:proofErr w:type="spellEnd"/>
      <w:r w:rsidRPr="00245277">
        <w:rPr>
          <w:rFonts w:ascii="Times New Roman" w:hAnsi="Times New Roman" w:cs="Times New Roman"/>
          <w:sz w:val="24"/>
          <w:szCs w:val="24"/>
        </w:rPr>
        <w:t xml:space="preserve"> de Argentina es un área </w:t>
      </w:r>
      <w:proofErr w:type="spellStart"/>
      <w:r w:rsidRPr="00245277">
        <w:rPr>
          <w:rFonts w:ascii="Times New Roman" w:hAnsi="Times New Roman" w:cs="Times New Roman"/>
          <w:sz w:val="24"/>
          <w:szCs w:val="24"/>
        </w:rPr>
        <w:t>particularmetes</w:t>
      </w:r>
      <w:proofErr w:type="spellEnd"/>
      <w:r w:rsidRPr="00245277">
        <w:rPr>
          <w:rFonts w:ascii="Times New Roman" w:hAnsi="Times New Roman" w:cs="Times New Roman"/>
          <w:sz w:val="24"/>
          <w:szCs w:val="24"/>
        </w:rPr>
        <w:t xml:space="preserve"> desigual, donde viven 3075646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FD22CD" w:rsidRPr="00245277">
        <w:rPr>
          <w:rFonts w:ascii="Times New Roman" w:hAnsi="Times New Roman" w:cs="Times New Roman"/>
          <w:sz w:val="24"/>
          <w:szCs w:val="24"/>
          <w:highlight w:val="yellow"/>
        </w:rPr>
        <w:t>zonas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6C65C34A" w14:textId="77777777" w:rsidR="00D15315" w:rsidRDefault="00FD22CD" w:rsidP="00AD2E4B">
      <w:pPr>
        <w:spacing w:before="240" w:line="480" w:lineRule="auto"/>
        <w:contextualSpacing/>
        <w:jc w:val="both"/>
        <w:rPr>
          <w:rFonts w:ascii="Times New Roman" w:hAnsi="Times New Roman" w:cs="Times New Roman"/>
          <w:sz w:val="24"/>
          <w:szCs w:val="24"/>
          <w:lang w:val="en-US"/>
        </w:rPr>
      </w:pPr>
      <w:r w:rsidRPr="00245277">
        <w:rPr>
          <w:rFonts w:ascii="Times New Roman" w:hAnsi="Times New Roman" w:cs="Times New Roman"/>
          <w:sz w:val="24"/>
          <w:szCs w:val="24"/>
        </w:rPr>
        <w:t xml:space="preserve">Hay estudios que describieron el impacto diferencial de la pandemia en distintas metrópolis del mundo, coincidiendo en que en áreas de población con mayor vulnerabilidad social el impacto es </w:t>
      </w:r>
      <w:r w:rsidR="002D0C55" w:rsidRPr="00245277">
        <w:rPr>
          <w:rFonts w:ascii="Times New Roman" w:hAnsi="Times New Roman" w:cs="Times New Roman"/>
          <w:sz w:val="24"/>
          <w:szCs w:val="24"/>
        </w:rPr>
        <w:t>más</w:t>
      </w:r>
      <w:r w:rsidRPr="00245277">
        <w:rPr>
          <w:rFonts w:ascii="Times New Roman" w:hAnsi="Times New Roman" w:cs="Times New Roman"/>
          <w:sz w:val="24"/>
          <w:szCs w:val="24"/>
        </w:rPr>
        <w:t xml:space="preserve"> dañino. Van </w:t>
      </w:r>
      <w:proofErr w:type="spellStart"/>
      <w:r w:rsidRPr="00245277">
        <w:rPr>
          <w:rFonts w:ascii="Times New Roman" w:hAnsi="Times New Roman" w:cs="Times New Roman"/>
          <w:sz w:val="24"/>
          <w:szCs w:val="24"/>
        </w:rPr>
        <w:t>Dorm</w:t>
      </w:r>
      <w:proofErr w:type="spellEnd"/>
      <w:r w:rsidRPr="00245277">
        <w:rPr>
          <w:rFonts w:ascii="Times New Roman" w:hAnsi="Times New Roman" w:cs="Times New Roman"/>
          <w:sz w:val="24"/>
          <w:szCs w:val="24"/>
        </w:rPr>
        <w:t xml:space="preserve">, </w:t>
      </w:r>
      <w:proofErr w:type="spellStart"/>
      <w:r w:rsidRPr="00245277">
        <w:rPr>
          <w:rFonts w:ascii="Times New Roman" w:hAnsi="Times New Roman" w:cs="Times New Roman"/>
          <w:sz w:val="24"/>
          <w:szCs w:val="24"/>
        </w:rPr>
        <w:t>Cooney</w:t>
      </w:r>
      <w:proofErr w:type="spellEnd"/>
      <w:r w:rsidRPr="00245277">
        <w:rPr>
          <w:rFonts w:ascii="Times New Roman" w:hAnsi="Times New Roman" w:cs="Times New Roman"/>
          <w:sz w:val="24"/>
          <w:szCs w:val="24"/>
        </w:rPr>
        <w:t xml:space="preserve"> y Sabin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(9)</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acuerdan que en ciudades como Nueva York, los llamados “trabajadores esenciales” </w:t>
      </w:r>
      <w:r w:rsidR="002D0C55" w:rsidRPr="00245277">
        <w:rPr>
          <w:rFonts w:ascii="Times New Roman" w:hAnsi="Times New Roman" w:cs="Times New Roman"/>
          <w:sz w:val="24"/>
          <w:szCs w:val="24"/>
        </w:rPr>
        <w:t>constituyen</w:t>
      </w:r>
      <w:r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mostró como la mortalidad se   </w:t>
      </w:r>
      <w:proofErr w:type="spellStart"/>
      <w:r w:rsidR="003538C9" w:rsidRPr="00245277">
        <w:rPr>
          <w:rFonts w:ascii="Times New Roman" w:hAnsi="Times New Roman" w:cs="Times New Roman"/>
          <w:sz w:val="24"/>
          <w:szCs w:val="24"/>
        </w:rPr>
        <w:t>concetraba</w:t>
      </w:r>
      <w:proofErr w:type="spellEnd"/>
      <w:r w:rsidR="003538C9" w:rsidRPr="00245277">
        <w:rPr>
          <w:rFonts w:ascii="Times New Roman" w:hAnsi="Times New Roman" w:cs="Times New Roman"/>
          <w:sz w:val="24"/>
          <w:szCs w:val="24"/>
        </w:rPr>
        <w:t xml:space="preserve"> mayormente en </w:t>
      </w:r>
      <w:proofErr w:type="spellStart"/>
      <w:r w:rsidR="003538C9" w:rsidRPr="00245277">
        <w:rPr>
          <w:rFonts w:ascii="Times New Roman" w:hAnsi="Times New Roman" w:cs="Times New Roman"/>
          <w:sz w:val="24"/>
          <w:szCs w:val="24"/>
        </w:rPr>
        <w:t>areas</w:t>
      </w:r>
      <w:proofErr w:type="spellEnd"/>
      <w:r w:rsidR="003538C9" w:rsidRPr="00245277">
        <w:rPr>
          <w:rFonts w:ascii="Times New Roman" w:hAnsi="Times New Roman" w:cs="Times New Roman"/>
          <w:sz w:val="24"/>
          <w:szCs w:val="24"/>
        </w:rPr>
        <w:t xml:space="preserve"> predominaba las comunidades afroamericanas. Ellos propusieron, basados en los resultados de este estudio, la </w:t>
      </w:r>
      <w:proofErr w:type="spellStart"/>
      <w:r w:rsidR="003538C9" w:rsidRPr="00245277">
        <w:rPr>
          <w:rFonts w:ascii="Times New Roman" w:hAnsi="Times New Roman" w:cs="Times New Roman"/>
          <w:sz w:val="24"/>
          <w:szCs w:val="24"/>
        </w:rPr>
        <w:t>altra</w:t>
      </w:r>
      <w:proofErr w:type="spellEnd"/>
      <w:r w:rsidR="003538C9" w:rsidRPr="00245277">
        <w:rPr>
          <w:rFonts w:ascii="Times New Roman" w:hAnsi="Times New Roman" w:cs="Times New Roman"/>
          <w:sz w:val="24"/>
          <w:szCs w:val="24"/>
        </w:rPr>
        <w:t xml:space="preserve"> prevalencia </w:t>
      </w:r>
      <w:r w:rsidR="003538C9" w:rsidRPr="00245277">
        <w:rPr>
          <w:rFonts w:ascii="Times New Roman" w:hAnsi="Times New Roman" w:cs="Times New Roman"/>
          <w:sz w:val="24"/>
          <w:szCs w:val="24"/>
        </w:rPr>
        <w:lastRenderedPageBreak/>
        <w:t xml:space="preserve">de enfermedades crónicas y desigualdades sociales persistentes como un </w:t>
      </w:r>
      <w:proofErr w:type="gramStart"/>
      <w:r w:rsidR="003538C9" w:rsidRPr="00245277">
        <w:rPr>
          <w:rFonts w:ascii="Times New Roman" w:hAnsi="Times New Roman" w:cs="Times New Roman"/>
          <w:sz w:val="24"/>
          <w:szCs w:val="24"/>
        </w:rPr>
        <w:t>posible factores</w:t>
      </w:r>
      <w:proofErr w:type="gramEnd"/>
      <w:r w:rsidR="003538C9" w:rsidRPr="00245277">
        <w:rPr>
          <w:rFonts w:ascii="Times New Roman" w:hAnsi="Times New Roman" w:cs="Times New Roman"/>
          <w:sz w:val="24"/>
          <w:szCs w:val="24"/>
        </w:rPr>
        <w:t xml:space="preserve"> que expliquen este fenómeno.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commentRangeStart w:id="0"/>
      <w:r w:rsidR="00245277" w:rsidRPr="00245277">
        <w:rPr>
          <w:rFonts w:ascii="Times New Roman" w:hAnsi="Times New Roman" w:cs="Times New Roman"/>
          <w:sz w:val="24"/>
          <w:szCs w:val="24"/>
        </w:rPr>
        <w:t xml:space="preserve">necesitadas </w:t>
      </w:r>
      <w:commentRangeEnd w:id="0"/>
      <w:r w:rsidR="00245277">
        <w:rPr>
          <w:rStyle w:val="Refdecomentario"/>
        </w:rPr>
        <w:commentReference w:id="0"/>
      </w:r>
      <w:r w:rsidR="00245277" w:rsidRPr="00245277">
        <w:rPr>
          <w:rFonts w:ascii="Times New Roman" w:hAnsi="Times New Roman" w:cs="Times New Roman"/>
          <w:sz w:val="24"/>
          <w:szCs w:val="24"/>
        </w:rPr>
        <w:t xml:space="preserve">fue el doble que en el 10% más ricas. </w:t>
      </w:r>
      <w:commentRangeStart w:id="1"/>
      <w:proofErr w:type="spellStart"/>
      <w:r w:rsidR="00245277" w:rsidRPr="00511FDA">
        <w:rPr>
          <w:rFonts w:ascii="Times New Roman" w:hAnsi="Times New Roman" w:cs="Times New Roman"/>
          <w:sz w:val="24"/>
          <w:szCs w:val="24"/>
          <w:lang w:val="en-US"/>
        </w:rPr>
        <w:t>Además</w:t>
      </w:r>
      <w:proofErr w:type="spellEnd"/>
      <w:r w:rsidR="00245277" w:rsidRPr="00511FDA">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Moreover, for mortality from COVID-19 the inequality between these two extremes was even greater for overall mortality.</w:t>
      </w:r>
      <w:commentRangeEnd w:id="1"/>
      <w:r w:rsidR="00511FDA">
        <w:rPr>
          <w:rStyle w:val="Refdecomentario"/>
        </w:rPr>
        <w:commentReference w:id="1"/>
      </w:r>
      <w:r w:rsidR="00511FDA">
        <w:rPr>
          <w:rFonts w:ascii="Times New Roman" w:hAnsi="Times New Roman" w:cs="Times New Roman"/>
          <w:sz w:val="24"/>
          <w:szCs w:val="24"/>
          <w:lang w:val="en-US"/>
        </w:rPr>
        <w:t xml:space="preserve"> </w:t>
      </w:r>
    </w:p>
    <w:p w14:paraId="1701CEEB" w14:textId="77777777"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77777777"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periodistas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77777777"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proofErr w:type="gramStart"/>
      <w:r w:rsidRPr="002338BD">
        <w:rPr>
          <w:rFonts w:ascii="Times New Roman" w:hAnsi="Times New Roman" w:cs="Times New Roman"/>
          <w:sz w:val="24"/>
          <w:szCs w:val="24"/>
        </w:rPr>
        <w:t>Las estructuras demográficas más jóvenes generalmente se asocian con poblaciones con altos niveles de privación y</w:t>
      </w:r>
      <w:r>
        <w:rPr>
          <w:rFonts w:ascii="Times New Roman" w:hAnsi="Times New Roman" w:cs="Times New Roman"/>
          <w:sz w:val="24"/>
          <w:szCs w:val="24"/>
        </w:rPr>
        <w:t xml:space="preserve"> </w:t>
      </w:r>
      <w:r w:rsidRPr="002338BD">
        <w:rPr>
          <w:rFonts w:ascii="Times New Roman" w:hAnsi="Times New Roman" w:cs="Times New Roman"/>
          <w:sz w:val="24"/>
          <w:szCs w:val="24"/>
          <w:highlight w:val="yellow"/>
        </w:rPr>
        <w:t>enmascaramiento??</w:t>
      </w:r>
      <w:proofErr w:type="gramEnd"/>
      <w:r w:rsidRPr="002338BD">
        <w:rPr>
          <w:rFonts w:ascii="Times New Roman" w:hAnsi="Times New Roman" w:cs="Times New Roman"/>
          <w:sz w:val="24"/>
          <w:szCs w:val="24"/>
          <w:highlight w:val="yellow"/>
        </w:rPr>
        <w:t>,</w:t>
      </w:r>
      <w:r w:rsidRPr="002338BD">
        <w:rPr>
          <w:rFonts w:ascii="Times New Roman" w:hAnsi="Times New Roman" w:cs="Times New Roman"/>
          <w:sz w:val="24"/>
          <w:szCs w:val="24"/>
        </w:rPr>
        <w:t xml:space="preserve"> </w:t>
      </w:r>
      <w:r w:rsidRPr="008F0A49">
        <w:rPr>
          <w:rFonts w:ascii="Times New Roman" w:hAnsi="Times New Roman" w:cs="Times New Roman"/>
          <w:sz w:val="24"/>
          <w:szCs w:val="24"/>
          <w:highlight w:val="yellow"/>
        </w:rPr>
        <w:t>debido al efecto de confusión de la distribución por edades en la población, el nivel de daño por mortalidad, lo que determina bajas tasas brutas de mortalidad, por ejemplo.</w:t>
      </w:r>
    </w:p>
    <w:p w14:paraId="682D3F5A" w14:textId="77777777" w:rsidR="00AD2E4B" w:rsidRPr="002338BD" w:rsidRDefault="00AD2E4B" w:rsidP="00AD2E4B">
      <w:pPr>
        <w:spacing w:before="240" w:line="480" w:lineRule="auto"/>
        <w:contextualSpacing/>
        <w:jc w:val="both"/>
        <w:rPr>
          <w:rFonts w:ascii="Times New Roman" w:hAnsi="Times New Roman" w:cs="Times New Roman"/>
          <w:sz w:val="24"/>
          <w:szCs w:val="24"/>
        </w:rPr>
      </w:pPr>
    </w:p>
    <w:p w14:paraId="2AE4515D" w14:textId="73612598"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Pr="008F0A49">
        <w:rPr>
          <w:rFonts w:ascii="Times New Roman" w:hAnsi="Times New Roman" w:cs="Times New Roman"/>
          <w:sz w:val="24"/>
          <w:szCs w:val="24"/>
          <w:highlight w:val="yellow"/>
        </w:rPr>
        <w:t xml:space="preserve">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que la componen.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mortalidad representa un mayor impacto negativo en la zona sur de la ciudad, que integra los </w:t>
      </w:r>
      <w:r w:rsidRPr="008F0A49">
        <w:rPr>
          <w:rFonts w:ascii="Times New Roman" w:hAnsi="Times New Roman" w:cs="Times New Roman"/>
          <w:sz w:val="24"/>
          <w:szCs w:val="24"/>
        </w:rPr>
        <w:lastRenderedPageBreak/>
        <w:t>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5DD3EB6C" w:rsidR="00AD2E4B" w:rsidRPr="0009618E" w:rsidRDefault="001C00FB" w:rsidP="00AD2E4B">
      <w:pPr>
        <w:spacing w:before="24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bookmarkStart w:id="2" w:name="_GoBack"/>
      <w:bookmarkEnd w:id="2"/>
    </w:p>
    <w:p w14:paraId="0138EDE4" w14:textId="5BE89890"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de la CABA. El estudio poblacional estuvo constituido por los 15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proofErr w:type="spellStart"/>
      <w:r w:rsidR="0009618E">
        <w:rPr>
          <w:rFonts w:ascii="Times New Roman" w:hAnsi="Times New Roman" w:cs="Times New Roman"/>
          <w:sz w:val="24"/>
          <w:szCs w:val="24"/>
        </w:rPr>
        <w:t>lso</w:t>
      </w:r>
      <w:proofErr w:type="spellEnd"/>
      <w:r w:rsidRPr="008F0A49">
        <w:rPr>
          <w:rFonts w:ascii="Times New Roman" w:hAnsi="Times New Roman" w:cs="Times New Roman"/>
          <w:sz w:val="24"/>
          <w:szCs w:val="24"/>
        </w:rPr>
        <w:t xml:space="preserve"> que se divide la CABA. </w:t>
      </w:r>
    </w:p>
    <w:p w14:paraId="3ECFA7BE" w14:textId="3AA1793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distritos y zonas. La división de la ciudad en distritos responde a una división </w:t>
      </w:r>
      <w:proofErr w:type="spellStart"/>
      <w:r w:rsidRPr="008F0A49">
        <w:rPr>
          <w:rFonts w:ascii="Times New Roman" w:hAnsi="Times New Roman" w:cs="Times New Roman"/>
          <w:sz w:val="24"/>
          <w:szCs w:val="24"/>
        </w:rPr>
        <w:t>interjurisdiccional</w:t>
      </w:r>
      <w:proofErr w:type="spellEnd"/>
      <w:r w:rsidRPr="008F0A49">
        <w:rPr>
          <w:rFonts w:ascii="Times New Roman" w:hAnsi="Times New Roman" w:cs="Times New Roman"/>
          <w:sz w:val="24"/>
          <w:szCs w:val="24"/>
        </w:rPr>
        <w:t xml:space="preserve"> y político-administrativa del territorio. Las zonas representan agrupaciones de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los distritos 4, 8, 9 y 10; la zona central está formada por los distritos 1, 3, 4, 5, 6, 7, 11, 12 y 15; y la zona norte está formada por los distritos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5EE86817"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representaban a las comunas con ingresos promedio inferiores al promedio de la ciudad y viceversa. </w:t>
      </w:r>
      <w:r w:rsidRPr="0021474A">
        <w:rPr>
          <w:rFonts w:ascii="Times New Roman" w:hAnsi="Times New Roman" w:cs="Times New Roman"/>
          <w:sz w:val="24"/>
          <w:szCs w:val="24"/>
        </w:rPr>
        <w:t>Se denominó "índice de ingreso estandarizado" (IIE).</w:t>
      </w:r>
    </w:p>
    <w:p w14:paraId="697AB5FC" w14:textId="77777777"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30/04/2021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w:t>
      </w:r>
      <w:r w:rsidRPr="0021474A">
        <w:rPr>
          <w:rFonts w:ascii="Times New Roman" w:hAnsi="Times New Roman" w:cs="Times New Roman"/>
          <w:sz w:val="24"/>
          <w:szCs w:val="24"/>
        </w:rPr>
        <w:lastRenderedPageBreak/>
        <w:t>oficial del Gobierno de la Ciudad de Buenos Aires que proviene del Sistema Nacional de Vigilancia de la Salud de Argentina. Se excluyeron del análisis los casos que no tenían información sobre la edad o la comuna de residencia. Así, se rechazaron 11079 de los 339652 casos totales (3,3%). Entre los casos confirmados, los registros descartados representaron el 2,7%.</w:t>
      </w:r>
      <w:r w:rsidR="00FF5ABB">
        <w:rPr>
          <w:rFonts w:ascii="Times New Roman" w:hAnsi="Times New Roman" w:cs="Times New Roman"/>
          <w:sz w:val="24"/>
          <w:szCs w:val="24"/>
        </w:rPr>
        <w:t xml:space="preserve"> Además, se hallaron 14 casos con error de carga en la fecha de clasificación </w:t>
      </w:r>
      <w:commentRangeStart w:id="3"/>
      <w:r w:rsidR="00FF5ABB">
        <w:rPr>
          <w:rFonts w:ascii="Times New Roman" w:hAnsi="Times New Roman" w:cs="Times New Roman"/>
          <w:sz w:val="24"/>
          <w:szCs w:val="24"/>
        </w:rPr>
        <w:t xml:space="preserve">(fecha previa al primer caso notificado en la ciudad) </w:t>
      </w:r>
      <w:commentRangeEnd w:id="3"/>
      <w:r w:rsidR="00FF5ABB">
        <w:rPr>
          <w:rStyle w:val="Refdecomentario"/>
        </w:rPr>
        <w:commentReference w:id="3"/>
      </w:r>
      <w:r w:rsidR="00FF5ABB">
        <w:rPr>
          <w:rFonts w:ascii="Times New Roman" w:hAnsi="Times New Roman" w:cs="Times New Roman"/>
          <w:sz w:val="24"/>
          <w:szCs w:val="24"/>
        </w:rPr>
        <w:t xml:space="preserve">a los que se les asignó la fecha de apertura ya que es una variable automática del sistema de notificación.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2B28974E"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commentRangeStart w:id="4"/>
      <w:r w:rsidRPr="00FF5ABB">
        <w:rPr>
          <w:rFonts w:ascii="Times New Roman" w:hAnsi="Times New Roman" w:cs="Times New Roman"/>
          <w:sz w:val="24"/>
          <w:szCs w:val="24"/>
        </w:rPr>
        <w:t>la tasa de letalidad y el porcentaje de positividad</w:t>
      </w:r>
      <w:commentRangeEnd w:id="4"/>
      <w:r>
        <w:rPr>
          <w:rStyle w:val="Refdecomentario"/>
        </w:rPr>
        <w:commentReference w:id="4"/>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3F694A0F" w14:textId="77777777"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54B09AD" w14:textId="7777777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abril 2021)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Pr>
          <w:rFonts w:ascii="Times New Roman" w:hAnsi="Times New Roman" w:cs="Times New Roman"/>
          <w:sz w:val="24"/>
          <w:szCs w:val="24"/>
        </w:rPr>
        <w:t xml:space="preserve"> periodos definidos a partir de los cambios en la incidencia semanal </w:t>
      </w:r>
      <w:r>
        <w:rPr>
          <w:rFonts w:ascii="Times New Roman" w:hAnsi="Times New Roman" w:cs="Times New Roman"/>
          <w:sz w:val="24"/>
          <w:szCs w:val="24"/>
        </w:rPr>
        <w:lastRenderedPageBreak/>
        <w:t xml:space="preserve">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3EE6FC" w14:textId="77777777" w:rsidR="00177BF9"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 El repositorio ofrece la posibilidad de actualizar los cálculos automáticamente a la información más actualizada disponible en línea.</w:t>
      </w:r>
    </w:p>
    <w:p w14:paraId="54301AFA" w14:textId="77777777" w:rsidR="00AD2E4B" w:rsidRPr="00346BD3" w:rsidRDefault="00AD2E4B" w:rsidP="00AD2E4B">
      <w:pPr>
        <w:spacing w:before="240" w:line="480" w:lineRule="auto"/>
        <w:contextualSpacing/>
        <w:jc w:val="both"/>
        <w:rPr>
          <w:rFonts w:ascii="Times New Roman" w:hAnsi="Times New Roman" w:cs="Times New Roman"/>
          <w:sz w:val="24"/>
          <w:szCs w:val="24"/>
        </w:rPr>
      </w:pPr>
    </w:p>
    <w:p w14:paraId="5487C2F5" w14:textId="77777777" w:rsidR="00DD6046" w:rsidRDefault="00A00385" w:rsidP="00DE13F5">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774F1E8C" w14:textId="486A3CD1"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t xml:space="preserve">A 30 de noviembre de 2022,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w:t>
      </w:r>
      <w:r w:rsidR="00225DD9" w:rsidRPr="00B831B9">
        <w:rPr>
          <w:rFonts w:ascii="Times New Roman" w:hAnsi="Times New Roman" w:cs="Times New Roman"/>
          <w:sz w:val="24"/>
          <w:szCs w:val="24"/>
          <w:highlight w:val="yellow"/>
        </w:rPr>
        <w:t xml:space="preserve"> </w:t>
      </w:r>
      <w:r w:rsidR="00225DD9" w:rsidRPr="00B831B9">
        <w:rPr>
          <w:rFonts w:ascii="Times New Roman" w:hAnsi="Times New Roman" w:cs="Times New Roman"/>
          <w:sz w:val="24"/>
          <w:szCs w:val="24"/>
          <w:highlight w:val="yellow"/>
        </w:rPr>
        <w:t>(</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r w:rsidR="00225DD9" w:rsidRPr="00B831B9">
        <w:rPr>
          <w:rFonts w:ascii="Times New Roman" w:hAnsi="Times New Roman" w:cs="Times New Roman"/>
          <w:sz w:val="24"/>
          <w:szCs w:val="24"/>
          <w:highlight w:val="yellow"/>
        </w:rPr>
        <w:t>.</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5"/>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w:t>
      </w:r>
      <w:r w:rsidR="00091BF9" w:rsidRPr="00091BF9">
        <w:rPr>
          <w:rFonts w:ascii="Times New Roman" w:hAnsi="Times New Roman" w:cs="Times New Roman"/>
          <w:sz w:val="24"/>
          <w:szCs w:val="24"/>
        </w:rPr>
        <w:t xml:space="preserve"> </w:t>
      </w:r>
      <w:commentRangeEnd w:id="5"/>
      <w:r w:rsidR="00091BF9">
        <w:rPr>
          <w:rStyle w:val="Refdecomentario"/>
        </w:rPr>
        <w:commentReference w:id="5"/>
      </w:r>
      <w:r w:rsidR="00091BF9" w:rsidRPr="00091BF9">
        <w:rPr>
          <w:rFonts w:ascii="Times New Roman" w:hAnsi="Times New Roman" w:cs="Times New Roman"/>
          <w:sz w:val="24"/>
          <w:szCs w:val="24"/>
        </w:rPr>
        <w:t xml:space="preserve">presentó una </w:t>
      </w:r>
      <w:r w:rsidR="00091BF9" w:rsidRPr="00091BF9">
        <w:rPr>
          <w:rFonts w:ascii="Times New Roman" w:hAnsi="Times New Roman" w:cs="Times New Roman"/>
          <w:sz w:val="24"/>
          <w:szCs w:val="24"/>
        </w:rPr>
        <w:lastRenderedPageBreak/>
        <w:t xml:space="preserve">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w:t>
      </w:r>
      <w:r>
        <w:rPr>
          <w:rFonts w:ascii="Times New Roman" w:hAnsi="Times New Roman" w:cs="Times New Roman"/>
          <w:sz w:val="24"/>
          <w:szCs w:val="24"/>
        </w:rPr>
        <w:lastRenderedPageBreak/>
        <w:t xml:space="preserve">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6"/>
      <w:r w:rsidRPr="00450930">
        <w:rPr>
          <w:rFonts w:ascii="Times New Roman" w:hAnsi="Times New Roman" w:cs="Times New Roman"/>
          <w:sz w:val="24"/>
          <w:szCs w:val="24"/>
          <w:highlight w:val="cyan"/>
        </w:rPr>
        <w:t>Los dos grupos de edad más desiguales son los de 20 a 24 años, donde la incidencia de la comuna más desfavorecida representa 2,7 veces la de la mejor situación (RR = 2,7, IC95% 2,4 - 3,0) y el grupo de 25 a 29 años, donde el primero representa 2,3 veces el segundo (RR = 2,3, IC95% 2,1 - 2,5).</w:t>
      </w:r>
      <w:commentRangeEnd w:id="6"/>
      <w:r>
        <w:rPr>
          <w:rStyle w:val="Refdecomentario"/>
        </w:rPr>
        <w:commentReference w:id="6"/>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7"/>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7"/>
      <w:r w:rsidR="002B7E89">
        <w:rPr>
          <w:rStyle w:val="Refdecomentario"/>
        </w:rPr>
        <w:commentReference w:id="7"/>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promedio.</w:t>
      </w:r>
      <w:r w:rsidR="00B3511A">
        <w:rPr>
          <w:rFonts w:ascii="Times New Roman" w:hAnsi="Times New Roman" w:cs="Times New Roman"/>
          <w:sz w:val="24"/>
          <w:szCs w:val="24"/>
        </w:rPr>
        <w:t xml:space="preserve">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4F1652ED" w14:textId="77777777" w:rsidR="00842BAA"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 xml:space="preserve">En relación a la mortalidad, el porcentaje varió entre </w:t>
      </w:r>
      <w:commentRangeStart w:id="8"/>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w:t>
      </w:r>
      <w:commentRangeEnd w:id="8"/>
      <w:r w:rsidR="00842BAA">
        <w:rPr>
          <w:rStyle w:val="Refdecomentario"/>
        </w:rPr>
        <w:commentReference w:id="8"/>
      </w:r>
      <w:r w:rsidRPr="002B7E89">
        <w:rPr>
          <w:rFonts w:ascii="Times New Roman" w:hAnsi="Times New Roman" w:cs="Times New Roman"/>
          <w:sz w:val="24"/>
          <w:szCs w:val="24"/>
        </w:rPr>
        <w:t xml:space="preserve">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commentRangeStart w:id="9"/>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9"/>
      <w:r>
        <w:rPr>
          <w:rStyle w:val="Refdecomentario"/>
        </w:rPr>
        <w:commentReference w:id="9"/>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564CDE48" w:rsidR="00384A8F" w:rsidRPr="002B7E89" w:rsidRDefault="00192B6D"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Al analizar la letalidad por</w:t>
      </w:r>
      <w:r w:rsidR="002B7E89" w:rsidRPr="002B7E89">
        <w:rPr>
          <w:rFonts w:ascii="Times New Roman" w:hAnsi="Times New Roman" w:cs="Times New Roman"/>
          <w:sz w:val="24"/>
          <w:szCs w:val="24"/>
        </w:rPr>
        <w:t xml:space="preserve"> grupos de edad, como se muestra en la Figura X. </w:t>
      </w:r>
      <w:r>
        <w:rPr>
          <w:rFonts w:ascii="Times New Roman" w:hAnsi="Times New Roman" w:cs="Times New Roman"/>
          <w:sz w:val="24"/>
          <w:szCs w:val="24"/>
        </w:rPr>
        <w:t xml:space="preserve"> en </w:t>
      </w:r>
      <w:r w:rsidR="002B7E89" w:rsidRPr="002B7E89">
        <w:rPr>
          <w:rFonts w:ascii="Times New Roman" w:hAnsi="Times New Roman" w:cs="Times New Roman"/>
          <w:sz w:val="24"/>
          <w:szCs w:val="24"/>
        </w:rPr>
        <w:t>los grupos de edad mayores de 60 años, se encontró que la concentración en las comunas más desfavorecidas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10"/>
      <w:r w:rsidRPr="007905F6">
        <w:rPr>
          <w:rFonts w:ascii="Times New Roman" w:hAnsi="Times New Roman" w:cs="Times New Roman"/>
          <w:b/>
          <w:sz w:val="24"/>
          <w:szCs w:val="24"/>
        </w:rPr>
        <w:t>AGREGAR INDEX</w:t>
      </w:r>
      <w:commentRangeEnd w:id="10"/>
      <w:r w:rsidR="00192B6D">
        <w:rPr>
          <w:rStyle w:val="Refdecomentario"/>
        </w:rPr>
        <w:commentReference w:id="10"/>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lastRenderedPageBreak/>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77777777" w:rsidR="00EE64E1" w:rsidRDefault="00EE64E1" w:rsidP="0016684F">
      <w:pPr>
        <w:spacing w:after="0" w:line="480" w:lineRule="auto"/>
        <w:contextualSpacing/>
        <w:jc w:val="both"/>
        <w:rPr>
          <w:rFonts w:ascii="Times New Roman" w:hAnsi="Times New Roman" w:cs="Times New Roman"/>
          <w:sz w:val="24"/>
          <w:szCs w:val="24"/>
        </w:rPr>
      </w:pPr>
    </w:p>
    <w:p w14:paraId="70C27C9E" w14:textId="5A4B92D2"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w:t>
      </w:r>
      <w:proofErr w:type="spellStart"/>
      <w:r w:rsidRPr="00CF6871">
        <w:rPr>
          <w:rFonts w:ascii="Times New Roman" w:hAnsi="Times New Roman" w:cs="Times New Roman"/>
          <w:sz w:val="24"/>
          <w:szCs w:val="24"/>
        </w:rPr>
        <w:t>de</w:t>
      </w:r>
      <w:proofErr w:type="spellEnd"/>
      <w:r w:rsidRPr="00CF6871">
        <w:rPr>
          <w:rFonts w:ascii="Times New Roman" w:hAnsi="Times New Roman" w:cs="Times New Roman"/>
          <w:sz w:val="24"/>
          <w:szCs w:val="24"/>
        </w:rPr>
        <w:t xml:space="preserve"> la zona sur 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la fallecidos. </w:t>
      </w:r>
      <w:commentRangeStart w:id="11"/>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w:t>
      </w:r>
      <w:commentRangeEnd w:id="11"/>
      <w:r>
        <w:rPr>
          <w:rStyle w:val="Refdecomentario"/>
        </w:rPr>
        <w:commentReference w:id="11"/>
      </w:r>
      <w:r w:rsidRPr="00A306DB">
        <w:rPr>
          <w:rFonts w:ascii="Times New Roman" w:hAnsi="Times New Roman" w:cs="Times New Roman"/>
          <w:sz w:val="24"/>
          <w:szCs w:val="24"/>
        </w:rPr>
        <w:t xml:space="preserve"> </w:t>
      </w:r>
      <w:commentRangeStart w:id="12"/>
      <w:r w:rsidRPr="00A306DB">
        <w:rPr>
          <w:rFonts w:ascii="Times New Roman" w:hAnsi="Times New Roman" w:cs="Times New Roman"/>
          <w:sz w:val="24"/>
          <w:szCs w:val="24"/>
        </w:rPr>
        <w:t>mientras que esta acumulación se esperaba en el grupo de edad 75-59. Para otros distritos, el valor mediano estuvo en el mismo grupo de edad para las muertes observadas y esperadas, excepto para los distritos 10 (zona sur), 12 (zona central), 14 (zona 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2"/>
      <w:r>
        <w:rPr>
          <w:rStyle w:val="Refdecomentario"/>
        </w:rPr>
        <w:commentReference w:id="12"/>
      </w:r>
    </w:p>
    <w:p w14:paraId="008953F6" w14:textId="77777777" w:rsidR="003A09B7" w:rsidRPr="004C307B" w:rsidRDefault="004C307B" w:rsidP="003A09B7">
      <w:pPr>
        <w:spacing w:after="0" w:line="480" w:lineRule="auto"/>
        <w:contextualSpacing/>
        <w:jc w:val="both"/>
        <w:rPr>
          <w:rFonts w:ascii="Times New Roman" w:hAnsi="Times New Roman" w:cs="Times New Roman"/>
          <w:b/>
          <w:sz w:val="24"/>
          <w:szCs w:val="24"/>
          <w:lang w:val="en-US"/>
        </w:rPr>
      </w:pPr>
      <w:r w:rsidRPr="004C307B">
        <w:rPr>
          <w:rFonts w:ascii="Times New Roman" w:hAnsi="Times New Roman" w:cs="Times New Roman"/>
          <w:b/>
          <w:sz w:val="24"/>
          <w:szCs w:val="24"/>
          <w:lang w:val="en-US"/>
        </w:rPr>
        <w:t>DISCUSSION</w:t>
      </w:r>
    </w:p>
    <w:p w14:paraId="2F66A689" w14:textId="77777777" w:rsidR="001C6486" w:rsidRPr="001C6486" w:rsidRDefault="001C6486" w:rsidP="006D6DC4">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lastRenderedPageBreak/>
        <w:t xml:space="preserve">The findings of the present study highlight the disadvantageous situation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of the so-called "southern zone" of </w:t>
      </w:r>
      <w:r w:rsidR="004C307B">
        <w:rPr>
          <w:rFonts w:ascii="Times New Roman" w:hAnsi="Times New Roman" w:cs="Times New Roman"/>
          <w:sz w:val="24"/>
          <w:szCs w:val="24"/>
          <w:lang w:val="en-US"/>
        </w:rPr>
        <w:t>CABA</w:t>
      </w:r>
      <w:r w:rsidRPr="001C6486">
        <w:rPr>
          <w:rFonts w:ascii="Times New Roman" w:hAnsi="Times New Roman" w:cs="Times New Roman"/>
          <w:sz w:val="24"/>
          <w:szCs w:val="24"/>
          <w:lang w:val="en-US"/>
        </w:rPr>
        <w:t xml:space="preserve">. It could be described how the accumulated incidence of COVID-19 at xxx days of the epidemic development is higher in the communes that conform that zone. Inequality increases among young adults, reaching great magnitude as the specific rates of these groups double in the most deprived commune compared to the one with the best income in the city. Levels of positivity higher than those of the jurisdiction were also observed in all the communes of the southern zone, although this phenomenon could also be detected in communes of the central zone. In relation to the </w:t>
      </w:r>
      <w:r w:rsidR="004C307B">
        <w:rPr>
          <w:rFonts w:ascii="Times New Roman" w:hAnsi="Times New Roman" w:cs="Times New Roman"/>
          <w:sz w:val="24"/>
          <w:szCs w:val="24"/>
          <w:lang w:val="en-US"/>
        </w:rPr>
        <w:t>fatality</w:t>
      </w:r>
      <w:r w:rsidRPr="001C6486">
        <w:rPr>
          <w:rFonts w:ascii="Times New Roman" w:hAnsi="Times New Roman" w:cs="Times New Roman"/>
          <w:sz w:val="24"/>
          <w:szCs w:val="24"/>
          <w:lang w:val="en-US"/>
        </w:rPr>
        <w:t xml:space="preserve">, a lower level of heterogeneity was observed, finding non-significant differences between </w:t>
      </w:r>
      <w:r w:rsidR="004C307B">
        <w:rPr>
          <w:rFonts w:ascii="Times New Roman" w:hAnsi="Times New Roman" w:cs="Times New Roman"/>
          <w:sz w:val="24"/>
          <w:szCs w:val="24"/>
          <w:lang w:val="en-US"/>
        </w:rPr>
        <w:t>most</w:t>
      </w:r>
      <w:r w:rsidRPr="001C6486">
        <w:rPr>
          <w:rFonts w:ascii="Times New Roman" w:hAnsi="Times New Roman" w:cs="Times New Roman"/>
          <w:sz w:val="24"/>
          <w:szCs w:val="24"/>
          <w:lang w:val="en-US"/>
        </w:rPr>
        <w:t xml:space="preserve">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In any case, differences were observed between the columns of extreme values, although in the opposite direction to that observed in the phenomena described above. In this case the best position was occupied by a </w:t>
      </w:r>
      <w:r w:rsidR="004C307B">
        <w:rPr>
          <w:rFonts w:ascii="Times New Roman" w:hAnsi="Times New Roman" w:cs="Times New Roman"/>
          <w:sz w:val="24"/>
          <w:szCs w:val="24"/>
          <w:lang w:val="en-US"/>
        </w:rPr>
        <w:t>ward</w:t>
      </w:r>
      <w:r w:rsidRPr="001C6486">
        <w:rPr>
          <w:rFonts w:ascii="Times New Roman" w:hAnsi="Times New Roman" w:cs="Times New Roman"/>
          <w:sz w:val="24"/>
          <w:szCs w:val="24"/>
          <w:lang w:val="en-US"/>
        </w:rPr>
        <w:t xml:space="preserve"> in the southern zone which, in turn, was located in the third worst place in relation to the average income of the families living there. In any case, observing the phenomenon by age groups, higher levels of mortality were found among the older population of the most disadvantaged communes. </w:t>
      </w:r>
    </w:p>
    <w:p w14:paraId="100FA905" w14:textId="77777777" w:rsidR="004C307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The results observed are congruent with previous studies that described the southern zone of CABA as a segregated geographical area with comparatively disadvantageous conditions in terms of the aspects involved in determining the health of populations and their living conditions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w:instrText>
      </w:r>
      <w:r w:rsidR="00C22846">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00C22846"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4C307B">
        <w:rPr>
          <w:rFonts w:ascii="Times New Roman" w:hAnsi="Times New Roman" w:cs="Times New Roman"/>
          <w:noProof/>
          <w:sz w:val="24"/>
          <w:szCs w:val="24"/>
        </w:rPr>
        <w:t>(4–8)</w:t>
      </w:r>
      <w:r w:rsidR="00C22846">
        <w:rPr>
          <w:rFonts w:ascii="Times New Roman" w:hAnsi="Times New Roman" w:cs="Times New Roman"/>
          <w:sz w:val="24"/>
          <w:szCs w:val="24"/>
        </w:rPr>
        <w:fldChar w:fldCharType="end"/>
      </w:r>
      <w:r w:rsidR="00F35E47" w:rsidRPr="004C307B">
        <w:rPr>
          <w:rFonts w:ascii="Times New Roman" w:hAnsi="Times New Roman" w:cs="Times New Roman"/>
          <w:sz w:val="24"/>
          <w:szCs w:val="24"/>
        </w:rPr>
        <w:t>.</w:t>
      </w:r>
      <w:r w:rsidR="004C307B" w:rsidRPr="004C307B">
        <w:rPr>
          <w:rFonts w:ascii="Times New Roman" w:hAnsi="Times New Roman" w:cs="Times New Roman"/>
          <w:sz w:val="24"/>
          <w:szCs w:val="24"/>
        </w:rPr>
        <w:t xml:space="preserve"> Adicionalmente, los hallazgos son congruentes con lo que mostró </w:t>
      </w:r>
      <w:r w:rsidR="004C307B">
        <w:rPr>
          <w:rFonts w:ascii="Times New Roman" w:hAnsi="Times New Roman" w:cs="Times New Roman"/>
          <w:sz w:val="24"/>
          <w:szCs w:val="24"/>
        </w:rPr>
        <w:t xml:space="preserve">la encuesta de </w:t>
      </w:r>
      <w:proofErr w:type="spellStart"/>
      <w:r w:rsidR="004C307B">
        <w:rPr>
          <w:rFonts w:ascii="Times New Roman" w:hAnsi="Times New Roman" w:cs="Times New Roman"/>
          <w:sz w:val="24"/>
          <w:szCs w:val="24"/>
        </w:rPr>
        <w:t>seroprovalencia</w:t>
      </w:r>
      <w:proofErr w:type="spellEnd"/>
      <w:r w:rsidR="004C307B">
        <w:rPr>
          <w:rFonts w:ascii="Times New Roman" w:hAnsi="Times New Roman" w:cs="Times New Roman"/>
          <w:sz w:val="24"/>
          <w:szCs w:val="24"/>
        </w:rPr>
        <w:t xml:space="preserve"> realizada por el gobierno de la CABA, </w:t>
      </w:r>
      <w:r w:rsidR="00E822AC">
        <w:rPr>
          <w:rFonts w:ascii="Times New Roman" w:hAnsi="Times New Roman" w:cs="Times New Roman"/>
          <w:sz w:val="24"/>
          <w:szCs w:val="24"/>
        </w:rPr>
        <w:t xml:space="preserve">donde se constató que la proporción de población </w:t>
      </w:r>
      <w:proofErr w:type="spellStart"/>
      <w:r w:rsidR="00E822AC">
        <w:rPr>
          <w:rFonts w:ascii="Times New Roman" w:hAnsi="Times New Roman" w:cs="Times New Roman"/>
          <w:sz w:val="24"/>
          <w:szCs w:val="24"/>
        </w:rPr>
        <w:t>seroprevalente</w:t>
      </w:r>
      <w:proofErr w:type="spellEnd"/>
      <w:r w:rsidR="00E822AC">
        <w:rPr>
          <w:rFonts w:ascii="Times New Roman" w:hAnsi="Times New Roman" w:cs="Times New Roman"/>
          <w:sz w:val="24"/>
          <w:szCs w:val="24"/>
        </w:rPr>
        <w:t xml:space="preserve"> detectada en la zona sur fue 168,3% más alta que la detectada en la zona norte.</w:t>
      </w:r>
    </w:p>
    <w:p w14:paraId="43D3DC3A" w14:textId="77777777" w:rsidR="00E822AC" w:rsidRPr="00E822AC" w:rsidRDefault="00E822AC" w:rsidP="001C6486">
      <w:pPr>
        <w:spacing w:after="0" w:line="480" w:lineRule="auto"/>
        <w:contextualSpacing/>
        <w:jc w:val="both"/>
        <w:rPr>
          <w:rFonts w:ascii="Times New Roman" w:hAnsi="Times New Roman" w:cs="Times New Roman"/>
          <w:sz w:val="24"/>
          <w:szCs w:val="24"/>
          <w:lang w:val="en-US"/>
        </w:rPr>
      </w:pPr>
      <w:r w:rsidRPr="00E822AC">
        <w:rPr>
          <w:rFonts w:ascii="Times New Roman" w:hAnsi="Times New Roman" w:cs="Times New Roman"/>
          <w:sz w:val="24"/>
          <w:szCs w:val="24"/>
          <w:lang w:val="en-US"/>
        </w:rPr>
        <w:t xml:space="preserve">Additionally, the findings are congruent with what was shown by the </w:t>
      </w:r>
      <w:proofErr w:type="spellStart"/>
      <w:r w:rsidRPr="00E822AC">
        <w:rPr>
          <w:rFonts w:ascii="Times New Roman" w:hAnsi="Times New Roman" w:cs="Times New Roman"/>
          <w:sz w:val="24"/>
          <w:szCs w:val="24"/>
          <w:lang w:val="en-US"/>
        </w:rPr>
        <w:t>seroprovalence</w:t>
      </w:r>
      <w:proofErr w:type="spellEnd"/>
      <w:r w:rsidRPr="00E822AC">
        <w:rPr>
          <w:rFonts w:ascii="Times New Roman" w:hAnsi="Times New Roman" w:cs="Times New Roman"/>
          <w:sz w:val="24"/>
          <w:szCs w:val="24"/>
          <w:lang w:val="en-US"/>
        </w:rPr>
        <w:t xml:space="preserve"> survey carried out by the CABA government, which found that the proportion of the </w:t>
      </w:r>
      <w:proofErr w:type="spellStart"/>
      <w:r w:rsidRPr="00E822AC">
        <w:rPr>
          <w:rFonts w:ascii="Times New Roman" w:hAnsi="Times New Roman" w:cs="Times New Roman"/>
          <w:sz w:val="24"/>
          <w:szCs w:val="24"/>
          <w:lang w:val="en-US"/>
        </w:rPr>
        <w:t>seroprevalent</w:t>
      </w:r>
      <w:proofErr w:type="spellEnd"/>
      <w:r w:rsidRPr="00E822AC">
        <w:rPr>
          <w:rFonts w:ascii="Times New Roman" w:hAnsi="Times New Roman" w:cs="Times New Roman"/>
          <w:sz w:val="24"/>
          <w:szCs w:val="24"/>
          <w:lang w:val="en-US"/>
        </w:rPr>
        <w:t xml:space="preserve"> population detected in the southern zone was 168.3% higher than that detected in the northern zone</w:t>
      </w:r>
      <w:r>
        <w:rPr>
          <w:rFonts w:ascii="Times New Roman" w:hAnsi="Times New Roman" w:cs="Times New Roman"/>
          <w:sz w:val="24"/>
          <w:szCs w:val="24"/>
          <w:lang w:val="en-US"/>
        </w:rPr>
        <w:t xml:space="preserve"> </w:t>
      </w:r>
      <w:r w:rsidRPr="00E822AC">
        <w:rPr>
          <w:rFonts w:ascii="Times New Roman" w:hAnsi="Times New Roman" w:cs="Times New Roman"/>
          <w:sz w:val="24"/>
          <w:szCs w:val="24"/>
          <w:highlight w:val="yellow"/>
          <w:lang w:val="en-US"/>
        </w:rPr>
        <w:t>(CITA)</w:t>
      </w:r>
      <w:r w:rsidRPr="00E822AC">
        <w:rPr>
          <w:rFonts w:ascii="Times New Roman" w:hAnsi="Times New Roman" w:cs="Times New Roman"/>
          <w:sz w:val="24"/>
          <w:szCs w:val="24"/>
          <w:lang w:val="en-US"/>
        </w:rPr>
        <w:t>.</w:t>
      </w:r>
    </w:p>
    <w:p w14:paraId="31B47021" w14:textId="77777777" w:rsidR="004C307B" w:rsidRPr="00E822AC" w:rsidRDefault="004C307B" w:rsidP="001C6486">
      <w:pPr>
        <w:spacing w:after="0" w:line="480" w:lineRule="auto"/>
        <w:contextualSpacing/>
        <w:jc w:val="both"/>
        <w:rPr>
          <w:rFonts w:ascii="Times New Roman" w:hAnsi="Times New Roman" w:cs="Times New Roman"/>
          <w:sz w:val="24"/>
          <w:szCs w:val="24"/>
          <w:lang w:val="en-US"/>
        </w:rPr>
      </w:pPr>
    </w:p>
    <w:p w14:paraId="723E760E" w14:textId="77777777" w:rsidR="00F35E47" w:rsidRDefault="00F35E47" w:rsidP="001C6486">
      <w:pPr>
        <w:spacing w:after="0" w:line="480" w:lineRule="auto"/>
        <w:contextualSpacing/>
        <w:jc w:val="both"/>
        <w:rPr>
          <w:rFonts w:ascii="Times New Roman" w:hAnsi="Times New Roman" w:cs="Times New Roman"/>
          <w:sz w:val="24"/>
          <w:szCs w:val="24"/>
        </w:rPr>
      </w:pPr>
      <w:r w:rsidRPr="00E822AC">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It is possible that this context is the result of a structuring element such as the material conditions of existence which, as seen in this study, were shown to be associated with the differential impact of the epidemic, its measurement having been approximated by the average family income in each commune. A similar situation had been observed for morbidity in Barcelona</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(12)</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and mortality in the United Kingdom</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{"citationItems":[{"id":"ITEM-1","itemData":{"DOI":"10.1111/1475-5890.12232","abstract":"Abstract This paper brings together</w:instrText>
      </w:r>
      <w:r w:rsidR="00C22846" w:rsidRPr="00A463E3">
        <w:rPr>
          <w:rFonts w:ascii="Times New Roman" w:hAnsi="Times New Roman" w:cs="Times New Roman"/>
          <w:sz w:val="24"/>
          <w:szCs w:val="24"/>
          <w:lang w:val="en-US"/>
        </w:rPr>
        <w:instrText xml:space="preserve">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w:instrText>
      </w:r>
      <w:r w:rsidR="00C22846">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14:paraId="6143EFA5" w14:textId="77777777" w:rsidR="00E822AC" w:rsidRDefault="00E822AC" w:rsidP="001C6486">
      <w:pPr>
        <w:spacing w:after="0" w:line="480" w:lineRule="auto"/>
        <w:contextualSpacing/>
        <w:jc w:val="both"/>
        <w:rPr>
          <w:rFonts w:ascii="Times New Roman" w:hAnsi="Times New Roman" w:cs="Times New Roman"/>
          <w:sz w:val="24"/>
          <w:szCs w:val="24"/>
        </w:rPr>
      </w:pPr>
    </w:p>
    <w:p w14:paraId="064D70D3" w14:textId="77777777" w:rsidR="00DE3FA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A notable finding is the higher incidence of COVID-19 among young adults in the southern communes of CABA. While the design of this research does not allow for individual-level associations, it could be hypothesized that, as described to Chicago's Hispanic population in Kim's study</w:t>
      </w:r>
      <w:r w:rsidR="00C22846"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EE0CA3" w:rsidRPr="001C6486">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(10)</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C6486">
        <w:rPr>
          <w:rFonts w:ascii="Times New Roman" w:hAnsi="Times New Roman" w:cs="Times New Roman"/>
          <w:sz w:val="24"/>
          <w:szCs w:val="24"/>
          <w:lang w:val="en-US"/>
        </w:rPr>
        <w:t>here are higher levels of exposure among workers in vulnerable areas due to the greater insertion (in relative terms) in sectors linked to the informal economy (with less compliance with protocols) and to essential tasks (security, cleaning, nursing). Another element is comorbidity: unfavorable living conditions are associated with less detection and higher prevalence of chronic non</w:t>
      </w:r>
      <w:r>
        <w:rPr>
          <w:rFonts w:ascii="Times New Roman" w:hAnsi="Times New Roman" w:cs="Times New Roman"/>
          <w:sz w:val="24"/>
          <w:szCs w:val="24"/>
          <w:lang w:val="en-US"/>
        </w:rPr>
        <w:t>-</w:t>
      </w:r>
      <w:r w:rsidRPr="001C6486">
        <w:rPr>
          <w:rFonts w:ascii="Times New Roman" w:hAnsi="Times New Roman" w:cs="Times New Roman"/>
          <w:sz w:val="24"/>
          <w:szCs w:val="24"/>
          <w:lang w:val="en-US"/>
        </w:rPr>
        <w:t>communicable diseases that act as comorbidities of COVID-19, worsening the prognosis in the evolution of the disease</w:t>
      </w:r>
      <w:r w:rsidR="00EE0CA3"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9A11C8" w:rsidRPr="001C6486">
        <w:rPr>
          <w:rFonts w:ascii="Times New Roman" w:hAnsi="Times New Roman" w:cs="Times New Roman"/>
          <w:sz w:val="24"/>
          <w:szCs w:val="24"/>
          <w:lang w:val="en-US"/>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w:instrText>
      </w:r>
      <w:r w:rsidR="009A11C8">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9A11C8" w:rsidRPr="009A11C8">
        <w:rPr>
          <w:rFonts w:ascii="Times New Roman" w:hAnsi="Times New Roman" w:cs="Times New Roman"/>
          <w:noProof/>
          <w:sz w:val="24"/>
          <w:szCs w:val="24"/>
        </w:rPr>
        <w:t>(23)</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14:paraId="63EE06FF" w14:textId="77777777" w:rsidR="00E822AC" w:rsidRDefault="00E822AC" w:rsidP="001C6486">
      <w:pPr>
        <w:spacing w:after="0" w:line="480" w:lineRule="auto"/>
        <w:contextualSpacing/>
        <w:jc w:val="both"/>
        <w:rPr>
          <w:rFonts w:ascii="Times New Roman" w:hAnsi="Times New Roman" w:cs="Times New Roman"/>
          <w:sz w:val="24"/>
          <w:szCs w:val="24"/>
        </w:rPr>
      </w:pPr>
    </w:p>
    <w:p w14:paraId="3D8F5541" w14:textId="77777777"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The results of this study call into question some of the underlying logics of government and media discourses about the cross-cutting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w:t>
      </w:r>
      <w:r w:rsidRPr="001C6486">
        <w:rPr>
          <w:rFonts w:ascii="Times New Roman" w:hAnsi="Times New Roman" w:cs="Times New Roman"/>
          <w:sz w:val="24"/>
          <w:szCs w:val="24"/>
          <w:lang w:val="en-US"/>
        </w:rPr>
        <w:lastRenderedPageBreak/>
        <w:t xml:space="preserve">virus, fear and war metaphors, for example. On the other hand, the description of mortality through indicators adjusted by age, 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14:paraId="3EC678AD" w14:textId="77777777" w:rsidR="00E822AC" w:rsidRDefault="00E822AC" w:rsidP="001C6486">
      <w:pPr>
        <w:spacing w:after="0" w:line="480" w:lineRule="auto"/>
        <w:contextualSpacing/>
        <w:jc w:val="both"/>
        <w:rPr>
          <w:rFonts w:ascii="Times New Roman" w:hAnsi="Times New Roman" w:cs="Times New Roman"/>
          <w:sz w:val="24"/>
          <w:szCs w:val="24"/>
          <w:lang w:val="en-US"/>
        </w:rPr>
      </w:pPr>
    </w:p>
    <w:p w14:paraId="5F106B6C" w14:textId="77777777" w:rsid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fundamental </w:t>
      </w:r>
      <w:r w:rsidR="00E822AC">
        <w:rPr>
          <w:rFonts w:ascii="Times New Roman" w:hAnsi="Times New Roman" w:cs="Times New Roman"/>
          <w:sz w:val="24"/>
          <w:szCs w:val="24"/>
          <w:lang w:val="en-US"/>
        </w:rPr>
        <w:t>weakness</w:t>
      </w:r>
      <w:r w:rsidRPr="001C6486">
        <w:rPr>
          <w:rFonts w:ascii="Times New Roman" w:hAnsi="Times New Roman" w:cs="Times New Roman"/>
          <w:sz w:val="24"/>
          <w:szCs w:val="24"/>
          <w:lang w:val="en-US"/>
        </w:rPr>
        <w:t xml:space="preserve"> of this study lies in the </w:t>
      </w:r>
      <w:r w:rsidR="00E822AC">
        <w:rPr>
          <w:rFonts w:ascii="Times New Roman" w:hAnsi="Times New Roman" w:cs="Times New Roman"/>
          <w:sz w:val="24"/>
          <w:szCs w:val="24"/>
          <w:lang w:val="en-US"/>
        </w:rPr>
        <w:t xml:space="preserve">limitations </w:t>
      </w:r>
      <w:r w:rsidRPr="001C6486">
        <w:rPr>
          <w:rFonts w:ascii="Times New Roman" w:hAnsi="Times New Roman" w:cs="Times New Roman"/>
          <w:sz w:val="24"/>
          <w:szCs w:val="24"/>
          <w:lang w:val="en-US"/>
        </w:rPr>
        <w:t xml:space="preserve">of its methodology. Aggregate studies allow the establishment of correlational hypotheses, but do not measure risk factors or causalities at the individual level. </w:t>
      </w:r>
      <w:r w:rsidR="00E822AC">
        <w:rPr>
          <w:rFonts w:ascii="Times New Roman" w:hAnsi="Times New Roman" w:cs="Times New Roman"/>
          <w:sz w:val="24"/>
          <w:szCs w:val="24"/>
          <w:lang w:val="en-US"/>
        </w:rPr>
        <w:t xml:space="preserve">Then, </w:t>
      </w:r>
      <w:r w:rsidRPr="001C6486">
        <w:rPr>
          <w:rFonts w:ascii="Times New Roman" w:hAnsi="Times New Roman" w:cs="Times New Roman"/>
          <w:sz w:val="24"/>
          <w:szCs w:val="24"/>
          <w:lang w:val="en-US"/>
        </w:rPr>
        <w:t xml:space="preserve">results are of a descriptive scope, which is a limitation when designing interventions. In this sense, it is necessary to highlight a general limitation anchored in the characteristics of health information systems: quantitative approaches to the evolution of the epidemic are based on epidemiological surveillance systems that in many cases present coverage and integrity problems. On the other hand, it must be taken into account that throughout the pandemic, the national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have been modifying the definitions of "</w:t>
      </w:r>
      <w:r w:rsidR="00E822AC">
        <w:rPr>
          <w:rFonts w:ascii="Times New Roman" w:hAnsi="Times New Roman" w:cs="Times New Roman"/>
          <w:sz w:val="24"/>
          <w:szCs w:val="24"/>
          <w:lang w:val="en-US"/>
        </w:rPr>
        <w:t>probable</w:t>
      </w:r>
      <w:r w:rsidRPr="001C6486">
        <w:rPr>
          <w:rFonts w:ascii="Times New Roman" w:hAnsi="Times New Roman" w:cs="Times New Roman"/>
          <w:sz w:val="24"/>
          <w:szCs w:val="24"/>
          <w:lang w:val="en-US"/>
        </w:rPr>
        <w:t xml:space="preserve"> case" and "confirmed case", which impacts the detection capacity of the surveillance systems. Nor can it be ignored that the purpose of generating data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is not investigative, but rather surveillance, so that often there are procedures that are not sufficiently refined, such as those for determining the basic cause of death or the existence of comorbidities.</w:t>
      </w:r>
    </w:p>
    <w:p w14:paraId="13F601A1" w14:textId="77777777" w:rsidR="00E822AC" w:rsidRPr="001C6486" w:rsidRDefault="00E822AC" w:rsidP="001C6486">
      <w:pPr>
        <w:spacing w:after="0" w:line="480" w:lineRule="auto"/>
        <w:contextualSpacing/>
        <w:jc w:val="both"/>
        <w:rPr>
          <w:rFonts w:ascii="Times New Roman" w:hAnsi="Times New Roman" w:cs="Times New Roman"/>
          <w:sz w:val="24"/>
          <w:szCs w:val="24"/>
          <w:lang w:val="en-US"/>
        </w:rPr>
      </w:pPr>
    </w:p>
    <w:p w14:paraId="5FA92679" w14:textId="77777777"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sidRPr="00E822AC">
        <w:rPr>
          <w:rFonts w:ascii="Times New Roman" w:hAnsi="Times New Roman" w:cs="Times New Roman"/>
          <w:sz w:val="24"/>
          <w:szCs w:val="24"/>
          <w:highlight w:val="yellow"/>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mortality by COVID-19 validates the idea of drastically reinforcing public policies aimed at guaranteeing 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03T16:07:00Z" w:initials="vp">
    <w:p w14:paraId="1E4F0525" w14:textId="77777777" w:rsidR="00FF5ABB" w:rsidRDefault="00FF5ABB">
      <w:pPr>
        <w:pStyle w:val="Textocomentario"/>
      </w:pPr>
      <w:r>
        <w:rPr>
          <w:rStyle w:val="Refdecomentario"/>
        </w:rPr>
        <w:annotationRef/>
      </w:r>
      <w:r>
        <w:t xml:space="preserve">Ver si cambiar el concepto por </w:t>
      </w:r>
      <w:proofErr w:type="spellStart"/>
      <w:r>
        <w:t>mas</w:t>
      </w:r>
      <w:proofErr w:type="spellEnd"/>
      <w:r>
        <w:t xml:space="preserve"> pobres o </w:t>
      </w:r>
      <w:proofErr w:type="spellStart"/>
      <w:r>
        <w:t>mas</w:t>
      </w:r>
      <w:proofErr w:type="spellEnd"/>
      <w:r>
        <w:t xml:space="preserve"> vulnerables</w:t>
      </w:r>
    </w:p>
  </w:comment>
  <w:comment w:id="1" w:author="velen pennini" w:date="2021-05-03T16:16:00Z" w:initials="vp">
    <w:p w14:paraId="58851BE8" w14:textId="77777777" w:rsidR="00FF5ABB" w:rsidRDefault="00FF5ABB">
      <w:pPr>
        <w:pStyle w:val="Textocomentario"/>
      </w:pPr>
      <w:r>
        <w:rPr>
          <w:rStyle w:val="Refdecomentario"/>
        </w:rPr>
        <w:annotationRef/>
      </w:r>
      <w:r>
        <w:t>Chequear esto</w:t>
      </w:r>
    </w:p>
  </w:comment>
  <w:comment w:id="3" w:author="velen pennini" w:date="2021-05-03T20:51:00Z" w:initials="vp">
    <w:p w14:paraId="379943A2" w14:textId="77777777" w:rsidR="00FF5ABB" w:rsidRDefault="00FF5ABB" w:rsidP="00FF5ABB">
      <w:pPr>
        <w:pStyle w:val="Textocomentario"/>
      </w:pPr>
      <w:r>
        <w:rPr>
          <w:rStyle w:val="Refdecomentario"/>
        </w:rPr>
        <w:annotationRef/>
      </w:r>
      <w:r>
        <w:t>Generalmente fue un error en la carga del año</w:t>
      </w:r>
    </w:p>
  </w:comment>
  <w:comment w:id="4" w:author="velen pennini" w:date="2021-05-03T20:55:00Z" w:initials="vp">
    <w:p w14:paraId="0DC47599" w14:textId="77777777" w:rsidR="00FF5ABB" w:rsidRDefault="00FF5ABB">
      <w:pPr>
        <w:pStyle w:val="Textocomentario"/>
      </w:pPr>
      <w:r>
        <w:rPr>
          <w:rStyle w:val="Refdecomentario"/>
        </w:rPr>
        <w:annotationRef/>
      </w:r>
      <w:proofErr w:type="gramStart"/>
      <w:r>
        <w:t>Definirlos?</w:t>
      </w:r>
      <w:proofErr w:type="gramEnd"/>
    </w:p>
    <w:p w14:paraId="44E01698" w14:textId="77777777" w:rsidR="00FF5ABB" w:rsidRDefault="00FF5ABB">
      <w:pPr>
        <w:pStyle w:val="Textocomentario"/>
      </w:pPr>
    </w:p>
  </w:comment>
  <w:comment w:id="5" w:author="velen pennini" w:date="2021-05-03T21:44:00Z" w:initials="vp">
    <w:p w14:paraId="63CF9EE8" w14:textId="77777777" w:rsidR="00091BF9" w:rsidRDefault="00091BF9">
      <w:pPr>
        <w:pStyle w:val="Textocomentario"/>
      </w:pPr>
      <w:r>
        <w:rPr>
          <w:rStyle w:val="Refdecomentario"/>
        </w:rPr>
        <w:annotationRef/>
      </w:r>
      <w:r>
        <w:t>Ver sino poner la abreviatura del índice</w:t>
      </w:r>
    </w:p>
  </w:comment>
  <w:comment w:id="6" w:author="velen pennini" w:date="2021-05-04T00:19:00Z" w:initials="vp">
    <w:p w14:paraId="30495FF6" w14:textId="7EFC8F79" w:rsidR="00450930" w:rsidRDefault="00450930">
      <w:pPr>
        <w:pStyle w:val="Textocomentario"/>
      </w:pPr>
      <w:r>
        <w:rPr>
          <w:rStyle w:val="Refdecomentario"/>
        </w:rPr>
        <w:annotationRef/>
      </w:r>
      <w:r>
        <w:t>Esto es lo viejo, ver si poner razón de tasas.</w:t>
      </w:r>
    </w:p>
  </w:comment>
  <w:comment w:id="7" w:author="velen pennini" w:date="2021-05-04T00:46:00Z" w:initials="vp">
    <w:p w14:paraId="1ED9BAA7" w14:textId="7059A32C" w:rsidR="002B7E89" w:rsidRDefault="002B7E89">
      <w:pPr>
        <w:pStyle w:val="Textocomentario"/>
      </w:pPr>
      <w:r>
        <w:rPr>
          <w:rStyle w:val="Refdecomentario"/>
        </w:rPr>
        <w:annotationRef/>
      </w:r>
      <w:r>
        <w:t>Esto hay que actualizar</w:t>
      </w:r>
    </w:p>
  </w:comment>
  <w:comment w:id="8" w:author="velen pennini" w:date="2021-05-04T00:55:00Z" w:initials="vp">
    <w:p w14:paraId="5143F279" w14:textId="1D0BCEA3" w:rsidR="00842BAA" w:rsidRDefault="00842BAA">
      <w:pPr>
        <w:pStyle w:val="Textocomentario"/>
      </w:pPr>
      <w:r>
        <w:rPr>
          <w:rStyle w:val="Refdecomentario"/>
        </w:rPr>
        <w:annotationRef/>
      </w:r>
      <w:r>
        <w:t xml:space="preserve">No entiendo si esto es </w:t>
      </w:r>
      <w:proofErr w:type="spellStart"/>
      <w:r>
        <w:t>rme</w:t>
      </w:r>
      <w:proofErr w:type="spellEnd"/>
    </w:p>
  </w:comment>
  <w:comment w:id="9" w:author="velen pennini" w:date="2021-05-04T00:54:00Z" w:initials="vp">
    <w:p w14:paraId="54D75C64" w14:textId="27EEC373" w:rsidR="002B7E89" w:rsidRDefault="002B7E89">
      <w:pPr>
        <w:pStyle w:val="Textocomentario"/>
      </w:pPr>
      <w:r>
        <w:rPr>
          <w:rStyle w:val="Refdecomentario"/>
        </w:rPr>
        <w:annotationRef/>
      </w:r>
      <w:r>
        <w:t xml:space="preserve">Ver </w:t>
      </w:r>
      <w:r w:rsidR="00842BAA">
        <w:t xml:space="preserve">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w:t>
      </w:r>
      <w:r w:rsidR="00192B6D">
        <w:t xml:space="preserve">de casos y por tanto un descenso en la letalidad. </w:t>
      </w:r>
    </w:p>
  </w:comment>
  <w:comment w:id="10" w:author="velen pennini" w:date="2021-05-04T01:08:00Z" w:initials="vp">
    <w:p w14:paraId="5DF85C93" w14:textId="384AF1D9" w:rsidR="00192B6D" w:rsidRDefault="00192B6D">
      <w:pPr>
        <w:pStyle w:val="Textocomentario"/>
      </w:pPr>
      <w:r>
        <w:rPr>
          <w:rStyle w:val="Refdecomentario"/>
        </w:rPr>
        <w:annotationRef/>
      </w:r>
      <w:r>
        <w:t>Pensaba hacerlo por zona en lugar de por comuna a este cuadro.</w:t>
      </w:r>
    </w:p>
  </w:comment>
  <w:comment w:id="11" w:author="velen pennini" w:date="2021-05-04T01:22:00Z" w:initials="vp">
    <w:p w14:paraId="78BA9B02" w14:textId="78FCCF01" w:rsidR="00A306DB" w:rsidRDefault="00A306DB">
      <w:pPr>
        <w:pStyle w:val="Textocomentario"/>
      </w:pPr>
      <w:r>
        <w:rPr>
          <w:rStyle w:val="Refdecomentario"/>
        </w:rPr>
        <w:annotationRef/>
      </w:r>
      <w:r>
        <w:t>actualizar</w:t>
      </w:r>
    </w:p>
  </w:comment>
  <w:comment w:id="12" w:author="velen pennini" w:date="2021-05-04T01:23:00Z" w:initials="vp">
    <w:p w14:paraId="159E5A2B" w14:textId="2339B702" w:rsidR="00A306DB" w:rsidRDefault="00A306DB">
      <w:pPr>
        <w:pStyle w:val="Textocomentario"/>
      </w:pPr>
      <w:r>
        <w:rPr>
          <w:rStyle w:val="Refdecomentario"/>
        </w:rPr>
        <w:annotationRef/>
      </w:r>
      <w:r>
        <w:t>Actualizar esto con las tablas del periodo completo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0525" w15:done="0"/>
  <w15:commentEx w15:paraId="58851BE8" w15:done="0"/>
  <w15:commentEx w15:paraId="379943A2" w15:done="0"/>
  <w15:commentEx w15:paraId="44E01698" w15:done="0"/>
  <w15:commentEx w15:paraId="63CF9EE8" w15:done="0"/>
  <w15:commentEx w15:paraId="30495FF6" w15:done="0"/>
  <w15:commentEx w15:paraId="1ED9BAA7" w15:done="0"/>
  <w15:commentEx w15:paraId="5143F279" w15:done="0"/>
  <w15:commentEx w15:paraId="54D75C64" w15:done="0"/>
  <w15:commentEx w15:paraId="5DF85C93" w15:done="0"/>
  <w15:commentEx w15:paraId="78BA9B02" w15:done="0"/>
  <w15:commentEx w15:paraId="159E5A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7BF9"/>
    <w:rsid w:val="00183AD3"/>
    <w:rsid w:val="00192B6D"/>
    <w:rsid w:val="001A23A1"/>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63576"/>
    <w:rsid w:val="00266441"/>
    <w:rsid w:val="002837CC"/>
    <w:rsid w:val="00287CB8"/>
    <w:rsid w:val="00296331"/>
    <w:rsid w:val="002B7E89"/>
    <w:rsid w:val="002C273B"/>
    <w:rsid w:val="002C3BF8"/>
    <w:rsid w:val="002D0C55"/>
    <w:rsid w:val="002E77A3"/>
    <w:rsid w:val="00314B54"/>
    <w:rsid w:val="00317155"/>
    <w:rsid w:val="00346BD3"/>
    <w:rsid w:val="003538C9"/>
    <w:rsid w:val="00384A8F"/>
    <w:rsid w:val="00387843"/>
    <w:rsid w:val="003A09B7"/>
    <w:rsid w:val="003A0EA5"/>
    <w:rsid w:val="003D313E"/>
    <w:rsid w:val="00405EFF"/>
    <w:rsid w:val="00450930"/>
    <w:rsid w:val="00460688"/>
    <w:rsid w:val="0047445C"/>
    <w:rsid w:val="004A0373"/>
    <w:rsid w:val="004B5A0A"/>
    <w:rsid w:val="004C307B"/>
    <w:rsid w:val="004D66F7"/>
    <w:rsid w:val="004F29CE"/>
    <w:rsid w:val="004F5494"/>
    <w:rsid w:val="005067ED"/>
    <w:rsid w:val="00511FDA"/>
    <w:rsid w:val="00530EC0"/>
    <w:rsid w:val="00534EB2"/>
    <w:rsid w:val="005640CF"/>
    <w:rsid w:val="00591312"/>
    <w:rsid w:val="005938C1"/>
    <w:rsid w:val="0059740D"/>
    <w:rsid w:val="00597760"/>
    <w:rsid w:val="005A13EF"/>
    <w:rsid w:val="005C36FF"/>
    <w:rsid w:val="00613314"/>
    <w:rsid w:val="00620FDF"/>
    <w:rsid w:val="00623FAD"/>
    <w:rsid w:val="00624D5A"/>
    <w:rsid w:val="00625B25"/>
    <w:rsid w:val="0063065E"/>
    <w:rsid w:val="006413AE"/>
    <w:rsid w:val="00642538"/>
    <w:rsid w:val="006667C1"/>
    <w:rsid w:val="006A0045"/>
    <w:rsid w:val="006B4853"/>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BAA"/>
    <w:rsid w:val="00844E03"/>
    <w:rsid w:val="008533FA"/>
    <w:rsid w:val="0086600D"/>
    <w:rsid w:val="008748ED"/>
    <w:rsid w:val="008A48B8"/>
    <w:rsid w:val="008C2083"/>
    <w:rsid w:val="008D1911"/>
    <w:rsid w:val="008F0A49"/>
    <w:rsid w:val="0094227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7051"/>
    <w:rsid w:val="00B76043"/>
    <w:rsid w:val="00B7671A"/>
    <w:rsid w:val="00B831B9"/>
    <w:rsid w:val="00B86978"/>
    <w:rsid w:val="00BA5397"/>
    <w:rsid w:val="00BC62E4"/>
    <w:rsid w:val="00C22846"/>
    <w:rsid w:val="00C27F56"/>
    <w:rsid w:val="00C375D7"/>
    <w:rsid w:val="00C43D50"/>
    <w:rsid w:val="00C62971"/>
    <w:rsid w:val="00C907FC"/>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334CD"/>
    <w:rsid w:val="00E6015C"/>
    <w:rsid w:val="00E75EC3"/>
    <w:rsid w:val="00E822AC"/>
    <w:rsid w:val="00E86067"/>
    <w:rsid w:val="00EB6BA4"/>
    <w:rsid w:val="00EE0CA3"/>
    <w:rsid w:val="00EE64E1"/>
    <w:rsid w:val="00EF1DA0"/>
    <w:rsid w:val="00EF2B6B"/>
    <w:rsid w:val="00EF4196"/>
    <w:rsid w:val="00F138DB"/>
    <w:rsid w:val="00F35E47"/>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D84B9-058F-4B3D-BB93-ACB860A1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7755</TotalTime>
  <Pages>16</Pages>
  <Words>11340</Words>
  <Characters>62374</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velen pennini</cp:lastModifiedBy>
  <cp:revision>54</cp:revision>
  <dcterms:created xsi:type="dcterms:W3CDTF">2020-09-27T22:54:00Z</dcterms:created>
  <dcterms:modified xsi:type="dcterms:W3CDTF">2021-05-04T04:27:00Z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