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CB077" w14:textId="77777777" w:rsidR="004B5A0A" w:rsidRPr="00245277" w:rsidRDefault="004B5A0A" w:rsidP="0016684F">
      <w:pPr>
        <w:spacing w:after="0" w:line="480" w:lineRule="auto"/>
        <w:contextualSpacing/>
        <w:jc w:val="both"/>
        <w:rPr>
          <w:rFonts w:ascii="Times New Roman" w:hAnsi="Times New Roman" w:cs="Times New Roman"/>
          <w:b/>
          <w:sz w:val="24"/>
          <w:szCs w:val="24"/>
        </w:rPr>
      </w:pPr>
      <w:r w:rsidRPr="00245277">
        <w:rPr>
          <w:rFonts w:ascii="Times New Roman" w:hAnsi="Times New Roman" w:cs="Times New Roman"/>
          <w:b/>
          <w:sz w:val="24"/>
          <w:szCs w:val="24"/>
        </w:rPr>
        <w:t>Desigualdades en morbimortalidad por COVID-19 en la Ciudad Autónoma de Buenos Aires</w:t>
      </w:r>
    </w:p>
    <w:p w14:paraId="34FA8AD7" w14:textId="77777777" w:rsidR="001A23A1" w:rsidRPr="00245277" w:rsidRDefault="001A23A1" w:rsidP="0016684F">
      <w:pPr>
        <w:spacing w:after="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Adrián Santoro</w:t>
      </w:r>
    </w:p>
    <w:p w14:paraId="0AAD2A22" w14:textId="77777777" w:rsidR="00D57FBD" w:rsidRPr="00245277" w:rsidRDefault="00D57FBD" w:rsidP="00AD2E4B">
      <w:pPr>
        <w:spacing w:before="240" w:line="480" w:lineRule="auto"/>
        <w:contextualSpacing/>
        <w:jc w:val="both"/>
        <w:rPr>
          <w:rFonts w:ascii="Times New Roman" w:hAnsi="Times New Roman" w:cs="Times New Roman"/>
          <w:b/>
          <w:sz w:val="24"/>
          <w:szCs w:val="24"/>
        </w:rPr>
      </w:pPr>
    </w:p>
    <w:p w14:paraId="30360D87" w14:textId="77777777" w:rsidR="00A82D02" w:rsidRPr="00245277" w:rsidRDefault="004B5A0A" w:rsidP="00AD2E4B">
      <w:pPr>
        <w:spacing w:before="240" w:line="480" w:lineRule="auto"/>
        <w:contextualSpacing/>
        <w:jc w:val="both"/>
        <w:rPr>
          <w:rFonts w:ascii="Times New Roman" w:hAnsi="Times New Roman" w:cs="Times New Roman"/>
          <w:b/>
          <w:sz w:val="24"/>
          <w:szCs w:val="24"/>
        </w:rPr>
      </w:pPr>
      <w:r w:rsidRPr="00245277">
        <w:rPr>
          <w:rFonts w:ascii="Times New Roman" w:hAnsi="Times New Roman" w:cs="Times New Roman"/>
          <w:b/>
          <w:sz w:val="24"/>
          <w:szCs w:val="24"/>
        </w:rPr>
        <w:t>INTRODUCCIÓN</w:t>
      </w:r>
    </w:p>
    <w:p w14:paraId="24B1D035" w14:textId="1B764DB3" w:rsidR="001C5E82" w:rsidRPr="00245277" w:rsidRDefault="004B5A0A"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Los primeros casos de SARS-CoV-2 en Argentina se registraron en la Ciudad Autónoma de Buenos Aires (CABA) a principios de marzo de 2020 en turistas que retornaban de ciudades europeas que en ese momento presentaban altos niveles de incidencia de la enfermedad. </w:t>
      </w:r>
      <w:r w:rsidR="006D3722">
        <w:rPr>
          <w:rFonts w:ascii="Times New Roman" w:hAnsi="Times New Roman" w:cs="Times New Roman"/>
          <w:sz w:val="24"/>
          <w:szCs w:val="24"/>
        </w:rPr>
        <w:t>E</w:t>
      </w:r>
      <w:r w:rsidRPr="00245277">
        <w:rPr>
          <w:rFonts w:ascii="Times New Roman" w:hAnsi="Times New Roman" w:cs="Times New Roman"/>
          <w:sz w:val="24"/>
          <w:szCs w:val="24"/>
        </w:rPr>
        <w:t>l virus comenzó rápidamente a circular en la comunidad y a dispersarse a otras jurisdicciones. Sin embargo, hasta septiembre de 2020, la CABA y los 40 distritos de Provincia de Buenos Aires que la rodean (el agregado geográfico denominado “Á</w:t>
      </w:r>
      <w:r w:rsidR="00E8197C">
        <w:rPr>
          <w:rFonts w:ascii="Times New Roman" w:hAnsi="Times New Roman" w:cs="Times New Roman"/>
          <w:sz w:val="24"/>
          <w:szCs w:val="24"/>
        </w:rPr>
        <w:t>rea</w:t>
      </w:r>
      <w:r w:rsidRPr="00245277">
        <w:rPr>
          <w:rFonts w:ascii="Times New Roman" w:hAnsi="Times New Roman" w:cs="Times New Roman"/>
          <w:sz w:val="24"/>
          <w:szCs w:val="24"/>
        </w:rPr>
        <w:t xml:space="preserve"> Metropolitano de Buenos Aires” –AMBA-) acumulaban aun cerca del 95% de los casos y muertes registrados.</w:t>
      </w:r>
    </w:p>
    <w:p w14:paraId="548D44C3" w14:textId="77777777" w:rsidR="00C62971" w:rsidRPr="00245277" w:rsidRDefault="00C62971" w:rsidP="00AD2E4B">
      <w:pPr>
        <w:spacing w:before="240" w:line="480" w:lineRule="auto"/>
        <w:contextualSpacing/>
        <w:jc w:val="both"/>
        <w:rPr>
          <w:rFonts w:ascii="Times New Roman" w:hAnsi="Times New Roman" w:cs="Times New Roman"/>
          <w:sz w:val="24"/>
          <w:szCs w:val="24"/>
        </w:rPr>
      </w:pPr>
    </w:p>
    <w:p w14:paraId="2602874D" w14:textId="2F335C61" w:rsidR="00597760" w:rsidRPr="00245277" w:rsidRDefault="004B5A0A" w:rsidP="006D3722">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La principal política adoptada por el gobierno argentino al comienzo de la epidemia fue la adopción temprana de</w:t>
      </w:r>
      <w:r w:rsidR="00C62971" w:rsidRPr="00245277">
        <w:rPr>
          <w:rFonts w:ascii="Times New Roman" w:hAnsi="Times New Roman" w:cs="Times New Roman"/>
          <w:sz w:val="24"/>
          <w:szCs w:val="24"/>
        </w:rPr>
        <w:t xml:space="preserve"> medidas restrictivas. Con 128 casos confirmados y 3</w:t>
      </w:r>
      <w:r w:rsidR="00EF4196" w:rsidRPr="00245277">
        <w:rPr>
          <w:rFonts w:ascii="Times New Roman" w:hAnsi="Times New Roman" w:cs="Times New Roman"/>
          <w:sz w:val="24"/>
          <w:szCs w:val="24"/>
        </w:rPr>
        <w:t xml:space="preserve"> muertes</w:t>
      </w:r>
      <w:r w:rsidR="00C62971" w:rsidRPr="00245277">
        <w:rPr>
          <w:rFonts w:ascii="Times New Roman" w:hAnsi="Times New Roman" w:cs="Times New Roman"/>
          <w:sz w:val="24"/>
          <w:szCs w:val="24"/>
        </w:rPr>
        <w:t xml:space="preserve"> en el país, el 20 de marzo de 2020 se decretó el “Aislamiento Social Preventivo y Obligatorio” (</w:t>
      </w:r>
      <w:r w:rsidR="003212B6" w:rsidRPr="00245277">
        <w:rPr>
          <w:rFonts w:ascii="Times New Roman" w:hAnsi="Times New Roman" w:cs="Times New Roman"/>
          <w:sz w:val="24"/>
          <w:szCs w:val="24"/>
        </w:rPr>
        <w:t>ASPO)</w:t>
      </w:r>
      <w:r w:rsidR="006D3722">
        <w:rPr>
          <w:rFonts w:ascii="Times New Roman" w:hAnsi="Times New Roman" w:cs="Times New Roman"/>
          <w:sz w:val="24"/>
          <w:szCs w:val="24"/>
        </w:rPr>
        <w:t xml:space="preserve"> que determinó</w:t>
      </w:r>
      <w:r w:rsidR="00597760" w:rsidRPr="00245277">
        <w:rPr>
          <w:rFonts w:ascii="Times New Roman" w:hAnsi="Times New Roman" w:cs="Times New Roman"/>
          <w:sz w:val="24"/>
          <w:szCs w:val="24"/>
        </w:rPr>
        <w:t xml:space="preserve">, entre otras medidas, el cierre de las escuelas, el cierre de las fronteras, la limitación de la circulación inter e </w:t>
      </w:r>
      <w:proofErr w:type="spellStart"/>
      <w:r w:rsidR="00597760" w:rsidRPr="00245277">
        <w:rPr>
          <w:rFonts w:ascii="Times New Roman" w:hAnsi="Times New Roman" w:cs="Times New Roman"/>
          <w:sz w:val="24"/>
          <w:szCs w:val="24"/>
        </w:rPr>
        <w:t>intra</w:t>
      </w:r>
      <w:proofErr w:type="spellEnd"/>
      <w:r w:rsidR="00597760" w:rsidRPr="00245277">
        <w:rPr>
          <w:rFonts w:ascii="Times New Roman" w:hAnsi="Times New Roman" w:cs="Times New Roman"/>
          <w:sz w:val="24"/>
          <w:szCs w:val="24"/>
        </w:rPr>
        <w:t xml:space="preserve"> jurisdiccional, el trabajo remoto para trabajadores no esenciales, la limitación del transporte público y la prohibición de eventos sociales y actividades que generan aglomeraciones de población (bares, restaurantes, discotecas, cines y teatros, etc.) y la protocolización de las medidas de distanciamiento físico (1).  </w:t>
      </w:r>
    </w:p>
    <w:p w14:paraId="4A0D66A5" w14:textId="77777777" w:rsidR="00460688" w:rsidRPr="00245277" w:rsidRDefault="00460688" w:rsidP="00AD2E4B">
      <w:pPr>
        <w:spacing w:before="240" w:line="480" w:lineRule="auto"/>
        <w:contextualSpacing/>
        <w:jc w:val="both"/>
        <w:rPr>
          <w:rFonts w:ascii="Times New Roman" w:hAnsi="Times New Roman" w:cs="Times New Roman"/>
          <w:sz w:val="24"/>
          <w:szCs w:val="24"/>
        </w:rPr>
      </w:pPr>
    </w:p>
    <w:p w14:paraId="7F27A154" w14:textId="4473E614" w:rsidR="0047445C" w:rsidRDefault="0047445C"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El principal objetivo de las regulaciones implementadas fue retrasar la maduración de la epidemia, dando tiempo para la preparación del sistema de salud y para fortalecer la estructura que debe dar </w:t>
      </w:r>
      <w:r w:rsidRPr="00245277">
        <w:rPr>
          <w:rFonts w:ascii="Times New Roman" w:hAnsi="Times New Roman" w:cs="Times New Roman"/>
          <w:sz w:val="24"/>
          <w:szCs w:val="24"/>
        </w:rPr>
        <w:lastRenderedPageBreak/>
        <w:t xml:space="preserve">respuestas a las demandas de la nueva situación, dada la elevada </w:t>
      </w:r>
      <w:r w:rsidRPr="00245277">
        <w:rPr>
          <w:rFonts w:ascii="Times New Roman" w:hAnsi="Times New Roman" w:cs="Times New Roman"/>
          <w:sz w:val="24"/>
          <w:szCs w:val="24"/>
          <w:highlight w:val="yellow"/>
        </w:rPr>
        <w:t xml:space="preserve">tasa de reproducción del virus y </w:t>
      </w:r>
      <w:r w:rsidR="003212B6" w:rsidRPr="00245277">
        <w:rPr>
          <w:rFonts w:ascii="Times New Roman" w:hAnsi="Times New Roman" w:cs="Times New Roman"/>
          <w:sz w:val="24"/>
          <w:szCs w:val="24"/>
          <w:highlight w:val="yellow"/>
        </w:rPr>
        <w:t>el alta</w:t>
      </w:r>
      <w:r w:rsidRPr="00245277">
        <w:rPr>
          <w:rFonts w:ascii="Times New Roman" w:hAnsi="Times New Roman" w:cs="Times New Roman"/>
          <w:sz w:val="24"/>
          <w:szCs w:val="24"/>
          <w:highlight w:val="yellow"/>
        </w:rPr>
        <w:t xml:space="preserve"> potencial demanda de recursos que requerirá su atención.</w:t>
      </w:r>
      <w:r w:rsidRPr="00245277">
        <w:rPr>
          <w:rFonts w:ascii="Times New Roman" w:hAnsi="Times New Roman" w:cs="Times New Roman"/>
          <w:sz w:val="24"/>
          <w:szCs w:val="24"/>
        </w:rPr>
        <w:t xml:space="preserve"> </w:t>
      </w:r>
    </w:p>
    <w:p w14:paraId="2D4E6575" w14:textId="77777777" w:rsidR="003212B6" w:rsidRPr="00245277" w:rsidRDefault="003212B6" w:rsidP="00AD2E4B">
      <w:pPr>
        <w:spacing w:before="240" w:line="480" w:lineRule="auto"/>
        <w:contextualSpacing/>
        <w:jc w:val="both"/>
        <w:rPr>
          <w:rFonts w:ascii="Times New Roman" w:hAnsi="Times New Roman" w:cs="Times New Roman"/>
          <w:sz w:val="24"/>
          <w:szCs w:val="24"/>
        </w:rPr>
      </w:pPr>
    </w:p>
    <w:p w14:paraId="2E65081B" w14:textId="57F7F60D" w:rsidR="00D66AFE" w:rsidRPr="00245277" w:rsidRDefault="0047445C"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La CABA es un distrito federal de Argentina</w:t>
      </w:r>
      <w:r w:rsidR="00844E03" w:rsidRPr="00245277">
        <w:rPr>
          <w:rFonts w:ascii="Times New Roman" w:hAnsi="Times New Roman" w:cs="Times New Roman"/>
          <w:sz w:val="24"/>
          <w:szCs w:val="24"/>
        </w:rPr>
        <w:t xml:space="preserve"> </w:t>
      </w:r>
      <w:r w:rsidRPr="00245277">
        <w:rPr>
          <w:rFonts w:ascii="Times New Roman" w:hAnsi="Times New Roman" w:cs="Times New Roman"/>
          <w:sz w:val="24"/>
          <w:szCs w:val="24"/>
        </w:rPr>
        <w:t>y adopt</w:t>
      </w:r>
      <w:r w:rsidR="006D3722">
        <w:rPr>
          <w:rFonts w:ascii="Times New Roman" w:hAnsi="Times New Roman" w:cs="Times New Roman"/>
          <w:sz w:val="24"/>
          <w:szCs w:val="24"/>
        </w:rPr>
        <w:t>ó</w:t>
      </w:r>
      <w:r w:rsidRPr="00245277">
        <w:rPr>
          <w:rFonts w:ascii="Times New Roman" w:hAnsi="Times New Roman" w:cs="Times New Roman"/>
          <w:sz w:val="24"/>
          <w:szCs w:val="24"/>
        </w:rPr>
        <w:t xml:space="preserve"> las </w:t>
      </w:r>
      <w:r w:rsidRPr="00245277">
        <w:rPr>
          <w:rFonts w:ascii="Times New Roman" w:hAnsi="Times New Roman" w:cs="Times New Roman"/>
          <w:sz w:val="24"/>
          <w:szCs w:val="24"/>
          <w:highlight w:val="yellow"/>
        </w:rPr>
        <w:t>regulaciones establecidas por el gobierno nacional</w:t>
      </w:r>
      <w:r w:rsidRPr="00245277">
        <w:rPr>
          <w:rFonts w:ascii="Times New Roman" w:hAnsi="Times New Roman" w:cs="Times New Roman"/>
          <w:sz w:val="24"/>
          <w:szCs w:val="24"/>
        </w:rPr>
        <w:t xml:space="preserve">. La implementación de estas regulaciones </w:t>
      </w:r>
      <w:r w:rsidR="00E75EC3" w:rsidRPr="00245277">
        <w:rPr>
          <w:rFonts w:ascii="Times New Roman" w:hAnsi="Times New Roman" w:cs="Times New Roman"/>
          <w:sz w:val="24"/>
          <w:szCs w:val="24"/>
        </w:rPr>
        <w:t xml:space="preserve">tuvo un alto nivel de adhesión los primeros días. </w:t>
      </w:r>
      <w:r w:rsidR="00E334CD" w:rsidRPr="00245277">
        <w:rPr>
          <w:rFonts w:ascii="Times New Roman" w:hAnsi="Times New Roman" w:cs="Times New Roman"/>
          <w:sz w:val="24"/>
          <w:szCs w:val="24"/>
        </w:rPr>
        <w:t>Según</w:t>
      </w:r>
      <w:r w:rsidR="00E75EC3" w:rsidRPr="00245277">
        <w:rPr>
          <w:rFonts w:ascii="Times New Roman" w:hAnsi="Times New Roman" w:cs="Times New Roman"/>
          <w:sz w:val="24"/>
          <w:szCs w:val="24"/>
        </w:rPr>
        <w:t xml:space="preserve"> el </w:t>
      </w:r>
      <w:r w:rsidR="00E334CD" w:rsidRPr="00245277">
        <w:rPr>
          <w:rFonts w:ascii="Times New Roman" w:hAnsi="Times New Roman" w:cs="Times New Roman"/>
          <w:sz w:val="24"/>
          <w:szCs w:val="24"/>
        </w:rPr>
        <w:t>Índice</w:t>
      </w:r>
      <w:r w:rsidR="00E75EC3" w:rsidRPr="00245277">
        <w:rPr>
          <w:rFonts w:ascii="Times New Roman" w:hAnsi="Times New Roman" w:cs="Times New Roman"/>
          <w:sz w:val="24"/>
          <w:szCs w:val="24"/>
        </w:rPr>
        <w:t xml:space="preserve"> de Movilidad de Google (2), al décimo día de implementado el ASPO</w:t>
      </w:r>
      <w:r w:rsidR="00E334CD" w:rsidRPr="00245277">
        <w:rPr>
          <w:rFonts w:ascii="Times New Roman" w:hAnsi="Times New Roman" w:cs="Times New Roman"/>
          <w:sz w:val="24"/>
          <w:szCs w:val="24"/>
        </w:rPr>
        <w:t>, la movilidad en lugares de trabajo se redujo en m</w:t>
      </w:r>
      <w:r w:rsidR="006D3722">
        <w:rPr>
          <w:rFonts w:ascii="Times New Roman" w:hAnsi="Times New Roman" w:cs="Times New Roman"/>
          <w:sz w:val="24"/>
          <w:szCs w:val="24"/>
        </w:rPr>
        <w:t>á</w:t>
      </w:r>
      <w:r w:rsidR="00E334CD" w:rsidRPr="00245277">
        <w:rPr>
          <w:rFonts w:ascii="Times New Roman" w:hAnsi="Times New Roman" w:cs="Times New Roman"/>
          <w:sz w:val="24"/>
          <w:szCs w:val="24"/>
        </w:rPr>
        <w:t>s de 80% comparado con el valor de refe</w:t>
      </w:r>
      <w:r w:rsidR="00E334CD" w:rsidRPr="00245277">
        <w:rPr>
          <w:rFonts w:ascii="Times New Roman" w:hAnsi="Times New Roman" w:cs="Times New Roman"/>
          <w:sz w:val="24"/>
          <w:szCs w:val="24"/>
          <w:highlight w:val="yellow"/>
        </w:rPr>
        <w:t>rencia “normal”.</w:t>
      </w:r>
      <w:r w:rsidR="006D3722">
        <w:rPr>
          <w:rFonts w:ascii="Times New Roman" w:hAnsi="Times New Roman" w:cs="Times New Roman"/>
          <w:sz w:val="24"/>
          <w:szCs w:val="24"/>
        </w:rPr>
        <w:t xml:space="preserve"> L</w:t>
      </w:r>
      <w:r w:rsidR="00E334CD" w:rsidRPr="00245277">
        <w:rPr>
          <w:rFonts w:ascii="Times New Roman" w:hAnsi="Times New Roman" w:cs="Times New Roman"/>
          <w:sz w:val="24"/>
          <w:szCs w:val="24"/>
        </w:rPr>
        <w:t xml:space="preserve">o mismo sucedió con la movilidad en parques y en el tráfico vehicular. </w:t>
      </w:r>
    </w:p>
    <w:p w14:paraId="393C4D18" w14:textId="77777777" w:rsidR="006D3722" w:rsidRDefault="006D3722" w:rsidP="00AD2E4B">
      <w:pPr>
        <w:spacing w:before="240" w:line="480" w:lineRule="auto"/>
        <w:contextualSpacing/>
        <w:jc w:val="both"/>
        <w:rPr>
          <w:rFonts w:ascii="Times New Roman" w:hAnsi="Times New Roman" w:cs="Times New Roman"/>
          <w:sz w:val="24"/>
          <w:szCs w:val="24"/>
        </w:rPr>
      </w:pPr>
    </w:p>
    <w:p w14:paraId="74F4BF8F" w14:textId="62903026" w:rsidR="00E334CD" w:rsidRDefault="00E334CD"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Aunque resulta imposible conocer el impacto de la pandemia en CABA en comparación con el resto de las jurisdicciones, </w:t>
      </w:r>
      <w:r w:rsidR="006D3722">
        <w:rPr>
          <w:rFonts w:ascii="Times New Roman" w:hAnsi="Times New Roman" w:cs="Times New Roman"/>
          <w:sz w:val="24"/>
          <w:szCs w:val="24"/>
        </w:rPr>
        <w:t xml:space="preserve">debe </w:t>
      </w:r>
      <w:r w:rsidRPr="00245277">
        <w:rPr>
          <w:rFonts w:ascii="Times New Roman" w:hAnsi="Times New Roman" w:cs="Times New Roman"/>
          <w:sz w:val="24"/>
          <w:szCs w:val="24"/>
        </w:rPr>
        <w:t>destacar</w:t>
      </w:r>
      <w:r w:rsidR="006D3722">
        <w:rPr>
          <w:rFonts w:ascii="Times New Roman" w:hAnsi="Times New Roman" w:cs="Times New Roman"/>
          <w:sz w:val="24"/>
          <w:szCs w:val="24"/>
        </w:rPr>
        <w:t>se</w:t>
      </w:r>
      <w:r w:rsidRPr="00245277">
        <w:rPr>
          <w:rFonts w:ascii="Times New Roman" w:hAnsi="Times New Roman" w:cs="Times New Roman"/>
          <w:sz w:val="24"/>
          <w:szCs w:val="24"/>
        </w:rPr>
        <w:t xml:space="preserve"> que el distrito </w:t>
      </w:r>
      <w:r w:rsidR="00E8197C" w:rsidRPr="00245277">
        <w:rPr>
          <w:rFonts w:ascii="Times New Roman" w:hAnsi="Times New Roman" w:cs="Times New Roman"/>
          <w:sz w:val="24"/>
          <w:szCs w:val="24"/>
        </w:rPr>
        <w:t>federal</w:t>
      </w:r>
      <w:r w:rsidRPr="00245277">
        <w:rPr>
          <w:rFonts w:ascii="Times New Roman" w:hAnsi="Times New Roman" w:cs="Times New Roman"/>
          <w:sz w:val="24"/>
          <w:szCs w:val="24"/>
        </w:rPr>
        <w:t xml:space="preserve"> de Argentina es un área </w:t>
      </w:r>
      <w:r w:rsidR="00E8197C" w:rsidRPr="00245277">
        <w:rPr>
          <w:rFonts w:ascii="Times New Roman" w:hAnsi="Times New Roman" w:cs="Times New Roman"/>
          <w:sz w:val="24"/>
          <w:szCs w:val="24"/>
        </w:rPr>
        <w:t>particularmente</w:t>
      </w:r>
      <w:r w:rsidRPr="00245277">
        <w:rPr>
          <w:rFonts w:ascii="Times New Roman" w:hAnsi="Times New Roman" w:cs="Times New Roman"/>
          <w:sz w:val="24"/>
          <w:szCs w:val="24"/>
        </w:rPr>
        <w:t xml:space="preserve"> desigual, donde viven 3075646 personas </w:t>
      </w:r>
      <w:r w:rsidRPr="00245277">
        <w:rPr>
          <w:rFonts w:ascii="Times New Roman" w:hAnsi="Times New Roman" w:cs="Times New Roman"/>
          <w:sz w:val="24"/>
          <w:szCs w:val="24"/>
        </w:rPr>
        <w:fldChar w:fldCharType="begin" w:fldLock="1"/>
      </w:r>
      <w:r w:rsidRPr="00245277">
        <w:rPr>
          <w:rFonts w:ascii="Times New Roman" w:hAnsi="Times New Roman" w:cs="Times New Roman"/>
          <w:sz w:val="24"/>
          <w:szCs w:val="24"/>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Pr="00245277">
        <w:rPr>
          <w:rFonts w:ascii="Times New Roman" w:hAnsi="Times New Roman" w:cs="Times New Roman"/>
          <w:sz w:val="24"/>
          <w:szCs w:val="24"/>
        </w:rPr>
        <w:fldChar w:fldCharType="separate"/>
      </w:r>
      <w:r w:rsidRPr="00245277">
        <w:rPr>
          <w:rFonts w:ascii="Times New Roman" w:hAnsi="Times New Roman" w:cs="Times New Roman"/>
          <w:noProof/>
          <w:sz w:val="24"/>
          <w:szCs w:val="24"/>
        </w:rPr>
        <w:t>(3)</w:t>
      </w:r>
      <w:r w:rsidRPr="00245277">
        <w:rPr>
          <w:rFonts w:ascii="Times New Roman" w:hAnsi="Times New Roman" w:cs="Times New Roman"/>
          <w:sz w:val="24"/>
          <w:szCs w:val="24"/>
        </w:rPr>
        <w:fldChar w:fldCharType="end"/>
      </w:r>
      <w:r w:rsidRPr="00245277">
        <w:rPr>
          <w:rFonts w:ascii="Times New Roman" w:hAnsi="Times New Roman" w:cs="Times New Roman"/>
          <w:sz w:val="24"/>
          <w:szCs w:val="24"/>
        </w:rPr>
        <w:t xml:space="preserve">. </w:t>
      </w:r>
      <w:r w:rsidR="00B76043" w:rsidRPr="00245277">
        <w:rPr>
          <w:rFonts w:ascii="Times New Roman" w:hAnsi="Times New Roman" w:cs="Times New Roman"/>
          <w:sz w:val="24"/>
          <w:szCs w:val="24"/>
        </w:rPr>
        <w:t xml:space="preserve">La distribución desigual de los recursos en la CABA ha sido demostrada en numerosos estudios </w:t>
      </w:r>
      <w:r w:rsidR="00B76043" w:rsidRPr="00245277">
        <w:rPr>
          <w:rFonts w:ascii="Times New Roman" w:hAnsi="Times New Roman" w:cs="Times New Roman"/>
          <w:sz w:val="24"/>
          <w:szCs w:val="24"/>
        </w:rPr>
        <w:fldChar w:fldCharType="begin" w:fldLock="1"/>
      </w:r>
      <w:r w:rsidR="00B76043" w:rsidRPr="00245277">
        <w:rPr>
          <w:rFonts w:ascii="Times New Roman" w:hAnsi="Times New Roman" w:cs="Times New Roman"/>
          <w:sz w:val="24"/>
          <w:szCs w:val="24"/>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mendeley":{"formattedCitation":"(4–7)","plainTextFormattedCitation":"(4–7)","previouslyFormattedCitation":"(4–7)"},"properties":{"noteIndex":0},"schema":"https://github.com/citation-style-language/schema/raw/master/csl-citation.json"}</w:instrText>
      </w:r>
      <w:r w:rsidR="00B76043" w:rsidRPr="00245277">
        <w:rPr>
          <w:rFonts w:ascii="Times New Roman" w:hAnsi="Times New Roman" w:cs="Times New Roman"/>
          <w:sz w:val="24"/>
          <w:szCs w:val="24"/>
        </w:rPr>
        <w:fldChar w:fldCharType="separate"/>
      </w:r>
      <w:r w:rsidR="00B76043" w:rsidRPr="00245277">
        <w:rPr>
          <w:rFonts w:ascii="Times New Roman" w:hAnsi="Times New Roman" w:cs="Times New Roman"/>
          <w:noProof/>
          <w:sz w:val="24"/>
          <w:szCs w:val="24"/>
        </w:rPr>
        <w:t>(4–7)</w:t>
      </w:r>
      <w:r w:rsidR="00B76043" w:rsidRPr="00245277">
        <w:rPr>
          <w:rFonts w:ascii="Times New Roman" w:hAnsi="Times New Roman" w:cs="Times New Roman"/>
          <w:sz w:val="24"/>
          <w:szCs w:val="24"/>
        </w:rPr>
        <w:fldChar w:fldCharType="end"/>
      </w:r>
      <w:r w:rsidR="00B76043" w:rsidRPr="00245277">
        <w:rPr>
          <w:rFonts w:ascii="Times New Roman" w:hAnsi="Times New Roman" w:cs="Times New Roman"/>
          <w:sz w:val="24"/>
          <w:szCs w:val="24"/>
        </w:rPr>
        <w:t xml:space="preserve">. Todos ellos acuerdan en identificar la zona sur de la ciudad con la que presenta las peores condiciones de vida. En particular, el trabajo de Santoro </w:t>
      </w:r>
      <w:r w:rsidR="00B76043" w:rsidRPr="00245277">
        <w:rPr>
          <w:rFonts w:ascii="Times New Roman" w:hAnsi="Times New Roman" w:cs="Times New Roman"/>
          <w:sz w:val="24"/>
          <w:szCs w:val="24"/>
        </w:rPr>
        <w:fldChar w:fldCharType="begin" w:fldLock="1"/>
      </w:r>
      <w:r w:rsidR="00B76043" w:rsidRPr="00245277">
        <w:rPr>
          <w:rFonts w:ascii="Times New Roman" w:hAnsi="Times New Roman" w:cs="Times New Roman"/>
          <w:sz w:val="24"/>
          <w:szCs w:val="24"/>
        </w:rPr>
        <w:instrText>ADDIN CSL_CITATION {"citationItems":[{"id":"ITEM-1","itemData":{"ISSN":"0124-0064","author":[{"dropping-particle":"","family":"Santoro","given":"Adrián","non-dropping-particle":"","parse-names":false,"suffix":""}],"container-title":"Revista de Salud Pública","id":"ITEM-1","issued":{"date-parts":[["2019"]]},"page":"94-101","publisher":"scieloco","title":"Desigualdades en la Ciudad Autónoma de Buenos Aires: mortalidad, fecundidad y estructura demográfica","type":"article-journal","volume":"21"},"uris":["http://www.mendeley.com/documents/?uuid=dabf5de4-6de4-4beb-be4e-2fd8a38dd796"]}],"mendeley":{"formattedCitation":"(8)","plainTextFormattedCitation":"(8)","previouslyFormattedCitation":"(8)"},"properties":{"noteIndex":0},"schema":"https://github.com/citation-style-language/schema/raw/master/csl-citation.json"}</w:instrText>
      </w:r>
      <w:r w:rsidR="00B76043" w:rsidRPr="00245277">
        <w:rPr>
          <w:rFonts w:ascii="Times New Roman" w:hAnsi="Times New Roman" w:cs="Times New Roman"/>
          <w:sz w:val="24"/>
          <w:szCs w:val="24"/>
        </w:rPr>
        <w:fldChar w:fldCharType="separate"/>
      </w:r>
      <w:r w:rsidR="00B76043" w:rsidRPr="00245277">
        <w:rPr>
          <w:rFonts w:ascii="Times New Roman" w:hAnsi="Times New Roman" w:cs="Times New Roman"/>
          <w:noProof/>
          <w:sz w:val="24"/>
          <w:szCs w:val="24"/>
        </w:rPr>
        <w:t>(8)</w:t>
      </w:r>
      <w:r w:rsidR="00B76043" w:rsidRPr="00245277">
        <w:rPr>
          <w:rFonts w:ascii="Times New Roman" w:hAnsi="Times New Roman" w:cs="Times New Roman"/>
          <w:sz w:val="24"/>
          <w:szCs w:val="24"/>
        </w:rPr>
        <w:fldChar w:fldCharType="end"/>
      </w:r>
      <w:r w:rsidR="00B76043" w:rsidRPr="00245277">
        <w:rPr>
          <w:rFonts w:ascii="Times New Roman" w:hAnsi="Times New Roman" w:cs="Times New Roman"/>
          <w:sz w:val="24"/>
          <w:szCs w:val="24"/>
        </w:rPr>
        <w:t xml:space="preserve"> estudió las desigualdades en relación a </w:t>
      </w:r>
      <w:r w:rsidR="00FD22CD" w:rsidRPr="00245277">
        <w:rPr>
          <w:rFonts w:ascii="Times New Roman" w:hAnsi="Times New Roman" w:cs="Times New Roman"/>
          <w:sz w:val="24"/>
          <w:szCs w:val="24"/>
        </w:rPr>
        <w:t>aspectos de la</w:t>
      </w:r>
      <w:r w:rsidR="00B76043" w:rsidRPr="00245277">
        <w:rPr>
          <w:rFonts w:ascii="Times New Roman" w:hAnsi="Times New Roman" w:cs="Times New Roman"/>
          <w:sz w:val="24"/>
          <w:szCs w:val="24"/>
        </w:rPr>
        <w:t xml:space="preserve"> salud de la población y encontró </w:t>
      </w:r>
      <w:r w:rsidR="00FD22CD" w:rsidRPr="00245277">
        <w:rPr>
          <w:rFonts w:ascii="Times New Roman" w:hAnsi="Times New Roman" w:cs="Times New Roman"/>
          <w:sz w:val="24"/>
          <w:szCs w:val="24"/>
        </w:rPr>
        <w:t>diferencias</w:t>
      </w:r>
      <w:r w:rsidR="00B76043" w:rsidRPr="00245277">
        <w:rPr>
          <w:rFonts w:ascii="Times New Roman" w:hAnsi="Times New Roman" w:cs="Times New Roman"/>
          <w:sz w:val="24"/>
          <w:szCs w:val="24"/>
        </w:rPr>
        <w:t xml:space="preserve"> significativas en la estruct</w:t>
      </w:r>
      <w:r w:rsidR="00FD22CD" w:rsidRPr="00245277">
        <w:rPr>
          <w:rFonts w:ascii="Times New Roman" w:hAnsi="Times New Roman" w:cs="Times New Roman"/>
          <w:sz w:val="24"/>
          <w:szCs w:val="24"/>
        </w:rPr>
        <w:t xml:space="preserve">ura de las causas de mortalidad, esperanza de vida, y fertilidad entre </w:t>
      </w:r>
      <w:r w:rsidR="00FD22CD" w:rsidRPr="00245277">
        <w:rPr>
          <w:rFonts w:ascii="Times New Roman" w:hAnsi="Times New Roman" w:cs="Times New Roman"/>
          <w:sz w:val="24"/>
          <w:szCs w:val="24"/>
          <w:highlight w:val="yellow"/>
        </w:rPr>
        <w:t>zonas</w:t>
      </w:r>
      <w:r w:rsidR="00FD22CD" w:rsidRPr="00245277">
        <w:rPr>
          <w:rFonts w:ascii="Times New Roman" w:hAnsi="Times New Roman" w:cs="Times New Roman"/>
          <w:sz w:val="24"/>
          <w:szCs w:val="24"/>
        </w:rPr>
        <w:t xml:space="preserve"> de la ciudad.</w:t>
      </w:r>
      <w:r w:rsidR="00B76043" w:rsidRPr="00245277">
        <w:rPr>
          <w:rFonts w:ascii="Times New Roman" w:hAnsi="Times New Roman" w:cs="Times New Roman"/>
          <w:sz w:val="24"/>
          <w:szCs w:val="24"/>
        </w:rPr>
        <w:t xml:space="preserve"> </w:t>
      </w:r>
    </w:p>
    <w:p w14:paraId="449A567A" w14:textId="77777777" w:rsidR="003212B6" w:rsidRPr="00245277" w:rsidRDefault="003212B6" w:rsidP="00AD2E4B">
      <w:pPr>
        <w:spacing w:before="240" w:line="480" w:lineRule="auto"/>
        <w:contextualSpacing/>
        <w:jc w:val="both"/>
        <w:rPr>
          <w:rFonts w:ascii="Times New Roman" w:hAnsi="Times New Roman" w:cs="Times New Roman"/>
          <w:sz w:val="24"/>
          <w:szCs w:val="24"/>
        </w:rPr>
      </w:pPr>
    </w:p>
    <w:p w14:paraId="6C65C34A" w14:textId="79A57D4F" w:rsidR="00D15315" w:rsidRDefault="006D3722" w:rsidP="00AD2E4B">
      <w:pPr>
        <w:spacing w:before="240" w:line="480" w:lineRule="auto"/>
        <w:contextualSpacing/>
        <w:jc w:val="both"/>
        <w:rPr>
          <w:rFonts w:ascii="Times New Roman" w:hAnsi="Times New Roman" w:cs="Times New Roman"/>
          <w:sz w:val="24"/>
          <w:szCs w:val="24"/>
          <w:lang w:val="en-US"/>
        </w:rPr>
      </w:pPr>
      <w:r>
        <w:rPr>
          <w:rFonts w:ascii="Times New Roman" w:hAnsi="Times New Roman" w:cs="Times New Roman"/>
          <w:sz w:val="24"/>
          <w:szCs w:val="24"/>
        </w:rPr>
        <w:t>Existen</w:t>
      </w:r>
      <w:r w:rsidR="00FD22CD" w:rsidRPr="00245277">
        <w:rPr>
          <w:rFonts w:ascii="Times New Roman" w:hAnsi="Times New Roman" w:cs="Times New Roman"/>
          <w:sz w:val="24"/>
          <w:szCs w:val="24"/>
        </w:rPr>
        <w:t xml:space="preserve"> estudios que describieron el impacto diferencial de la pandemia en distintas metrópolis del mundo</w:t>
      </w:r>
      <w:r>
        <w:rPr>
          <w:rFonts w:ascii="Times New Roman" w:hAnsi="Times New Roman" w:cs="Times New Roman"/>
          <w:sz w:val="24"/>
          <w:szCs w:val="24"/>
        </w:rPr>
        <w:t xml:space="preserve"> que</w:t>
      </w:r>
      <w:r w:rsidR="00FD22CD" w:rsidRPr="00245277">
        <w:rPr>
          <w:rFonts w:ascii="Times New Roman" w:hAnsi="Times New Roman" w:cs="Times New Roman"/>
          <w:sz w:val="24"/>
          <w:szCs w:val="24"/>
        </w:rPr>
        <w:t xml:space="preserve"> coincid</w:t>
      </w:r>
      <w:r>
        <w:rPr>
          <w:rFonts w:ascii="Times New Roman" w:hAnsi="Times New Roman" w:cs="Times New Roman"/>
          <w:sz w:val="24"/>
          <w:szCs w:val="24"/>
        </w:rPr>
        <w:t>en</w:t>
      </w:r>
      <w:r w:rsidR="00FD22CD" w:rsidRPr="00245277">
        <w:rPr>
          <w:rFonts w:ascii="Times New Roman" w:hAnsi="Times New Roman" w:cs="Times New Roman"/>
          <w:sz w:val="24"/>
          <w:szCs w:val="24"/>
        </w:rPr>
        <w:t xml:space="preserve"> en que el impacto es </w:t>
      </w:r>
      <w:r w:rsidR="002D0C55" w:rsidRPr="00245277">
        <w:rPr>
          <w:rFonts w:ascii="Times New Roman" w:hAnsi="Times New Roman" w:cs="Times New Roman"/>
          <w:sz w:val="24"/>
          <w:szCs w:val="24"/>
        </w:rPr>
        <w:t>más</w:t>
      </w:r>
      <w:r w:rsidR="00FD22CD" w:rsidRPr="00245277">
        <w:rPr>
          <w:rFonts w:ascii="Times New Roman" w:hAnsi="Times New Roman" w:cs="Times New Roman"/>
          <w:sz w:val="24"/>
          <w:szCs w:val="24"/>
        </w:rPr>
        <w:t xml:space="preserve"> dañino</w:t>
      </w:r>
      <w:r>
        <w:rPr>
          <w:rFonts w:ascii="Times New Roman" w:hAnsi="Times New Roman" w:cs="Times New Roman"/>
          <w:sz w:val="24"/>
          <w:szCs w:val="24"/>
        </w:rPr>
        <w:t xml:space="preserve"> </w:t>
      </w:r>
      <w:r w:rsidRPr="00245277">
        <w:rPr>
          <w:rFonts w:ascii="Times New Roman" w:hAnsi="Times New Roman" w:cs="Times New Roman"/>
          <w:sz w:val="24"/>
          <w:szCs w:val="24"/>
        </w:rPr>
        <w:t>en áreas de población con mayor vulnerabilidad social</w:t>
      </w:r>
      <w:r w:rsidR="00FD22CD" w:rsidRPr="00245277">
        <w:rPr>
          <w:rFonts w:ascii="Times New Roman" w:hAnsi="Times New Roman" w:cs="Times New Roman"/>
          <w:sz w:val="24"/>
          <w:szCs w:val="24"/>
        </w:rPr>
        <w:t>.</w:t>
      </w:r>
      <w:r w:rsidR="00FD22CD" w:rsidRPr="00245277">
        <w:rPr>
          <w:rFonts w:ascii="Times New Roman" w:hAnsi="Times New Roman" w:cs="Times New Roman"/>
          <w:sz w:val="24"/>
          <w:szCs w:val="24"/>
        </w:rPr>
        <w:t xml:space="preserve"> Van </w:t>
      </w:r>
      <w:proofErr w:type="spellStart"/>
      <w:r w:rsidR="00FD22CD" w:rsidRPr="00245277">
        <w:rPr>
          <w:rFonts w:ascii="Times New Roman" w:hAnsi="Times New Roman" w:cs="Times New Roman"/>
          <w:sz w:val="24"/>
          <w:szCs w:val="24"/>
        </w:rPr>
        <w:t>Dorm</w:t>
      </w:r>
      <w:proofErr w:type="spellEnd"/>
      <w:r w:rsidR="00FD22CD" w:rsidRPr="00245277">
        <w:rPr>
          <w:rFonts w:ascii="Times New Roman" w:hAnsi="Times New Roman" w:cs="Times New Roman"/>
          <w:sz w:val="24"/>
          <w:szCs w:val="24"/>
        </w:rPr>
        <w:t xml:space="preserve">, </w:t>
      </w:r>
      <w:proofErr w:type="spellStart"/>
      <w:r w:rsidR="00FD22CD" w:rsidRPr="00245277">
        <w:rPr>
          <w:rFonts w:ascii="Times New Roman" w:hAnsi="Times New Roman" w:cs="Times New Roman"/>
          <w:sz w:val="24"/>
          <w:szCs w:val="24"/>
        </w:rPr>
        <w:t>Cooney</w:t>
      </w:r>
      <w:proofErr w:type="spellEnd"/>
      <w:r w:rsidR="00FD22CD" w:rsidRPr="00245277">
        <w:rPr>
          <w:rFonts w:ascii="Times New Roman" w:hAnsi="Times New Roman" w:cs="Times New Roman"/>
          <w:sz w:val="24"/>
          <w:szCs w:val="24"/>
        </w:rPr>
        <w:t xml:space="preserve"> y Sabin </w:t>
      </w:r>
      <w:r w:rsidR="00FD22CD" w:rsidRPr="00245277">
        <w:rPr>
          <w:rFonts w:ascii="Times New Roman" w:hAnsi="Times New Roman" w:cs="Times New Roman"/>
          <w:sz w:val="24"/>
          <w:szCs w:val="24"/>
        </w:rPr>
        <w:fldChar w:fldCharType="begin" w:fldLock="1"/>
      </w:r>
      <w:r w:rsidR="00FD22CD" w:rsidRPr="00245277">
        <w:rPr>
          <w:rFonts w:ascii="Times New Roman" w:hAnsi="Times New Roman" w:cs="Times New Roman"/>
          <w:sz w:val="24"/>
          <w:szCs w:val="24"/>
        </w:rPr>
        <w:instrText>ADDIN CSL_CITATION {"citationItems":[{"id":"ITEM-1","itemData":{"DOI":"10.1016/S0140-6736(20)30893-X","ISSN":"1474-547X (Electronic)","PMID":"32305087","author":[{"dropping-particle":"","family":"Dorn","given":"Aaron","non-dropping-particle":"Van","parse-names":false,"suffix":""},{"dropping-particle":"","family":"Cooney","given":"Rebecca E","non-dropping-particle":"","parse-names":false,"suffix":""},{"dropping-particle":"","family":"Sabin","given":"Miriam L","non-dropping-particle":"","parse-names":false,"suffix":""}],"container-title":"Lancet (London, England)","id":"ITEM-1","issue":"10232","issued":{"date-parts":[["2020","4"]]},"language":"eng","page":"1243-1244","title":"COVID-19 exacerbating inequalities in the US.","type":"article-journal","volume":"395"},"uris":["http://www.mendeley.com/documents/?uuid=115d0f5a-ac1a-43ce-b3a7-44636fda8ca9"]}],"mendeley":{"formattedCitation":"(9)","plainTextFormattedCitation":"(9)","previouslyFormattedCitation":"(9)"},"properties":{"noteIndex":0},"schema":"https://github.com/citation-style-language/schema/raw/master/csl-citation.json"}</w:instrText>
      </w:r>
      <w:r w:rsidR="00FD22CD" w:rsidRPr="00245277">
        <w:rPr>
          <w:rFonts w:ascii="Times New Roman" w:hAnsi="Times New Roman" w:cs="Times New Roman"/>
          <w:sz w:val="24"/>
          <w:szCs w:val="24"/>
        </w:rPr>
        <w:fldChar w:fldCharType="separate"/>
      </w:r>
      <w:r w:rsidR="00FD22CD" w:rsidRPr="00245277">
        <w:rPr>
          <w:rFonts w:ascii="Times New Roman" w:hAnsi="Times New Roman" w:cs="Times New Roman"/>
          <w:noProof/>
          <w:sz w:val="24"/>
          <w:szCs w:val="24"/>
        </w:rPr>
        <w:t>(9)</w:t>
      </w:r>
      <w:r w:rsidR="00FD22CD" w:rsidRPr="00245277">
        <w:rPr>
          <w:rFonts w:ascii="Times New Roman" w:hAnsi="Times New Roman" w:cs="Times New Roman"/>
          <w:sz w:val="24"/>
          <w:szCs w:val="24"/>
        </w:rPr>
        <w:fldChar w:fldCharType="end"/>
      </w:r>
      <w:r w:rsidR="00FD22CD" w:rsidRPr="00245277">
        <w:rPr>
          <w:rFonts w:ascii="Times New Roman" w:hAnsi="Times New Roman" w:cs="Times New Roman"/>
          <w:sz w:val="24"/>
          <w:szCs w:val="24"/>
        </w:rPr>
        <w:t xml:space="preserve"> </w:t>
      </w:r>
      <w:r>
        <w:rPr>
          <w:rFonts w:ascii="Times New Roman" w:hAnsi="Times New Roman" w:cs="Times New Roman"/>
          <w:sz w:val="24"/>
          <w:szCs w:val="24"/>
        </w:rPr>
        <w:t>sostuvieron</w:t>
      </w:r>
      <w:r w:rsidR="00FD22CD" w:rsidRPr="00245277">
        <w:rPr>
          <w:rFonts w:ascii="Times New Roman" w:hAnsi="Times New Roman" w:cs="Times New Roman"/>
          <w:sz w:val="24"/>
          <w:szCs w:val="24"/>
        </w:rPr>
        <w:t xml:space="preserve"> que en ciudades como Nueva York, los llamados “trabajadores esenciales” </w:t>
      </w:r>
      <w:r w:rsidR="002D0C55" w:rsidRPr="00245277">
        <w:rPr>
          <w:rFonts w:ascii="Times New Roman" w:hAnsi="Times New Roman" w:cs="Times New Roman"/>
          <w:sz w:val="24"/>
          <w:szCs w:val="24"/>
        </w:rPr>
        <w:t>constituyen</w:t>
      </w:r>
      <w:r w:rsidR="00FD22CD" w:rsidRPr="00245277">
        <w:rPr>
          <w:rFonts w:ascii="Times New Roman" w:hAnsi="Times New Roman" w:cs="Times New Roman"/>
          <w:sz w:val="24"/>
          <w:szCs w:val="24"/>
        </w:rPr>
        <w:t xml:space="preserve"> una población conformada en su mayor parte por personas vulnerables, </w:t>
      </w:r>
      <w:r w:rsidR="002D0C55" w:rsidRPr="00245277">
        <w:rPr>
          <w:rFonts w:ascii="Times New Roman" w:hAnsi="Times New Roman" w:cs="Times New Roman"/>
          <w:sz w:val="24"/>
          <w:szCs w:val="24"/>
        </w:rPr>
        <w:t xml:space="preserve">principalmente afroamericanos e hispanos, por lo que la exposición de estas comunidades al virus, es </w:t>
      </w:r>
      <w:r w:rsidR="003538C9" w:rsidRPr="00245277">
        <w:rPr>
          <w:rFonts w:ascii="Times New Roman" w:hAnsi="Times New Roman" w:cs="Times New Roman"/>
          <w:sz w:val="24"/>
          <w:szCs w:val="24"/>
        </w:rPr>
        <w:t xml:space="preserve">aún </w:t>
      </w:r>
      <w:r w:rsidR="002D0C55" w:rsidRPr="00245277">
        <w:rPr>
          <w:rFonts w:ascii="Times New Roman" w:hAnsi="Times New Roman" w:cs="Times New Roman"/>
          <w:sz w:val="24"/>
          <w:szCs w:val="24"/>
        </w:rPr>
        <w:t>mayor</w:t>
      </w:r>
      <w:r w:rsidR="00FD22CD" w:rsidRPr="00245277">
        <w:rPr>
          <w:rFonts w:ascii="Times New Roman" w:hAnsi="Times New Roman" w:cs="Times New Roman"/>
          <w:sz w:val="24"/>
          <w:szCs w:val="24"/>
        </w:rPr>
        <w:t xml:space="preserve">. </w:t>
      </w:r>
      <w:r w:rsidR="003538C9" w:rsidRPr="00245277">
        <w:rPr>
          <w:rFonts w:ascii="Times New Roman" w:hAnsi="Times New Roman" w:cs="Times New Roman"/>
          <w:sz w:val="24"/>
          <w:szCs w:val="24"/>
        </w:rPr>
        <w:t xml:space="preserve">Otro trabajo en EE. UU, un estudio ecológico de la </w:t>
      </w:r>
      <w:r w:rsidR="003538C9" w:rsidRPr="00245277">
        <w:rPr>
          <w:rFonts w:ascii="Times New Roman" w:hAnsi="Times New Roman" w:cs="Times New Roman"/>
          <w:sz w:val="24"/>
          <w:szCs w:val="24"/>
        </w:rPr>
        <w:lastRenderedPageBreak/>
        <w:t xml:space="preserve">distribución de la mortalidad relacionado a COVID-19 en la ciudad de Chicago </w:t>
      </w:r>
      <w:r w:rsidR="003538C9" w:rsidRPr="00245277">
        <w:rPr>
          <w:rFonts w:ascii="Times New Roman" w:hAnsi="Times New Roman" w:cs="Times New Roman"/>
          <w:sz w:val="24"/>
          <w:szCs w:val="24"/>
        </w:rPr>
        <w:fldChar w:fldCharType="begin" w:fldLock="1"/>
      </w:r>
      <w:r w:rsidR="003538C9" w:rsidRPr="00245277">
        <w:rPr>
          <w:rFonts w:ascii="Times New Roman" w:hAnsi="Times New Roman" w:cs="Times New Roman"/>
          <w:sz w:val="24"/>
          <w:szCs w:val="24"/>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3538C9" w:rsidRPr="00245277">
        <w:rPr>
          <w:rFonts w:ascii="Times New Roman" w:hAnsi="Times New Roman" w:cs="Times New Roman"/>
          <w:sz w:val="24"/>
          <w:szCs w:val="24"/>
        </w:rPr>
        <w:fldChar w:fldCharType="separate"/>
      </w:r>
      <w:r w:rsidR="003538C9" w:rsidRPr="00245277">
        <w:rPr>
          <w:rFonts w:ascii="Times New Roman" w:hAnsi="Times New Roman" w:cs="Times New Roman"/>
          <w:noProof/>
          <w:sz w:val="24"/>
          <w:szCs w:val="24"/>
        </w:rPr>
        <w:t>(10)</w:t>
      </w:r>
      <w:r w:rsidR="003538C9" w:rsidRPr="00245277">
        <w:rPr>
          <w:rFonts w:ascii="Times New Roman" w:hAnsi="Times New Roman" w:cs="Times New Roman"/>
          <w:sz w:val="24"/>
          <w:szCs w:val="24"/>
        </w:rPr>
        <w:fldChar w:fldCharType="end"/>
      </w:r>
      <w:r w:rsidR="003538C9" w:rsidRPr="00245277">
        <w:rPr>
          <w:rFonts w:ascii="Times New Roman" w:hAnsi="Times New Roman" w:cs="Times New Roman"/>
          <w:sz w:val="24"/>
          <w:szCs w:val="24"/>
        </w:rPr>
        <w:t>, mostró c</w:t>
      </w:r>
      <w:r>
        <w:rPr>
          <w:rFonts w:ascii="Times New Roman" w:hAnsi="Times New Roman" w:cs="Times New Roman"/>
          <w:sz w:val="24"/>
          <w:szCs w:val="24"/>
        </w:rPr>
        <w:t>ó</w:t>
      </w:r>
      <w:r w:rsidR="003212B6">
        <w:rPr>
          <w:rFonts w:ascii="Times New Roman" w:hAnsi="Times New Roman" w:cs="Times New Roman"/>
          <w:sz w:val="24"/>
          <w:szCs w:val="24"/>
        </w:rPr>
        <w:t xml:space="preserve">mo la mortalidad se </w:t>
      </w:r>
      <w:r w:rsidR="003212B6" w:rsidRPr="00245277">
        <w:rPr>
          <w:rFonts w:ascii="Times New Roman" w:hAnsi="Times New Roman" w:cs="Times New Roman"/>
          <w:sz w:val="24"/>
          <w:szCs w:val="24"/>
        </w:rPr>
        <w:t>concentraba</w:t>
      </w:r>
      <w:r w:rsidR="003538C9" w:rsidRPr="00245277">
        <w:rPr>
          <w:rFonts w:ascii="Times New Roman" w:hAnsi="Times New Roman" w:cs="Times New Roman"/>
          <w:sz w:val="24"/>
          <w:szCs w:val="24"/>
        </w:rPr>
        <w:t xml:space="preserve"> mayormente en </w:t>
      </w:r>
      <w:r w:rsidR="003212B6" w:rsidRPr="00245277">
        <w:rPr>
          <w:rFonts w:ascii="Times New Roman" w:hAnsi="Times New Roman" w:cs="Times New Roman"/>
          <w:sz w:val="24"/>
          <w:szCs w:val="24"/>
        </w:rPr>
        <w:t>áreas</w:t>
      </w:r>
      <w:r w:rsidR="003538C9" w:rsidRPr="00245277">
        <w:rPr>
          <w:rFonts w:ascii="Times New Roman" w:hAnsi="Times New Roman" w:cs="Times New Roman"/>
          <w:sz w:val="24"/>
          <w:szCs w:val="24"/>
        </w:rPr>
        <w:t xml:space="preserve"> </w:t>
      </w:r>
      <w:r>
        <w:rPr>
          <w:rFonts w:ascii="Times New Roman" w:hAnsi="Times New Roman" w:cs="Times New Roman"/>
          <w:sz w:val="24"/>
          <w:szCs w:val="24"/>
        </w:rPr>
        <w:t xml:space="preserve">donde </w:t>
      </w:r>
      <w:r w:rsidR="003538C9" w:rsidRPr="00245277">
        <w:rPr>
          <w:rFonts w:ascii="Times New Roman" w:hAnsi="Times New Roman" w:cs="Times New Roman"/>
          <w:sz w:val="24"/>
          <w:szCs w:val="24"/>
        </w:rPr>
        <w:t>predominaba</w:t>
      </w:r>
      <w:r>
        <w:rPr>
          <w:rFonts w:ascii="Times New Roman" w:hAnsi="Times New Roman" w:cs="Times New Roman"/>
          <w:sz w:val="24"/>
          <w:szCs w:val="24"/>
        </w:rPr>
        <w:t>n</w:t>
      </w:r>
      <w:r w:rsidR="003538C9" w:rsidRPr="00245277">
        <w:rPr>
          <w:rFonts w:ascii="Times New Roman" w:hAnsi="Times New Roman" w:cs="Times New Roman"/>
          <w:sz w:val="24"/>
          <w:szCs w:val="24"/>
        </w:rPr>
        <w:t xml:space="preserve"> las comunidades afroamericanas. Ellos propusieron, basados en los resultados de este estudio, la </w:t>
      </w:r>
      <w:r w:rsidR="003212B6" w:rsidRPr="00245277">
        <w:rPr>
          <w:rFonts w:ascii="Times New Roman" w:hAnsi="Times New Roman" w:cs="Times New Roman"/>
          <w:sz w:val="24"/>
          <w:szCs w:val="24"/>
        </w:rPr>
        <w:t>alta</w:t>
      </w:r>
      <w:r w:rsidR="003538C9" w:rsidRPr="00245277">
        <w:rPr>
          <w:rFonts w:ascii="Times New Roman" w:hAnsi="Times New Roman" w:cs="Times New Roman"/>
          <w:sz w:val="24"/>
          <w:szCs w:val="24"/>
        </w:rPr>
        <w:t xml:space="preserve"> prevalencia de enfermedades crónicas y desigualdades sociales persistentes como posible</w:t>
      </w:r>
      <w:r>
        <w:rPr>
          <w:rFonts w:ascii="Times New Roman" w:hAnsi="Times New Roman" w:cs="Times New Roman"/>
          <w:sz w:val="24"/>
          <w:szCs w:val="24"/>
        </w:rPr>
        <w:t>s</w:t>
      </w:r>
      <w:r w:rsidR="003538C9" w:rsidRPr="00245277">
        <w:rPr>
          <w:rFonts w:ascii="Times New Roman" w:hAnsi="Times New Roman" w:cs="Times New Roman"/>
          <w:sz w:val="24"/>
          <w:szCs w:val="24"/>
        </w:rPr>
        <w:t xml:space="preserve"> factores </w:t>
      </w:r>
      <w:r>
        <w:rPr>
          <w:rFonts w:ascii="Times New Roman" w:hAnsi="Times New Roman" w:cs="Times New Roman"/>
          <w:sz w:val="24"/>
          <w:szCs w:val="24"/>
        </w:rPr>
        <w:t>explicativos</w:t>
      </w:r>
      <w:r w:rsidR="003538C9" w:rsidRPr="00245277">
        <w:rPr>
          <w:rFonts w:ascii="Times New Roman" w:hAnsi="Times New Roman" w:cs="Times New Roman"/>
          <w:sz w:val="24"/>
          <w:szCs w:val="24"/>
        </w:rPr>
        <w:t xml:space="preserve">. En el mismo sentido, el estudio de </w:t>
      </w:r>
      <w:proofErr w:type="spellStart"/>
      <w:r w:rsidR="003538C9" w:rsidRPr="00245277">
        <w:rPr>
          <w:rFonts w:ascii="Times New Roman" w:hAnsi="Times New Roman" w:cs="Times New Roman"/>
          <w:sz w:val="24"/>
          <w:szCs w:val="24"/>
        </w:rPr>
        <w:t>Blundell</w:t>
      </w:r>
      <w:proofErr w:type="spellEnd"/>
      <w:r w:rsidR="003538C9" w:rsidRPr="00245277">
        <w:rPr>
          <w:rFonts w:ascii="Times New Roman" w:hAnsi="Times New Roman" w:cs="Times New Roman"/>
          <w:sz w:val="24"/>
          <w:szCs w:val="24"/>
        </w:rPr>
        <w:t xml:space="preserve"> et al </w:t>
      </w:r>
      <w:r w:rsidR="003538C9" w:rsidRPr="00245277">
        <w:rPr>
          <w:rFonts w:ascii="Times New Roman" w:hAnsi="Times New Roman" w:cs="Times New Roman"/>
          <w:sz w:val="24"/>
          <w:szCs w:val="24"/>
        </w:rPr>
        <w:fldChar w:fldCharType="begin" w:fldLock="1"/>
      </w:r>
      <w:r w:rsidR="003538C9" w:rsidRPr="00245277">
        <w:rPr>
          <w:rFonts w:ascii="Times New Roman" w:hAnsi="Times New Roman" w:cs="Times New Roman"/>
          <w:sz w:val="24"/>
          <w:szCs w:val="24"/>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3538C9" w:rsidRPr="00245277">
        <w:rPr>
          <w:rFonts w:ascii="Times New Roman" w:hAnsi="Times New Roman" w:cs="Times New Roman"/>
          <w:sz w:val="24"/>
          <w:szCs w:val="24"/>
        </w:rPr>
        <w:fldChar w:fldCharType="separate"/>
      </w:r>
      <w:r w:rsidR="003538C9" w:rsidRPr="00245277">
        <w:rPr>
          <w:rFonts w:ascii="Times New Roman" w:hAnsi="Times New Roman" w:cs="Times New Roman"/>
          <w:noProof/>
          <w:sz w:val="24"/>
          <w:szCs w:val="24"/>
        </w:rPr>
        <w:t>(11)</w:t>
      </w:r>
      <w:r w:rsidR="003538C9" w:rsidRPr="00245277">
        <w:rPr>
          <w:rFonts w:ascii="Times New Roman" w:hAnsi="Times New Roman" w:cs="Times New Roman"/>
          <w:sz w:val="24"/>
          <w:szCs w:val="24"/>
        </w:rPr>
        <w:fldChar w:fldCharType="end"/>
      </w:r>
      <w:r w:rsidR="003538C9" w:rsidRPr="00245277">
        <w:rPr>
          <w:rFonts w:ascii="Times New Roman" w:hAnsi="Times New Roman" w:cs="Times New Roman"/>
          <w:sz w:val="24"/>
          <w:szCs w:val="24"/>
        </w:rPr>
        <w:t xml:space="preserve"> en el Reino Unido mostr</w:t>
      </w:r>
      <w:r w:rsidR="00245277" w:rsidRPr="00245277">
        <w:rPr>
          <w:rFonts w:ascii="Times New Roman" w:hAnsi="Times New Roman" w:cs="Times New Roman"/>
          <w:sz w:val="24"/>
          <w:szCs w:val="24"/>
        </w:rPr>
        <w:t xml:space="preserve">ó que la mortalidad por COVID-19 en el 10% de las áreas más </w:t>
      </w:r>
      <w:commentRangeStart w:id="0"/>
      <w:r w:rsidR="00245277" w:rsidRPr="00245277">
        <w:rPr>
          <w:rFonts w:ascii="Times New Roman" w:hAnsi="Times New Roman" w:cs="Times New Roman"/>
          <w:sz w:val="24"/>
          <w:szCs w:val="24"/>
        </w:rPr>
        <w:t xml:space="preserve">necesitadas </w:t>
      </w:r>
      <w:commentRangeEnd w:id="0"/>
      <w:r w:rsidR="00245277">
        <w:rPr>
          <w:rStyle w:val="Refdecomentario"/>
        </w:rPr>
        <w:commentReference w:id="0"/>
      </w:r>
      <w:r w:rsidR="00245277" w:rsidRPr="00245277">
        <w:rPr>
          <w:rFonts w:ascii="Times New Roman" w:hAnsi="Times New Roman" w:cs="Times New Roman"/>
          <w:sz w:val="24"/>
          <w:szCs w:val="24"/>
        </w:rPr>
        <w:t xml:space="preserve">fue el doble que en el 10% más ricas. </w:t>
      </w:r>
      <w:commentRangeStart w:id="1"/>
      <w:proofErr w:type="spellStart"/>
      <w:r w:rsidR="00245277" w:rsidRPr="00511FDA">
        <w:rPr>
          <w:rFonts w:ascii="Times New Roman" w:hAnsi="Times New Roman" w:cs="Times New Roman"/>
          <w:sz w:val="24"/>
          <w:szCs w:val="24"/>
          <w:lang w:val="en-US"/>
        </w:rPr>
        <w:t>Además</w:t>
      </w:r>
      <w:proofErr w:type="spellEnd"/>
      <w:r w:rsidR="00245277" w:rsidRPr="00511FDA">
        <w:rPr>
          <w:rFonts w:ascii="Times New Roman" w:hAnsi="Times New Roman" w:cs="Times New Roman"/>
          <w:sz w:val="24"/>
          <w:szCs w:val="24"/>
          <w:lang w:val="en-US"/>
        </w:rPr>
        <w:t xml:space="preserve">, </w:t>
      </w:r>
      <w:r w:rsidR="00C907FC" w:rsidRPr="00B066BE">
        <w:rPr>
          <w:rFonts w:ascii="Times New Roman" w:hAnsi="Times New Roman" w:cs="Times New Roman"/>
          <w:sz w:val="24"/>
          <w:szCs w:val="24"/>
          <w:lang w:val="en-US"/>
        </w:rPr>
        <w:t>Moreover, for mortality from COVID-19 the inequality between these two extremes was even greater for overall mortality.</w:t>
      </w:r>
      <w:commentRangeEnd w:id="1"/>
      <w:r w:rsidR="00511FDA">
        <w:rPr>
          <w:rStyle w:val="Refdecomentario"/>
        </w:rPr>
        <w:commentReference w:id="1"/>
      </w:r>
      <w:r w:rsidR="00511FDA">
        <w:rPr>
          <w:rFonts w:ascii="Times New Roman" w:hAnsi="Times New Roman" w:cs="Times New Roman"/>
          <w:sz w:val="24"/>
          <w:szCs w:val="24"/>
          <w:lang w:val="en-US"/>
        </w:rPr>
        <w:t xml:space="preserve"> </w:t>
      </w:r>
    </w:p>
    <w:p w14:paraId="1701CEEB" w14:textId="77777777" w:rsidR="00AD2E4B" w:rsidRDefault="00511FDA" w:rsidP="00AD2E4B">
      <w:pPr>
        <w:spacing w:before="240" w:line="480" w:lineRule="auto"/>
        <w:contextualSpacing/>
        <w:jc w:val="both"/>
        <w:rPr>
          <w:rFonts w:ascii="Times New Roman" w:hAnsi="Times New Roman" w:cs="Times New Roman"/>
          <w:sz w:val="24"/>
          <w:szCs w:val="24"/>
        </w:rPr>
      </w:pPr>
      <w:r w:rsidRPr="00511FDA">
        <w:rPr>
          <w:rFonts w:ascii="Times New Roman" w:hAnsi="Times New Roman" w:cs="Times New Roman"/>
          <w:sz w:val="24"/>
          <w:szCs w:val="24"/>
        </w:rPr>
        <w:t xml:space="preserve">En Barcelona, un </w:t>
      </w:r>
      <w:r>
        <w:rPr>
          <w:rFonts w:ascii="Times New Roman" w:hAnsi="Times New Roman" w:cs="Times New Roman"/>
          <w:sz w:val="24"/>
          <w:szCs w:val="24"/>
        </w:rPr>
        <w:t>e</w:t>
      </w:r>
      <w:r w:rsidRPr="00511FDA">
        <w:rPr>
          <w:rFonts w:ascii="Times New Roman" w:hAnsi="Times New Roman" w:cs="Times New Roman"/>
          <w:sz w:val="24"/>
          <w:szCs w:val="24"/>
        </w:rPr>
        <w:t>studio por distritos mostró una alta asociación entre variables sociodemogr</w:t>
      </w:r>
      <w:r>
        <w:rPr>
          <w:rFonts w:ascii="Times New Roman" w:hAnsi="Times New Roman" w:cs="Times New Roman"/>
          <w:sz w:val="24"/>
          <w:szCs w:val="24"/>
        </w:rPr>
        <w:t xml:space="preserve">áficas y la incidencia por COVID-19. </w:t>
      </w:r>
      <w:r w:rsidR="00FD4BEA">
        <w:rPr>
          <w:rFonts w:ascii="Times New Roman" w:hAnsi="Times New Roman" w:cs="Times New Roman"/>
          <w:sz w:val="24"/>
          <w:szCs w:val="24"/>
        </w:rPr>
        <w:t>C</w:t>
      </w:r>
      <w:r w:rsidR="00FD4BEA" w:rsidRPr="00511FDA">
        <w:rPr>
          <w:rFonts w:ascii="Times New Roman" w:hAnsi="Times New Roman" w:cs="Times New Roman"/>
          <w:sz w:val="24"/>
          <w:szCs w:val="24"/>
        </w:rPr>
        <w:t xml:space="preserve">abe señalar que el estudio Baena-Díez </w:t>
      </w:r>
      <w:r w:rsidR="00FD4BEA">
        <w:rPr>
          <w:rFonts w:ascii="Times New Roman" w:hAnsi="Times New Roman" w:cs="Times New Roman"/>
          <w:sz w:val="24"/>
          <w:szCs w:val="24"/>
          <w:lang w:val="en-US"/>
        </w:rPr>
        <w:fldChar w:fldCharType="begin" w:fldLock="1"/>
      </w:r>
      <w:r w:rsidR="00FD4BEA" w:rsidRPr="00FD4BEA">
        <w:rPr>
          <w:rFonts w:ascii="Times New Roman" w:hAnsi="Times New Roman" w:cs="Times New Roman"/>
          <w:sz w:val="24"/>
          <w:szCs w:val="24"/>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sidR="00FD4BEA">
        <w:rPr>
          <w:rFonts w:ascii="Times New Roman" w:hAnsi="Times New Roman" w:cs="Times New Roman"/>
          <w:sz w:val="24"/>
          <w:szCs w:val="24"/>
          <w:lang w:val="en-US"/>
        </w:rPr>
        <w:fldChar w:fldCharType="separate"/>
      </w:r>
      <w:r w:rsidR="00FD4BEA" w:rsidRPr="00FD4BEA">
        <w:rPr>
          <w:rFonts w:ascii="Times New Roman" w:hAnsi="Times New Roman" w:cs="Times New Roman"/>
          <w:noProof/>
          <w:sz w:val="24"/>
          <w:szCs w:val="24"/>
        </w:rPr>
        <w:t>(12)</w:t>
      </w:r>
      <w:r w:rsidR="00FD4BEA">
        <w:rPr>
          <w:rFonts w:ascii="Times New Roman" w:hAnsi="Times New Roman" w:cs="Times New Roman"/>
          <w:sz w:val="24"/>
          <w:szCs w:val="24"/>
          <w:lang w:val="en-US"/>
        </w:rPr>
        <w:fldChar w:fldCharType="end"/>
      </w:r>
      <w:r w:rsidR="00FD4BEA" w:rsidRPr="00FD4BEA">
        <w:rPr>
          <w:rFonts w:ascii="Times New Roman" w:hAnsi="Times New Roman" w:cs="Times New Roman"/>
          <w:sz w:val="24"/>
          <w:szCs w:val="24"/>
        </w:rPr>
        <w:t xml:space="preserve"> </w:t>
      </w:r>
      <w:r w:rsidR="00FD4BEA" w:rsidRPr="00511FDA">
        <w:rPr>
          <w:rFonts w:ascii="Times New Roman" w:hAnsi="Times New Roman" w:cs="Times New Roman"/>
          <w:sz w:val="24"/>
          <w:szCs w:val="24"/>
        </w:rPr>
        <w:t xml:space="preserve">mostró una alta correlación entre la renta media de la comunidad y las tasas de incidencia (Rho de </w:t>
      </w:r>
      <w:proofErr w:type="spellStart"/>
      <w:r w:rsidR="00FD4BEA" w:rsidRPr="00511FDA">
        <w:rPr>
          <w:rFonts w:ascii="Times New Roman" w:hAnsi="Times New Roman" w:cs="Times New Roman"/>
          <w:sz w:val="24"/>
          <w:szCs w:val="24"/>
        </w:rPr>
        <w:t>Spearman</w:t>
      </w:r>
      <w:proofErr w:type="spellEnd"/>
      <w:r w:rsidR="00FD4BEA" w:rsidRPr="00511FDA">
        <w:rPr>
          <w:rFonts w:ascii="Times New Roman" w:hAnsi="Times New Roman" w:cs="Times New Roman"/>
          <w:sz w:val="24"/>
          <w:szCs w:val="24"/>
        </w:rPr>
        <w:t xml:space="preserve"> = 0,83). </w:t>
      </w:r>
      <w:r w:rsidR="00FD4BEA">
        <w:rPr>
          <w:rFonts w:ascii="Times New Roman" w:hAnsi="Times New Roman" w:cs="Times New Roman"/>
          <w:sz w:val="24"/>
          <w:szCs w:val="24"/>
        </w:rPr>
        <w:t xml:space="preserve"> </w:t>
      </w:r>
    </w:p>
    <w:p w14:paraId="3B6BC98A" w14:textId="77777777" w:rsidR="00AD2E4B" w:rsidRDefault="00AD2E4B" w:rsidP="00AD2E4B">
      <w:pPr>
        <w:spacing w:before="240" w:line="480" w:lineRule="auto"/>
        <w:contextualSpacing/>
        <w:jc w:val="both"/>
        <w:rPr>
          <w:rFonts w:ascii="Times New Roman" w:hAnsi="Times New Roman" w:cs="Times New Roman"/>
          <w:sz w:val="24"/>
          <w:szCs w:val="24"/>
        </w:rPr>
      </w:pPr>
    </w:p>
    <w:p w14:paraId="311F8781" w14:textId="163954DD" w:rsidR="00C907FC" w:rsidRDefault="000E556B" w:rsidP="00AD2E4B">
      <w:pPr>
        <w:spacing w:before="240" w:line="480" w:lineRule="auto"/>
        <w:contextualSpacing/>
        <w:jc w:val="both"/>
        <w:rPr>
          <w:rFonts w:ascii="Times New Roman" w:hAnsi="Times New Roman" w:cs="Times New Roman"/>
          <w:sz w:val="24"/>
          <w:szCs w:val="24"/>
        </w:rPr>
      </w:pPr>
      <w:r w:rsidRPr="000E556B">
        <w:rPr>
          <w:rFonts w:ascii="Times New Roman" w:hAnsi="Times New Roman" w:cs="Times New Roman"/>
          <w:sz w:val="24"/>
          <w:szCs w:val="24"/>
        </w:rPr>
        <w:t>Si bien no se observaron estudios empíricos que cuantifiquen el impacto desigual de la morbilidad y mortalidad por COVID-19 en ciudades latinoamericanas, el potencial impacto diferencial de la pandemia en diferentes dimensiones de la vida social en las grandes ciudades latinoamericanas que anteriormente present</w:t>
      </w:r>
      <w:r>
        <w:rPr>
          <w:rFonts w:ascii="Times New Roman" w:hAnsi="Times New Roman" w:cs="Times New Roman"/>
          <w:sz w:val="24"/>
          <w:szCs w:val="24"/>
        </w:rPr>
        <w:t>aban altos grados de inequidad fue señalado</w:t>
      </w:r>
      <w:r w:rsidRPr="000E556B">
        <w:rPr>
          <w:rFonts w:ascii="Times New Roman" w:hAnsi="Times New Roman" w:cs="Times New Roman"/>
          <w:sz w:val="24"/>
          <w:szCs w:val="24"/>
        </w:rPr>
        <w:t xml:space="preserve"> en la literatura. </w:t>
      </w:r>
      <w:r w:rsidRPr="00D15315">
        <w:rPr>
          <w:rFonts w:ascii="Times New Roman" w:hAnsi="Times New Roman" w:cs="Times New Roman"/>
          <w:sz w:val="24"/>
          <w:szCs w:val="24"/>
        </w:rPr>
        <w:t>Diez-</w:t>
      </w:r>
      <w:proofErr w:type="spellStart"/>
      <w:r w:rsidRPr="00D15315">
        <w:rPr>
          <w:rFonts w:ascii="Times New Roman" w:hAnsi="Times New Roman" w:cs="Times New Roman"/>
          <w:sz w:val="24"/>
          <w:szCs w:val="24"/>
        </w:rPr>
        <w:t>Roux</w:t>
      </w:r>
      <w:proofErr w:type="spellEnd"/>
      <w:r w:rsidRPr="00D15315">
        <w:rPr>
          <w:rFonts w:ascii="Times New Roman" w:hAnsi="Times New Roman" w:cs="Times New Roman"/>
          <w:sz w:val="24"/>
          <w:szCs w:val="24"/>
        </w:rPr>
        <w:t xml:space="preserve"> et al. </w:t>
      </w:r>
      <w:r>
        <w:rPr>
          <w:rFonts w:ascii="Times New Roman" w:hAnsi="Times New Roman" w:cs="Times New Roman"/>
          <w:sz w:val="24"/>
          <w:szCs w:val="24"/>
          <w:lang w:val="en-US"/>
        </w:rPr>
        <w:fldChar w:fldCharType="begin" w:fldLock="1"/>
      </w:r>
      <w:r w:rsidRPr="00E8197C">
        <w:rPr>
          <w:rFonts w:ascii="Times New Roman" w:hAnsi="Times New Roman" w:cs="Times New Roman"/>
          <w:sz w:val="24"/>
          <w:szCs w:val="24"/>
        </w:rPr>
        <w:instrText>ADDIN CSL_CITATION {"citationItems":[{"id":"ITEM-1","itemData":{"DOI":"10.1080/23748834.2020.1809788","author":[{"dropping-particle":"","family":"Diez-Roux","given":"Ana V Diez","non-dropping-particle":"","parse-names":false,"suffix":""},{"dropping-particle":"","family":"Barrientos-Gutierrez","given":"Tonatiuh","non-dropping-particle":"","parse-names":false,"suffix":""},{"dropping-particle":"","family":"Caiaffa","given":"Waleska Teixeira","non-dropping-particle":"","parse-names":false,"suffix":""},{"dropping-particle":"","family":"Miranda","given":"J Jaime","non-dropping-particle":"","parse-names":false,"suffix":""},{"dropping-particle":"","family":"Rodriguez","given":"Daniel","non-dropping-particle":"","parse-names":false,"suffix":""},{"dropping-particle":"","family":"Sarmiento","given":"Olga Lucía","non-dropping-particle":"","parse-names":false,"suffix":""},{"dropping-particle":"","family":"Slesinski","given":"S Claire","non-dropping-particle":"","parse-names":false,"suffix":""},{"dropping-particle":"","family":"Vergara","given":"Alejandra Vives","non-dropping-particle":"","parse-names":false,"suffix":""}],"container-title":"Cities &amp; Health","id":"ITEM-1","issue":"0","issued":{"date-parts":[["2020"]]},"page":"1-5","publisher":"Taylor &amp; Francis","title":"Urban health and health equity in Latin American cities: what COVID-19 is teaching us","type":"article-journal","volume":"0"},"uris":["http://www.mendeley.com/documents/?uuid=7763d99b-01a1-409f-9691-ceee6dfc63d1"]}],"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lang w:val="en-US"/>
        </w:rPr>
        <w:fldChar w:fldCharType="separate"/>
      </w:r>
      <w:r w:rsidRPr="00D15315">
        <w:rPr>
          <w:rFonts w:ascii="Times New Roman" w:hAnsi="Times New Roman" w:cs="Times New Roman"/>
          <w:noProof/>
          <w:sz w:val="24"/>
          <w:szCs w:val="24"/>
        </w:rPr>
        <w:t>(13)</w:t>
      </w:r>
      <w:r>
        <w:rPr>
          <w:rFonts w:ascii="Times New Roman" w:hAnsi="Times New Roman" w:cs="Times New Roman"/>
          <w:sz w:val="24"/>
          <w:szCs w:val="24"/>
          <w:lang w:val="en-US"/>
        </w:rPr>
        <w:fldChar w:fldCharType="end"/>
      </w:r>
      <w:r w:rsidR="00D15315" w:rsidRPr="00D15315">
        <w:rPr>
          <w:rFonts w:ascii="Times New Roman" w:hAnsi="Times New Roman" w:cs="Times New Roman"/>
          <w:sz w:val="24"/>
          <w:szCs w:val="24"/>
        </w:rPr>
        <w:t xml:space="preserve"> </w:t>
      </w:r>
      <w:r w:rsidR="00D15315">
        <w:rPr>
          <w:rFonts w:ascii="Times New Roman" w:hAnsi="Times New Roman" w:cs="Times New Roman"/>
          <w:sz w:val="24"/>
          <w:szCs w:val="24"/>
        </w:rPr>
        <w:t xml:space="preserve">argumentó </w:t>
      </w:r>
      <w:r w:rsidR="00D15315" w:rsidRPr="00D15315">
        <w:rPr>
          <w:rFonts w:ascii="Times New Roman" w:hAnsi="Times New Roman" w:cs="Times New Roman"/>
          <w:sz w:val="24"/>
          <w:szCs w:val="24"/>
        </w:rPr>
        <w:t>que existen fenómenos cuyas consecuencias superan el impacto de las infecciones por COVID-19, superponiéndose con condiciones preexistentes de inequidad</w:t>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Así, además del impacto en la salud de las personas infectadas, existen consecuencias socioeconómicas de desempleo, pérdida de ingresos, retrasos en la atención de otras afecciones de salud, etc.</w:t>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 xml:space="preserve">En el mismo sentido, </w:t>
      </w:r>
      <w:proofErr w:type="spellStart"/>
      <w:r w:rsidR="00D15315" w:rsidRPr="00D15315">
        <w:rPr>
          <w:rFonts w:ascii="Times New Roman" w:hAnsi="Times New Roman" w:cs="Times New Roman"/>
          <w:sz w:val="24"/>
          <w:szCs w:val="24"/>
        </w:rPr>
        <w:t>Patel</w:t>
      </w:r>
      <w:proofErr w:type="spellEnd"/>
      <w:r w:rsidR="00D15315" w:rsidRPr="00D15315">
        <w:rPr>
          <w:rFonts w:ascii="Times New Roman" w:hAnsi="Times New Roman" w:cs="Times New Roman"/>
          <w:sz w:val="24"/>
          <w:szCs w:val="24"/>
        </w:rPr>
        <w:t xml:space="preserve"> </w:t>
      </w:r>
      <w:r w:rsidR="00D15315" w:rsidRPr="00D15315">
        <w:rPr>
          <w:rFonts w:ascii="Times New Roman" w:hAnsi="Times New Roman" w:cs="Times New Roman"/>
          <w:sz w:val="24"/>
          <w:szCs w:val="24"/>
          <w:highlight w:val="yellow"/>
        </w:rPr>
        <w:t xml:space="preserve">and </w:t>
      </w:r>
      <w:proofErr w:type="spellStart"/>
      <w:r w:rsidR="00D15315" w:rsidRPr="00D15315">
        <w:rPr>
          <w:rFonts w:ascii="Times New Roman" w:hAnsi="Times New Roman" w:cs="Times New Roman"/>
          <w:sz w:val="24"/>
          <w:szCs w:val="24"/>
          <w:highlight w:val="yellow"/>
        </w:rPr>
        <w:t>others</w:t>
      </w:r>
      <w:proofErr w:type="spellEnd"/>
      <w:r w:rsidR="00D15315" w:rsidRPr="00D15315">
        <w:rPr>
          <w:rFonts w:ascii="Times New Roman" w:hAnsi="Times New Roman" w:cs="Times New Roman"/>
          <w:sz w:val="24"/>
          <w:szCs w:val="24"/>
        </w:rPr>
        <w:t xml:space="preserve"> </w:t>
      </w:r>
      <w:r w:rsidR="00D15315">
        <w:rPr>
          <w:rFonts w:ascii="Times New Roman" w:hAnsi="Times New Roman" w:cs="Times New Roman"/>
          <w:sz w:val="24"/>
          <w:szCs w:val="24"/>
          <w:lang w:val="en-US"/>
        </w:rPr>
        <w:fldChar w:fldCharType="begin" w:fldLock="1"/>
      </w:r>
      <w:r w:rsidR="00D15315" w:rsidRPr="00D15315">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sidR="00D15315">
        <w:rPr>
          <w:rFonts w:ascii="Times New Roman" w:hAnsi="Times New Roman" w:cs="Times New Roman"/>
          <w:sz w:val="24"/>
          <w:szCs w:val="24"/>
          <w:lang w:val="en-US"/>
        </w:rPr>
        <w:fldChar w:fldCharType="separate"/>
      </w:r>
      <w:r w:rsidR="00D15315" w:rsidRPr="00D15315">
        <w:rPr>
          <w:rFonts w:ascii="Times New Roman" w:hAnsi="Times New Roman" w:cs="Times New Roman"/>
          <w:noProof/>
          <w:sz w:val="24"/>
          <w:szCs w:val="24"/>
        </w:rPr>
        <w:t>(14)</w:t>
      </w:r>
      <w:r w:rsidR="00D15315">
        <w:rPr>
          <w:rFonts w:ascii="Times New Roman" w:hAnsi="Times New Roman" w:cs="Times New Roman"/>
          <w:sz w:val="24"/>
          <w:szCs w:val="24"/>
          <w:lang w:val="en-US"/>
        </w:rPr>
        <w:fldChar w:fldCharType="end"/>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 xml:space="preserve">asociaron la frase  “el virus no discrimina”, repetida ocasionalmente por líderes políticos, expertos en salud pública y </w:t>
      </w:r>
      <w:r w:rsidR="00E36720">
        <w:rPr>
          <w:rFonts w:ascii="Times New Roman" w:hAnsi="Times New Roman" w:cs="Times New Roman"/>
          <w:sz w:val="24"/>
          <w:szCs w:val="24"/>
        </w:rPr>
        <w:t>comunicadores</w:t>
      </w:r>
      <w:r w:rsidR="00D15315" w:rsidRPr="00D15315">
        <w:rPr>
          <w:rFonts w:ascii="Times New Roman" w:hAnsi="Times New Roman" w:cs="Times New Roman"/>
          <w:sz w:val="24"/>
          <w:szCs w:val="24"/>
        </w:rPr>
        <w:t xml:space="preserve"> a una especie de "mito" que </w:t>
      </w:r>
      <w:proofErr w:type="spellStart"/>
      <w:r w:rsidR="00D15315" w:rsidRPr="00D15315">
        <w:rPr>
          <w:rFonts w:ascii="Times New Roman" w:hAnsi="Times New Roman" w:cs="Times New Roman"/>
          <w:sz w:val="24"/>
          <w:szCs w:val="24"/>
        </w:rPr>
        <w:t>invisibiliza</w:t>
      </w:r>
      <w:proofErr w:type="spellEnd"/>
      <w:r w:rsidR="00D15315" w:rsidRPr="00D15315">
        <w:rPr>
          <w:rFonts w:ascii="Times New Roman" w:hAnsi="Times New Roman" w:cs="Times New Roman"/>
          <w:sz w:val="24"/>
          <w:szCs w:val="24"/>
        </w:rPr>
        <w:t xml:space="preserve"> los diferentes grados de vulnerabilidad de las poblaciones.</w:t>
      </w:r>
    </w:p>
    <w:p w14:paraId="219E2792" w14:textId="77777777" w:rsidR="00AD2E4B" w:rsidRDefault="00AD2E4B" w:rsidP="00AD2E4B">
      <w:pPr>
        <w:spacing w:before="240" w:line="480" w:lineRule="auto"/>
        <w:contextualSpacing/>
        <w:jc w:val="both"/>
        <w:rPr>
          <w:rFonts w:ascii="Times New Roman" w:hAnsi="Times New Roman" w:cs="Times New Roman"/>
          <w:sz w:val="24"/>
          <w:szCs w:val="24"/>
        </w:rPr>
      </w:pPr>
    </w:p>
    <w:p w14:paraId="4B60DF5C" w14:textId="77777777" w:rsidR="00D15315" w:rsidRDefault="00D15315"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Otra referencia relevante representa el trabajo de </w:t>
      </w:r>
      <w:proofErr w:type="spellStart"/>
      <w:r w:rsidRPr="00D15315">
        <w:rPr>
          <w:rFonts w:ascii="Times New Roman" w:hAnsi="Times New Roman" w:cs="Times New Roman"/>
          <w:sz w:val="24"/>
          <w:szCs w:val="24"/>
        </w:rPr>
        <w:t>Patel</w:t>
      </w:r>
      <w:proofErr w:type="spellEnd"/>
      <w:r w:rsidRPr="00D15315">
        <w:rPr>
          <w:rFonts w:ascii="Times New Roman" w:hAnsi="Times New Roman" w:cs="Times New Roman"/>
          <w:sz w:val="24"/>
          <w:szCs w:val="24"/>
        </w:rPr>
        <w:t xml:space="preserve"> and </w:t>
      </w:r>
      <w:proofErr w:type="spellStart"/>
      <w:r w:rsidRPr="00D15315">
        <w:rPr>
          <w:rFonts w:ascii="Times New Roman" w:hAnsi="Times New Roman" w:cs="Times New Roman"/>
          <w:sz w:val="24"/>
          <w:szCs w:val="24"/>
        </w:rPr>
        <w:t>others</w:t>
      </w:r>
      <w:proofErr w:type="spellEnd"/>
      <w:r w:rsidRPr="00D15315">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ldLock="1"/>
      </w:r>
      <w:r w:rsidRPr="00D15315">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lang w:val="en-US"/>
        </w:rPr>
        <w:fldChar w:fldCharType="separate"/>
      </w:r>
      <w:r w:rsidRPr="00D15315">
        <w:rPr>
          <w:rFonts w:ascii="Times New Roman" w:hAnsi="Times New Roman" w:cs="Times New Roman"/>
          <w:noProof/>
          <w:sz w:val="24"/>
          <w:szCs w:val="24"/>
        </w:rPr>
        <w:t>(14)</w:t>
      </w:r>
      <w:r>
        <w:rPr>
          <w:rFonts w:ascii="Times New Roman" w:hAnsi="Times New Roman" w:cs="Times New Roman"/>
          <w:sz w:val="24"/>
          <w:szCs w:val="24"/>
          <w:lang w:val="en-US"/>
        </w:rPr>
        <w:fldChar w:fldCharType="end"/>
      </w:r>
      <w:r>
        <w:rPr>
          <w:rFonts w:ascii="Times New Roman" w:hAnsi="Times New Roman" w:cs="Times New Roman"/>
          <w:sz w:val="24"/>
          <w:szCs w:val="24"/>
        </w:rPr>
        <w:t xml:space="preserve"> </w:t>
      </w:r>
      <w:r w:rsidRPr="00D15315">
        <w:rPr>
          <w:rFonts w:ascii="Times New Roman" w:hAnsi="Times New Roman" w:cs="Times New Roman"/>
          <w:sz w:val="24"/>
          <w:szCs w:val="24"/>
        </w:rPr>
        <w:t>donde se problematizó el fenómeno de la urbanización y se señalaron características de grandes aglomerados urbanos como factores de influencia negativa en la salud de las poblaciones antes de la pandemia.</w:t>
      </w:r>
      <w:r w:rsidR="0094227B" w:rsidRPr="0094227B">
        <w:t xml:space="preserve"> </w:t>
      </w:r>
      <w:r w:rsidR="0094227B" w:rsidRPr="0094227B">
        <w:rPr>
          <w:rFonts w:ascii="Times New Roman" w:hAnsi="Times New Roman" w:cs="Times New Roman"/>
          <w:sz w:val="24"/>
          <w:szCs w:val="24"/>
        </w:rPr>
        <w:t>La alta densidad de población, el hacinamiento en asentamientos inseguros, la pobreza y el envejecimiento, entre otros, constituirían factores de vulnerabilidad de las poblaciones al surgimiento y resurgimiento de enfermedades infecciosas.</w:t>
      </w:r>
    </w:p>
    <w:p w14:paraId="5E65A5A9" w14:textId="77777777" w:rsidR="00AD2E4B" w:rsidRPr="00D15315" w:rsidRDefault="00AD2E4B" w:rsidP="00AD2E4B">
      <w:pPr>
        <w:spacing w:before="240" w:line="480" w:lineRule="auto"/>
        <w:contextualSpacing/>
        <w:jc w:val="both"/>
        <w:rPr>
          <w:rFonts w:ascii="Times New Roman" w:hAnsi="Times New Roman" w:cs="Times New Roman"/>
          <w:sz w:val="24"/>
          <w:szCs w:val="24"/>
        </w:rPr>
      </w:pPr>
    </w:p>
    <w:p w14:paraId="7C912B0B" w14:textId="77777777" w:rsidR="00F138DB" w:rsidRDefault="002338BD" w:rsidP="00AD2E4B">
      <w:pPr>
        <w:spacing w:before="240" w:line="480" w:lineRule="auto"/>
        <w:contextualSpacing/>
        <w:jc w:val="both"/>
        <w:rPr>
          <w:rFonts w:ascii="Times New Roman" w:hAnsi="Times New Roman" w:cs="Times New Roman"/>
          <w:sz w:val="24"/>
          <w:szCs w:val="24"/>
        </w:rPr>
      </w:pPr>
      <w:r w:rsidRPr="002338BD">
        <w:rPr>
          <w:rFonts w:ascii="Times New Roman" w:hAnsi="Times New Roman" w:cs="Times New Roman"/>
          <w:sz w:val="24"/>
          <w:szCs w:val="24"/>
        </w:rPr>
        <w:t xml:space="preserve">También debe destacarse la desigualdad en la disponibilidad de información entre países y áreas </w:t>
      </w:r>
      <w:proofErr w:type="spellStart"/>
      <w:r w:rsidRPr="002338BD">
        <w:rPr>
          <w:rFonts w:ascii="Times New Roman" w:hAnsi="Times New Roman" w:cs="Times New Roman"/>
          <w:sz w:val="24"/>
          <w:szCs w:val="24"/>
        </w:rPr>
        <w:t>subnacionales</w:t>
      </w:r>
      <w:proofErr w:type="spellEnd"/>
      <w:r w:rsidRPr="002338BD">
        <w:rPr>
          <w:rFonts w:ascii="Times New Roman" w:hAnsi="Times New Roman" w:cs="Times New Roman"/>
          <w:sz w:val="24"/>
          <w:szCs w:val="24"/>
        </w:rPr>
        <w:t xml:space="preserve"> </w:t>
      </w:r>
      <w:r w:rsidR="00AD2E4B">
        <w:rPr>
          <w:rFonts w:ascii="Times New Roman" w:hAnsi="Times New Roman" w:cs="Times New Roman"/>
          <w:sz w:val="24"/>
          <w:szCs w:val="24"/>
        </w:rPr>
        <w:t>ya que esta</w:t>
      </w:r>
      <w:r w:rsidRPr="002338BD">
        <w:rPr>
          <w:rFonts w:ascii="Times New Roman" w:hAnsi="Times New Roman" w:cs="Times New Roman"/>
          <w:sz w:val="24"/>
          <w:szCs w:val="24"/>
        </w:rPr>
        <w:t xml:space="preserve"> determina diferentes niveles de cobertura, exhaustividad y especificidad de las estadísticas.</w:t>
      </w:r>
      <w:r>
        <w:rPr>
          <w:rFonts w:ascii="Times New Roman" w:hAnsi="Times New Roman" w:cs="Times New Roman"/>
          <w:sz w:val="24"/>
          <w:szCs w:val="24"/>
        </w:rPr>
        <w:t xml:space="preserve"> </w:t>
      </w:r>
      <w:r w:rsidRPr="002338BD">
        <w:rPr>
          <w:rFonts w:ascii="Times New Roman" w:hAnsi="Times New Roman" w:cs="Times New Roman"/>
          <w:sz w:val="24"/>
          <w:szCs w:val="24"/>
        </w:rPr>
        <w:t xml:space="preserve">Los indicadores per cápita se difunden comúnmente como una medida de los fenómenos epidemiológicos, en particular la mortalidad. En este aspecto, el estudio de </w:t>
      </w:r>
      <w:proofErr w:type="spellStart"/>
      <w:r w:rsidRPr="002338BD">
        <w:rPr>
          <w:rFonts w:ascii="Times New Roman" w:hAnsi="Times New Roman" w:cs="Times New Roman"/>
          <w:sz w:val="24"/>
          <w:szCs w:val="24"/>
        </w:rPr>
        <w:t>Heuveline</w:t>
      </w:r>
      <w:proofErr w:type="spellEnd"/>
      <w:r w:rsidRPr="002338BD">
        <w:rPr>
          <w:rFonts w:ascii="Times New Roman" w:hAnsi="Times New Roman" w:cs="Times New Roman"/>
          <w:sz w:val="24"/>
          <w:szCs w:val="24"/>
        </w:rPr>
        <w:t xml:space="preserve"> y </w:t>
      </w:r>
      <w:proofErr w:type="spellStart"/>
      <w:r w:rsidRPr="002338BD">
        <w:rPr>
          <w:rFonts w:ascii="Times New Roman" w:hAnsi="Times New Roman" w:cs="Times New Roman"/>
          <w:sz w:val="24"/>
          <w:szCs w:val="24"/>
        </w:rPr>
        <w:t>Tzen</w:t>
      </w:r>
      <w:proofErr w:type="spellEnd"/>
      <w:r w:rsidRPr="002338BD">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ldLock="1"/>
      </w:r>
      <w:r w:rsidRPr="002338BD">
        <w:rPr>
          <w:rFonts w:ascii="Times New Roman" w:hAnsi="Times New Roman" w:cs="Times New Roman"/>
          <w:sz w:val="24"/>
          <w:szCs w:val="24"/>
        </w:rPr>
        <w:instrText>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lang w:val="en-US"/>
        </w:rPr>
        <w:fldChar w:fldCharType="separate"/>
      </w:r>
      <w:r w:rsidRPr="002338BD">
        <w:rPr>
          <w:rFonts w:ascii="Times New Roman" w:hAnsi="Times New Roman" w:cs="Times New Roman"/>
          <w:noProof/>
          <w:sz w:val="24"/>
          <w:szCs w:val="24"/>
        </w:rPr>
        <w:t>(16)</w:t>
      </w:r>
      <w:r>
        <w:rPr>
          <w:rFonts w:ascii="Times New Roman" w:hAnsi="Times New Roman" w:cs="Times New Roman"/>
          <w:sz w:val="24"/>
          <w:szCs w:val="24"/>
          <w:lang w:val="en-US"/>
        </w:rPr>
        <w:fldChar w:fldCharType="end"/>
      </w:r>
      <w:r w:rsidRPr="002338BD">
        <w:rPr>
          <w:rFonts w:ascii="Times New Roman" w:hAnsi="Times New Roman" w:cs="Times New Roman"/>
          <w:sz w:val="24"/>
          <w:szCs w:val="24"/>
        </w:rPr>
        <w:t xml:space="preserve"> representa un aporte fundamental en términos metodológicos, ya que destaca la relevancia de ajustar los factores de confusión (estructura demográfica y tiempo transcurrido desde el inicio de la epidemia) para la evaluación del impacto de la pandemia en diferentes poblaciones</w:t>
      </w:r>
      <w:r>
        <w:rPr>
          <w:rFonts w:ascii="Times New Roman" w:hAnsi="Times New Roman" w:cs="Times New Roman"/>
          <w:sz w:val="24"/>
          <w:szCs w:val="24"/>
        </w:rPr>
        <w:t xml:space="preserve">. </w:t>
      </w:r>
      <w:proofErr w:type="gramStart"/>
      <w:r w:rsidRPr="002338BD">
        <w:rPr>
          <w:rFonts w:ascii="Times New Roman" w:hAnsi="Times New Roman" w:cs="Times New Roman"/>
          <w:sz w:val="24"/>
          <w:szCs w:val="24"/>
        </w:rPr>
        <w:t>Las estructuras demográficas más jóvenes generalmente se asocian con poblaciones con altos niveles de privación y</w:t>
      </w:r>
      <w:r>
        <w:rPr>
          <w:rFonts w:ascii="Times New Roman" w:hAnsi="Times New Roman" w:cs="Times New Roman"/>
          <w:sz w:val="24"/>
          <w:szCs w:val="24"/>
        </w:rPr>
        <w:t xml:space="preserve"> </w:t>
      </w:r>
      <w:r w:rsidRPr="002338BD">
        <w:rPr>
          <w:rFonts w:ascii="Times New Roman" w:hAnsi="Times New Roman" w:cs="Times New Roman"/>
          <w:sz w:val="24"/>
          <w:szCs w:val="24"/>
          <w:highlight w:val="yellow"/>
        </w:rPr>
        <w:t>enmascaramiento??</w:t>
      </w:r>
      <w:proofErr w:type="gramEnd"/>
      <w:r w:rsidRPr="002338BD">
        <w:rPr>
          <w:rFonts w:ascii="Times New Roman" w:hAnsi="Times New Roman" w:cs="Times New Roman"/>
          <w:sz w:val="24"/>
          <w:szCs w:val="24"/>
          <w:highlight w:val="yellow"/>
        </w:rPr>
        <w:t>,</w:t>
      </w:r>
      <w:r w:rsidRPr="002338BD">
        <w:rPr>
          <w:rFonts w:ascii="Times New Roman" w:hAnsi="Times New Roman" w:cs="Times New Roman"/>
          <w:sz w:val="24"/>
          <w:szCs w:val="24"/>
        </w:rPr>
        <w:t xml:space="preserve"> </w:t>
      </w:r>
      <w:r w:rsidRPr="008F0A49">
        <w:rPr>
          <w:rFonts w:ascii="Times New Roman" w:hAnsi="Times New Roman" w:cs="Times New Roman"/>
          <w:sz w:val="24"/>
          <w:szCs w:val="24"/>
          <w:highlight w:val="yellow"/>
        </w:rPr>
        <w:t>debido al efecto de confusión de la distribución por edades en la población, el nivel de daño por mortalidad, lo que determina bajas tasas brutas de mortalidad, por ejemplo.</w:t>
      </w:r>
    </w:p>
    <w:p w14:paraId="682D3F5A" w14:textId="77777777" w:rsidR="00AD2E4B" w:rsidRPr="002338BD" w:rsidRDefault="00AD2E4B" w:rsidP="00AD2E4B">
      <w:pPr>
        <w:spacing w:before="240" w:line="480" w:lineRule="auto"/>
        <w:contextualSpacing/>
        <w:jc w:val="both"/>
        <w:rPr>
          <w:rFonts w:ascii="Times New Roman" w:hAnsi="Times New Roman" w:cs="Times New Roman"/>
          <w:sz w:val="24"/>
          <w:szCs w:val="24"/>
        </w:rPr>
      </w:pPr>
    </w:p>
    <w:p w14:paraId="2AE4515D" w14:textId="73612598" w:rsidR="0059740D"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El objetivo de este estudio fue describir la morbilidad y mortalidad por COVID-19 en la CABA y cuantificar el nivel de desigualdad observado entre </w:t>
      </w:r>
      <w:r w:rsidRPr="008F0A49">
        <w:rPr>
          <w:rFonts w:ascii="Times New Roman" w:hAnsi="Times New Roman" w:cs="Times New Roman"/>
          <w:sz w:val="24"/>
          <w:szCs w:val="24"/>
          <w:highlight w:val="yellow"/>
        </w:rPr>
        <w:t xml:space="preserve">los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que la componen. El supuesto que </w:t>
      </w:r>
      <w:proofErr w:type="spellStart"/>
      <w:r w:rsidRPr="008F0A49">
        <w:rPr>
          <w:rFonts w:ascii="Times New Roman" w:hAnsi="Times New Roman" w:cs="Times New Roman"/>
          <w:sz w:val="24"/>
          <w:szCs w:val="24"/>
        </w:rPr>
        <w:t>guió</w:t>
      </w:r>
      <w:proofErr w:type="spellEnd"/>
      <w:r w:rsidRPr="008F0A49">
        <w:rPr>
          <w:rFonts w:ascii="Times New Roman" w:hAnsi="Times New Roman" w:cs="Times New Roman"/>
          <w:sz w:val="24"/>
          <w:szCs w:val="24"/>
        </w:rPr>
        <w:t xml:space="preserve"> la descripción se basó en que la desigual distribución de los indicadores de morbilidad y </w:t>
      </w:r>
      <w:r w:rsidRPr="008F0A49">
        <w:rPr>
          <w:rFonts w:ascii="Times New Roman" w:hAnsi="Times New Roman" w:cs="Times New Roman"/>
          <w:sz w:val="24"/>
          <w:szCs w:val="24"/>
        </w:rPr>
        <w:lastRenderedPageBreak/>
        <w:t>mortalidad representa un mayor impacto negativo en la zona sur de la ciudad, que integra los barrios de menores ingresos y es identificada en la bibliografía como el áre</w:t>
      </w:r>
      <w:r>
        <w:rPr>
          <w:rFonts w:ascii="Times New Roman" w:hAnsi="Times New Roman" w:cs="Times New Roman"/>
          <w:sz w:val="24"/>
          <w:szCs w:val="24"/>
        </w:rPr>
        <w:t>a más desatendida de la ciudad.</w:t>
      </w:r>
    </w:p>
    <w:p w14:paraId="14122552" w14:textId="77777777" w:rsidR="00AD2E4B" w:rsidRPr="008F0A49" w:rsidRDefault="00AD2E4B" w:rsidP="00AD2E4B">
      <w:pPr>
        <w:spacing w:before="240" w:line="480" w:lineRule="auto"/>
        <w:contextualSpacing/>
        <w:jc w:val="both"/>
        <w:rPr>
          <w:rFonts w:ascii="Times New Roman" w:hAnsi="Times New Roman" w:cs="Times New Roman"/>
          <w:sz w:val="24"/>
          <w:szCs w:val="24"/>
        </w:rPr>
      </w:pPr>
    </w:p>
    <w:p w14:paraId="6A4C03C1" w14:textId="5DD3EB6C" w:rsidR="00AD2E4B" w:rsidRPr="00E8197C" w:rsidRDefault="001C00FB" w:rsidP="00AD2E4B">
      <w:pPr>
        <w:spacing w:before="240" w:line="480" w:lineRule="auto"/>
        <w:contextualSpacing/>
        <w:jc w:val="both"/>
        <w:rPr>
          <w:rFonts w:ascii="Times New Roman" w:hAnsi="Times New Roman" w:cs="Times New Roman"/>
          <w:b/>
          <w:sz w:val="24"/>
          <w:szCs w:val="24"/>
        </w:rPr>
      </w:pPr>
      <w:r w:rsidRPr="00E8197C">
        <w:rPr>
          <w:rFonts w:ascii="Times New Roman" w:hAnsi="Times New Roman" w:cs="Times New Roman"/>
          <w:b/>
          <w:sz w:val="24"/>
          <w:szCs w:val="24"/>
        </w:rPr>
        <w:t>METHODS</w:t>
      </w:r>
    </w:p>
    <w:p w14:paraId="0138EDE4" w14:textId="5BE89890" w:rsidR="008F0A49"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La investigación fue un estudio observacional, de </w:t>
      </w:r>
      <w:r>
        <w:rPr>
          <w:rFonts w:ascii="Times New Roman" w:hAnsi="Times New Roman" w:cs="Times New Roman"/>
          <w:sz w:val="24"/>
          <w:szCs w:val="24"/>
        </w:rPr>
        <w:t>enfoque</w:t>
      </w:r>
      <w:r w:rsidRPr="008F0A49">
        <w:rPr>
          <w:rFonts w:ascii="Times New Roman" w:hAnsi="Times New Roman" w:cs="Times New Roman"/>
          <w:sz w:val="24"/>
          <w:szCs w:val="24"/>
        </w:rPr>
        <w:t xml:space="preserve"> descriptivo, a partir de agregados poblacionales. El enfoque temporal fue transversal. Las unidades de análisis estuvieron representadas por cada </w:t>
      </w:r>
      <w:r w:rsidR="0009618E">
        <w:rPr>
          <w:rFonts w:ascii="Times New Roman" w:hAnsi="Times New Roman" w:cs="Times New Roman"/>
          <w:sz w:val="24"/>
          <w:szCs w:val="24"/>
        </w:rPr>
        <w:t>distrito</w:t>
      </w:r>
      <w:r w:rsidRPr="008F0A49">
        <w:rPr>
          <w:rFonts w:ascii="Times New Roman" w:hAnsi="Times New Roman" w:cs="Times New Roman"/>
          <w:sz w:val="24"/>
          <w:szCs w:val="24"/>
        </w:rPr>
        <w:t xml:space="preserve"> de la CABA. El estudio poblacional estuvo constituido por los 15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en</w:t>
      </w:r>
      <w:r w:rsidR="0009618E">
        <w:rPr>
          <w:rFonts w:ascii="Times New Roman" w:hAnsi="Times New Roman" w:cs="Times New Roman"/>
          <w:sz w:val="24"/>
          <w:szCs w:val="24"/>
        </w:rPr>
        <w:t xml:space="preserve"> </w:t>
      </w:r>
      <w:proofErr w:type="spellStart"/>
      <w:r w:rsidR="0009618E">
        <w:rPr>
          <w:rFonts w:ascii="Times New Roman" w:hAnsi="Times New Roman" w:cs="Times New Roman"/>
          <w:sz w:val="24"/>
          <w:szCs w:val="24"/>
        </w:rPr>
        <w:t>lso</w:t>
      </w:r>
      <w:proofErr w:type="spellEnd"/>
      <w:r w:rsidRPr="008F0A49">
        <w:rPr>
          <w:rFonts w:ascii="Times New Roman" w:hAnsi="Times New Roman" w:cs="Times New Roman"/>
          <w:sz w:val="24"/>
          <w:szCs w:val="24"/>
        </w:rPr>
        <w:t xml:space="preserve"> que se divide la CABA. </w:t>
      </w:r>
    </w:p>
    <w:p w14:paraId="3ECFA7BE" w14:textId="3AA17933" w:rsidR="008F0A49"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Los resultados se describieron por distritos y zonas. La división de la ciudad en distritos responde a una división </w:t>
      </w:r>
      <w:proofErr w:type="spellStart"/>
      <w:r w:rsidRPr="008F0A49">
        <w:rPr>
          <w:rFonts w:ascii="Times New Roman" w:hAnsi="Times New Roman" w:cs="Times New Roman"/>
          <w:sz w:val="24"/>
          <w:szCs w:val="24"/>
        </w:rPr>
        <w:t>interjurisdiccional</w:t>
      </w:r>
      <w:proofErr w:type="spellEnd"/>
      <w:r w:rsidRPr="008F0A49">
        <w:rPr>
          <w:rFonts w:ascii="Times New Roman" w:hAnsi="Times New Roman" w:cs="Times New Roman"/>
          <w:sz w:val="24"/>
          <w:szCs w:val="24"/>
        </w:rPr>
        <w:t xml:space="preserve"> y político-administrativa del territorio. Las zonas representan agrupaciones de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según la homogeneidad observada en diferentes indicadores de condiciones de vida. Así, se considera que la zona sur está formada por los distritos 4, 8, 9 y 10; la zona central está formada por los distritos 1, 3, 4, 5, 6, 7, 11, 12 y 15; y la zona norte está formada por los distritos 2, 13 y 14.</w:t>
      </w:r>
    </w:p>
    <w:p w14:paraId="3F6305B1" w14:textId="77777777" w:rsidR="00AD2E4B" w:rsidRDefault="00AD2E4B" w:rsidP="00AD2E4B">
      <w:pPr>
        <w:spacing w:before="240" w:line="480" w:lineRule="auto"/>
        <w:contextualSpacing/>
        <w:jc w:val="both"/>
        <w:rPr>
          <w:rFonts w:ascii="Times New Roman" w:hAnsi="Times New Roman" w:cs="Times New Roman"/>
          <w:sz w:val="24"/>
          <w:szCs w:val="24"/>
        </w:rPr>
      </w:pPr>
    </w:p>
    <w:p w14:paraId="54DE2693" w14:textId="5EE86817" w:rsidR="00B43A3F" w:rsidRPr="0021474A"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Para la descripción de las desigualdades se utilizó como gradiente sociodemográfico el ingreso total promedio de cada comuna registrado en la </w:t>
      </w:r>
      <w:r>
        <w:rPr>
          <w:rFonts w:ascii="Times New Roman" w:hAnsi="Times New Roman" w:cs="Times New Roman"/>
          <w:sz w:val="24"/>
          <w:szCs w:val="24"/>
        </w:rPr>
        <w:t xml:space="preserve">Encuesta Anual de Hogares 2019 </w:t>
      </w:r>
      <w:r>
        <w:rPr>
          <w:rFonts w:ascii="Times New Roman" w:hAnsi="Times New Roman" w:cs="Times New Roman"/>
          <w:sz w:val="24"/>
          <w:szCs w:val="24"/>
          <w:lang w:val="en-US"/>
        </w:rPr>
        <w:fldChar w:fldCharType="begin" w:fldLock="1"/>
      </w:r>
      <w:r w:rsidRPr="008F0A49">
        <w:rPr>
          <w:rFonts w:ascii="Times New Roman" w:hAnsi="Times New Roman" w:cs="Times New Roman"/>
          <w:sz w:val="24"/>
          <w:szCs w:val="24"/>
        </w:rPr>
        <w:instrText>ADDIN CSL_CITATION {"citationItems":[{"id":"ITEM-1","itemData":{"URL":"https://www.estadisticaciudad.gob.ar/eyc/wp-content/uploads/2018/05/MT_eah_2217.xlsx","author":[{"dropping-particle":"","family":"GCBA)","given":"Dirección General de Estadística y Censos (Ministerio de Hacienda","non-dropping-particle":"","parse-names":false,"suffix":""}],"id":"ITEM-1","issued":{"date-parts":[["2019"]]},"title":"Promedio del ingreso total familiar (ITF) según comuna. Ciudad de Buenos Aires. Años 2008/2019","type":"webpage"},"uris":["http://www.mendeley.com/documents/?uuid=3e38ccbb-293a-4d96-950a-0a49bb1778f5"]}],"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lang w:val="en-US"/>
        </w:rPr>
        <w:fldChar w:fldCharType="separate"/>
      </w:r>
      <w:r w:rsidRPr="008F0A49">
        <w:rPr>
          <w:rFonts w:ascii="Times New Roman" w:hAnsi="Times New Roman" w:cs="Times New Roman"/>
          <w:noProof/>
          <w:sz w:val="24"/>
          <w:szCs w:val="24"/>
        </w:rPr>
        <w:t>(17)</w:t>
      </w:r>
      <w:r>
        <w:rPr>
          <w:rFonts w:ascii="Times New Roman" w:hAnsi="Times New Roman" w:cs="Times New Roman"/>
          <w:sz w:val="24"/>
          <w:szCs w:val="24"/>
          <w:lang w:val="en-US"/>
        </w:rPr>
        <w:fldChar w:fldCharType="end"/>
      </w:r>
      <w:r w:rsidRPr="008F0A49">
        <w:rPr>
          <w:rFonts w:ascii="Times New Roman" w:hAnsi="Times New Roman" w:cs="Times New Roman"/>
          <w:sz w:val="24"/>
          <w:szCs w:val="24"/>
        </w:rPr>
        <w:t xml:space="preserve">. Para evitar el uso de valores monetarios desactualizados, se calculó un índice basado en la relación entre el ingreso familiar promedio de cada </w:t>
      </w:r>
      <w:r w:rsidR="0009618E">
        <w:rPr>
          <w:rFonts w:ascii="Times New Roman" w:hAnsi="Times New Roman" w:cs="Times New Roman"/>
          <w:sz w:val="24"/>
          <w:szCs w:val="24"/>
        </w:rPr>
        <w:t>distrito</w:t>
      </w:r>
      <w:r w:rsidRPr="008F0A49">
        <w:rPr>
          <w:rFonts w:ascii="Times New Roman" w:hAnsi="Times New Roman" w:cs="Times New Roman"/>
          <w:sz w:val="24"/>
          <w:szCs w:val="24"/>
        </w:rPr>
        <w:t xml:space="preserve"> y el total de la CABA, de modo que los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con valores inferiores a uno representaban a las comunas con ingresos promedio inferiores al promedio de la ciudad y viceversa. </w:t>
      </w:r>
      <w:r w:rsidRPr="0021474A">
        <w:rPr>
          <w:rFonts w:ascii="Times New Roman" w:hAnsi="Times New Roman" w:cs="Times New Roman"/>
          <w:sz w:val="24"/>
          <w:szCs w:val="24"/>
        </w:rPr>
        <w:t>Se denominó "índice de ingreso estandarizado" (IIE).</w:t>
      </w:r>
    </w:p>
    <w:p w14:paraId="697AB5FC" w14:textId="77777777" w:rsidR="008F0A49" w:rsidRDefault="0021474A" w:rsidP="00AD2E4B">
      <w:pPr>
        <w:spacing w:before="240" w:line="480" w:lineRule="auto"/>
        <w:contextualSpacing/>
        <w:jc w:val="both"/>
        <w:rPr>
          <w:rFonts w:ascii="Times New Roman" w:hAnsi="Times New Roman" w:cs="Times New Roman"/>
          <w:sz w:val="24"/>
          <w:szCs w:val="24"/>
        </w:rPr>
      </w:pPr>
      <w:r w:rsidRPr="0021474A">
        <w:rPr>
          <w:rFonts w:ascii="Times New Roman" w:hAnsi="Times New Roman" w:cs="Times New Roman"/>
          <w:sz w:val="24"/>
          <w:szCs w:val="24"/>
        </w:rPr>
        <w:t xml:space="preserve">La información utilizada fue reportada hasta el 30/04/2021 en la página web del Gobierno de la Ciudad de Buenos Aires </w:t>
      </w:r>
      <w:r>
        <w:rPr>
          <w:rFonts w:ascii="Times New Roman" w:hAnsi="Times New Roman" w:cs="Times New Roman"/>
          <w:sz w:val="24"/>
          <w:szCs w:val="24"/>
          <w:lang w:val="en-US"/>
        </w:rPr>
        <w:fldChar w:fldCharType="begin" w:fldLock="1"/>
      </w:r>
      <w:r w:rsidRPr="0021474A">
        <w:rPr>
          <w:rFonts w:ascii="Times New Roman" w:hAnsi="Times New Roman" w:cs="Times New Roman"/>
          <w:sz w:val="24"/>
          <w:szCs w:val="24"/>
        </w:rPr>
        <w:instrText>ADDIN CSL_CITATION {"citationItems":[{"id":"ITEM-1","itemData":{"URL":"https://data.buenosaires.gob.ar/dataset/casos-covid-19","author":[{"dropping-particle":"","family":"Gobierno de la Ciudad Autónoma de Buenos Aires","given":"","non-dropping-particle":"","parse-names":false,"suffix":""}],"id":"ITEM-1","issued":{"date-parts":[["2020"]]},"title":"Buenos Aires Data","type":"webpage"},"uris":["http://www.mendeley.com/documents/?uuid=f9482f8f-af43-4cc0-88ca-b894e3f92186"]}],"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lang w:val="en-US"/>
        </w:rPr>
        <w:fldChar w:fldCharType="separate"/>
      </w:r>
      <w:r w:rsidRPr="0021474A">
        <w:rPr>
          <w:rFonts w:ascii="Times New Roman" w:hAnsi="Times New Roman" w:cs="Times New Roman"/>
          <w:noProof/>
          <w:sz w:val="24"/>
          <w:szCs w:val="24"/>
        </w:rPr>
        <w:t>(18)</w:t>
      </w:r>
      <w:r>
        <w:rPr>
          <w:rFonts w:ascii="Times New Roman" w:hAnsi="Times New Roman" w:cs="Times New Roman"/>
          <w:sz w:val="24"/>
          <w:szCs w:val="24"/>
          <w:lang w:val="en-US"/>
        </w:rPr>
        <w:fldChar w:fldCharType="end"/>
      </w:r>
      <w:r w:rsidRPr="0021474A">
        <w:rPr>
          <w:rFonts w:ascii="Times New Roman" w:hAnsi="Times New Roman" w:cs="Times New Roman"/>
          <w:sz w:val="24"/>
          <w:szCs w:val="24"/>
        </w:rPr>
        <w:t xml:space="preserve">, un portal que ofrece </w:t>
      </w:r>
      <w:proofErr w:type="spellStart"/>
      <w:r w:rsidRPr="0021474A">
        <w:rPr>
          <w:rFonts w:ascii="Times New Roman" w:hAnsi="Times New Roman" w:cs="Times New Roman"/>
          <w:sz w:val="24"/>
          <w:szCs w:val="24"/>
        </w:rPr>
        <w:t>microdatos</w:t>
      </w:r>
      <w:proofErr w:type="spellEnd"/>
      <w:r w:rsidRPr="0021474A">
        <w:rPr>
          <w:rFonts w:ascii="Times New Roman" w:hAnsi="Times New Roman" w:cs="Times New Roman"/>
          <w:sz w:val="24"/>
          <w:szCs w:val="24"/>
        </w:rPr>
        <w:t xml:space="preserve"> de la información epidemiológica oficial del Gobierno de la Ciudad de Buenos Aires que proviene del Sistema Nacional de Vigilancia </w:t>
      </w:r>
      <w:r w:rsidRPr="0021474A">
        <w:rPr>
          <w:rFonts w:ascii="Times New Roman" w:hAnsi="Times New Roman" w:cs="Times New Roman"/>
          <w:sz w:val="24"/>
          <w:szCs w:val="24"/>
        </w:rPr>
        <w:lastRenderedPageBreak/>
        <w:t>de la Salud de Argentina. Se excluyeron del análisis los casos que no tenían información sobre la edad o la comuna de residencia. Así, se rechazaron 11079 de los 339652 casos totales (3,3%). Entre los casos confirmados, los registros descartados representaron el 2,7%.</w:t>
      </w:r>
      <w:r w:rsidR="00FF5ABB">
        <w:rPr>
          <w:rFonts w:ascii="Times New Roman" w:hAnsi="Times New Roman" w:cs="Times New Roman"/>
          <w:sz w:val="24"/>
          <w:szCs w:val="24"/>
        </w:rPr>
        <w:t xml:space="preserve"> Además, se hallaron 14 casos con error de carga en la fecha de clasificación </w:t>
      </w:r>
      <w:commentRangeStart w:id="2"/>
      <w:r w:rsidR="00FF5ABB">
        <w:rPr>
          <w:rFonts w:ascii="Times New Roman" w:hAnsi="Times New Roman" w:cs="Times New Roman"/>
          <w:sz w:val="24"/>
          <w:szCs w:val="24"/>
        </w:rPr>
        <w:t xml:space="preserve">(fecha previa al primer caso notificado en la ciudad) </w:t>
      </w:r>
      <w:commentRangeEnd w:id="2"/>
      <w:r w:rsidR="00FF5ABB">
        <w:rPr>
          <w:rStyle w:val="Refdecomentario"/>
        </w:rPr>
        <w:commentReference w:id="2"/>
      </w:r>
      <w:r w:rsidR="00FF5ABB">
        <w:rPr>
          <w:rFonts w:ascii="Times New Roman" w:hAnsi="Times New Roman" w:cs="Times New Roman"/>
          <w:sz w:val="24"/>
          <w:szCs w:val="24"/>
        </w:rPr>
        <w:t xml:space="preserve">a los que se les asignó la fecha de apertura ya que es una variable automática del sistema de notificación. </w:t>
      </w:r>
      <w:r w:rsidR="00FF5ABB" w:rsidRPr="00FF5ABB">
        <w:rPr>
          <w:rFonts w:ascii="Times New Roman" w:hAnsi="Times New Roman" w:cs="Times New Roman"/>
          <w:sz w:val="24"/>
          <w:szCs w:val="24"/>
        </w:rPr>
        <w:t xml:space="preserve">Las poblaciones utilizadas para el cálculo de los indicadores fueron las elaboradas por la Dirección General de Estadística y Censos </w:t>
      </w:r>
      <w:r w:rsidR="00FF5ABB">
        <w:rPr>
          <w:rFonts w:ascii="Times New Roman" w:hAnsi="Times New Roman" w:cs="Times New Roman"/>
          <w:sz w:val="24"/>
          <w:szCs w:val="24"/>
        </w:rPr>
        <w:fldChar w:fldCharType="begin" w:fldLock="1"/>
      </w:r>
      <w:r w:rsidR="00FF5ABB" w:rsidRPr="00FF5ABB">
        <w:rPr>
          <w:rFonts w:ascii="Times New Roman" w:hAnsi="Times New Roman" w:cs="Times New Roman"/>
          <w:sz w:val="24"/>
          <w:szCs w:val="24"/>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00FF5ABB">
        <w:rPr>
          <w:rFonts w:ascii="Times New Roman" w:hAnsi="Times New Roman" w:cs="Times New Roman"/>
          <w:sz w:val="24"/>
          <w:szCs w:val="24"/>
        </w:rPr>
        <w:fldChar w:fldCharType="separate"/>
      </w:r>
      <w:r w:rsidR="00FF5ABB" w:rsidRPr="00FF5ABB">
        <w:rPr>
          <w:rFonts w:ascii="Times New Roman" w:hAnsi="Times New Roman" w:cs="Times New Roman"/>
          <w:noProof/>
          <w:sz w:val="24"/>
          <w:szCs w:val="24"/>
        </w:rPr>
        <w:t>(3)</w:t>
      </w:r>
      <w:r w:rsidR="00FF5ABB">
        <w:rPr>
          <w:rFonts w:ascii="Times New Roman" w:hAnsi="Times New Roman" w:cs="Times New Roman"/>
          <w:sz w:val="24"/>
          <w:szCs w:val="24"/>
        </w:rPr>
        <w:fldChar w:fldCharType="end"/>
      </w:r>
      <w:r w:rsidR="00FF5ABB" w:rsidRPr="00FF5ABB">
        <w:rPr>
          <w:rFonts w:ascii="Times New Roman" w:hAnsi="Times New Roman" w:cs="Times New Roman"/>
          <w:sz w:val="24"/>
          <w:szCs w:val="24"/>
        </w:rPr>
        <w:t xml:space="preserve"> y corresponden al año 2020.</w:t>
      </w:r>
    </w:p>
    <w:p w14:paraId="23A4638F" w14:textId="77777777" w:rsidR="00AD2E4B" w:rsidRPr="0021474A" w:rsidRDefault="00AD2E4B" w:rsidP="00AD2E4B">
      <w:pPr>
        <w:spacing w:before="240" w:line="480" w:lineRule="auto"/>
        <w:contextualSpacing/>
        <w:jc w:val="both"/>
        <w:rPr>
          <w:rFonts w:ascii="Times New Roman" w:hAnsi="Times New Roman" w:cs="Times New Roman"/>
          <w:sz w:val="24"/>
          <w:szCs w:val="24"/>
        </w:rPr>
      </w:pPr>
    </w:p>
    <w:p w14:paraId="748C24B6" w14:textId="2B28974E" w:rsidR="00B43A3F" w:rsidRDefault="00FF5ABB" w:rsidP="00AD2E4B">
      <w:pPr>
        <w:spacing w:before="240" w:line="480" w:lineRule="auto"/>
        <w:contextualSpacing/>
        <w:jc w:val="both"/>
        <w:rPr>
          <w:rFonts w:ascii="Times New Roman" w:hAnsi="Times New Roman" w:cs="Times New Roman"/>
          <w:sz w:val="24"/>
          <w:szCs w:val="24"/>
        </w:rPr>
      </w:pPr>
      <w:r w:rsidRPr="00FF5ABB">
        <w:rPr>
          <w:rFonts w:ascii="Times New Roman" w:hAnsi="Times New Roman" w:cs="Times New Roman"/>
          <w:sz w:val="24"/>
          <w:szCs w:val="24"/>
        </w:rPr>
        <w:t xml:space="preserve">Para el conjunto de la CABA y para cada </w:t>
      </w:r>
      <w:r>
        <w:rPr>
          <w:rFonts w:ascii="Times New Roman" w:hAnsi="Times New Roman" w:cs="Times New Roman"/>
          <w:sz w:val="24"/>
          <w:szCs w:val="24"/>
        </w:rPr>
        <w:t>distrito</w:t>
      </w:r>
      <w:r w:rsidRPr="00FF5ABB">
        <w:rPr>
          <w:rFonts w:ascii="Times New Roman" w:hAnsi="Times New Roman" w:cs="Times New Roman"/>
          <w:sz w:val="24"/>
          <w:szCs w:val="24"/>
        </w:rPr>
        <w:t xml:space="preserve"> se calculó la tasa de incidencia acumulada por 1000 personas, la tasa de mortalidad por 1000 personas, </w:t>
      </w:r>
      <w:commentRangeStart w:id="3"/>
      <w:r w:rsidRPr="00FF5ABB">
        <w:rPr>
          <w:rFonts w:ascii="Times New Roman" w:hAnsi="Times New Roman" w:cs="Times New Roman"/>
          <w:sz w:val="24"/>
          <w:szCs w:val="24"/>
        </w:rPr>
        <w:t>la tasa de letalidad y el porcentaje de positividad</w:t>
      </w:r>
      <w:commentRangeEnd w:id="3"/>
      <w:r>
        <w:rPr>
          <w:rStyle w:val="Refdecomentario"/>
        </w:rPr>
        <w:commentReference w:id="3"/>
      </w:r>
      <w:r w:rsidRPr="00FF5ABB">
        <w:rPr>
          <w:rFonts w:ascii="Times New Roman" w:hAnsi="Times New Roman" w:cs="Times New Roman"/>
          <w:sz w:val="24"/>
          <w:szCs w:val="24"/>
        </w:rPr>
        <w:t xml:space="preserve">. Para medir los niveles de mortalidad por </w:t>
      </w:r>
      <w:r w:rsidR="0009618E">
        <w:rPr>
          <w:rFonts w:ascii="Times New Roman" w:hAnsi="Times New Roman" w:cs="Times New Roman"/>
          <w:sz w:val="24"/>
          <w:szCs w:val="24"/>
        </w:rPr>
        <w:t>distrito</w:t>
      </w:r>
      <w:r w:rsidRPr="00FF5ABB">
        <w:rPr>
          <w:rFonts w:ascii="Times New Roman" w:hAnsi="Times New Roman" w:cs="Times New Roman"/>
          <w:sz w:val="24"/>
          <w:szCs w:val="24"/>
        </w:rPr>
        <w:t xml:space="preserve">, eliminando el factor de confusión de las diferentes estructuras demográficas, se calculó la razón de mortalidad estandarizada (RME) según la metodología propuesta por la Organización Panamericana de la Salud </w:t>
      </w:r>
      <w:r w:rsidR="00346BD3">
        <w:rPr>
          <w:rFonts w:ascii="Times New Roman" w:hAnsi="Times New Roman" w:cs="Times New Roman"/>
          <w:sz w:val="24"/>
          <w:szCs w:val="24"/>
          <w:lang w:val="en-US"/>
        </w:rPr>
        <w:fldChar w:fldCharType="begin" w:fldLock="1"/>
      </w:r>
      <w:r w:rsidR="00346BD3" w:rsidRPr="00346BD3">
        <w:rPr>
          <w:rFonts w:ascii="Times New Roman" w:hAnsi="Times New Roman" w:cs="Times New Roman"/>
          <w:sz w:val="24"/>
          <w:szCs w:val="24"/>
        </w:rPr>
        <w:instrText>ADDIN CSL_CITATION {"citationItems":[{"id":"ITEM-1","itemData":{"abstract":"Existen dos métodos principales de estandarización, se-gún si se usa como estándar la distribución de una población (método directo) o un conjunto de tasas específicas (método indirecto). Los dos métodos se presentan a continuación. Método directo En el método directo de estandarización, se calcula la tasa que se esperaría encontrar en las poblaciones bajo estu-dio si todas tuvieran la misma composición según la variable cuyo efecto se espera ajustar o controlar. Se utiliza la estruc-tura de una población llamada \" estándar \" , cuyos estratos corresponden al factor que se quiere controlar y a la cual se aplica las tasas específicas por esos mismos estratos de las poblaciones estudiadas. De esta forma se obtiene el número de casos \" esperado \" en cada estrato si la composición fuera la misma en cada población. La tasa ajustada o \" estandariza-da \" se obtiene dividiendo el total de casos esperados por el total de la población estándar. Un ejemplo se presenta en el cuadro 2. Una etapa importante del método directo de estandariza-ción es la selección de la población estándar. 3 El valor de la tasa ajustada depende de la población estándar utilizada, y en cierta medida se puede escoger esta población de manera arbitraria, porque los valores calculados no tienen significa-ción en términos absolutos. Las tasas ajustadas son produc-tos de un cálculo hipotético que no representa los valores Cuadro 2: Comparación de la tasa de mortalidad general estandarizada por edad en México y los Estados Unidos, 1995-1997, utilizando el método directo En este ejemplo se utilizó como población estándar la llamada \" vieja \" población estándar mundial definida por Waterhouse (Ver cuadro 3). La tasa cruda de mortalidad para todas las edades en los Estados Unidos para 1995-1997 es 8,7 por 1.000 habitantes. En México es mucho más baja ya que es de 4,7 por 1.000 habitantes. Se podría pensar que la tasa más alta en los Estados Unidos puede deberse a una estructura de población más vieja que en México. Por lo tanto, se quiere estudiar las tasas de los dos países, controlando el efecto de las diferencias en la estructura de edad. En este ejemplo, para el método directo se necesita: -Las tasas de mortalidad específica por estrato de la característica que se quiere controlar, en este caso la edad, en cada población (i.e. México y los Estados Unidos) -Una población estándar, estratificada de la misma manera Primero se calcula el número esperado de muertes en los dos países, aplicando la t…","author":[{"dropping-particle":"","family":"OPS","given":"","non-dropping-particle":"","parse-names":false,"suffix":""}],"container-title":"Boletin epidemiológico","id":"ITEM-1","issued":{"date-parts":[["2002"]]},"title":"La estandarización: un metodo epidemiológico clásico para la comparación de tasas","type":"article-journal"},"uris":["http://www.mendeley.com/documents/?uuid=ec740de6-56af-4bd9-b656-77359bbb43c2"]}],"mendeley":{"formattedCitation":"(19)","plainTextFormattedCitation":"(19)"},"properties":{"noteIndex":0},"schema":"https://github.com/citation-style-language/schema/raw/master/csl-citation.json"}</w:instrText>
      </w:r>
      <w:r w:rsidR="00346BD3">
        <w:rPr>
          <w:rFonts w:ascii="Times New Roman" w:hAnsi="Times New Roman" w:cs="Times New Roman"/>
          <w:sz w:val="24"/>
          <w:szCs w:val="24"/>
          <w:lang w:val="en-US"/>
        </w:rPr>
        <w:fldChar w:fldCharType="separate"/>
      </w:r>
      <w:r w:rsidR="00346BD3" w:rsidRPr="00346BD3">
        <w:rPr>
          <w:rFonts w:ascii="Times New Roman" w:hAnsi="Times New Roman" w:cs="Times New Roman"/>
          <w:noProof/>
          <w:sz w:val="24"/>
          <w:szCs w:val="24"/>
        </w:rPr>
        <w:t>(19)</w:t>
      </w:r>
      <w:r w:rsidR="00346BD3">
        <w:rPr>
          <w:rFonts w:ascii="Times New Roman" w:hAnsi="Times New Roman" w:cs="Times New Roman"/>
          <w:sz w:val="24"/>
          <w:szCs w:val="24"/>
          <w:lang w:val="en-US"/>
        </w:rPr>
        <w:fldChar w:fldCharType="end"/>
      </w:r>
      <w:r w:rsidR="00346BD3" w:rsidRPr="00346BD3">
        <w:rPr>
          <w:rFonts w:ascii="Times New Roman" w:hAnsi="Times New Roman" w:cs="Times New Roman"/>
          <w:sz w:val="24"/>
          <w:szCs w:val="24"/>
        </w:rPr>
        <w:t xml:space="preserve">, </w:t>
      </w:r>
      <w:r w:rsidRPr="00FF5ABB">
        <w:rPr>
          <w:rFonts w:ascii="Times New Roman" w:hAnsi="Times New Roman" w:cs="Times New Roman"/>
          <w:sz w:val="24"/>
          <w:szCs w:val="24"/>
        </w:rPr>
        <w:t>tomando como estándar las tasas de mortalidad específicas por grupos de edad de la CABA.</w:t>
      </w:r>
    </w:p>
    <w:p w14:paraId="3F694A0F" w14:textId="77777777" w:rsidR="00AD2E4B" w:rsidRDefault="00346BD3" w:rsidP="00AD2E4B">
      <w:pPr>
        <w:spacing w:before="240" w:line="480" w:lineRule="auto"/>
        <w:contextualSpacing/>
        <w:jc w:val="both"/>
        <w:rPr>
          <w:rFonts w:ascii="Times New Roman" w:hAnsi="Times New Roman" w:cs="Times New Roman"/>
          <w:sz w:val="24"/>
          <w:szCs w:val="24"/>
        </w:rPr>
      </w:pPr>
      <w:r w:rsidRPr="00346BD3">
        <w:rPr>
          <w:rFonts w:ascii="Times New Roman" w:hAnsi="Times New Roman" w:cs="Times New Roman"/>
          <w:sz w:val="24"/>
          <w:szCs w:val="24"/>
        </w:rPr>
        <w:t xml:space="preserve">Para evaluar los niveles de desigualdad y concentración, se calcularon los cocientes de tasas y las diferencias. Se calcularon los intervalos de confianza del 95% (IC95%) para los indicadores analizados. Para la tasa de incidencia acumulada por 1000 personas, la tasa de mortalidad por 1000 personas, la tasa de letalidad y el porcentaje de positividad se estimó el IC95% mediante la aproximación normal. Para las </w:t>
      </w:r>
      <w:r>
        <w:rPr>
          <w:rFonts w:ascii="Times New Roman" w:hAnsi="Times New Roman" w:cs="Times New Roman"/>
          <w:sz w:val="24"/>
          <w:szCs w:val="24"/>
        </w:rPr>
        <w:t>RME</w:t>
      </w:r>
      <w:r w:rsidRPr="00346BD3">
        <w:rPr>
          <w:rFonts w:ascii="Times New Roman" w:hAnsi="Times New Roman" w:cs="Times New Roman"/>
          <w:sz w:val="24"/>
          <w:szCs w:val="24"/>
        </w:rPr>
        <w:t xml:space="preserve"> se utilizó la metodología Chi2 </w:t>
      </w:r>
      <w:r>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{"citationItems":[{"id":"ITEM-1","itemData":{"DOI":"10.1016/0278-6915(83)90281-8","ISSN":"03005038","PMID":"7216345","author":[{"dropping-particle":"","family":"Breslow","given":"N. E.","non-dropping-particle":"","parse-names":false,"suffix":""},{"dropping-particle":"","family":"Day","given":"N. E.","non-dropping-particle":"","parse-names":false,"suffix":""}],"container-title":"IARC scientific publications","id":"ITEM-1","issued":{"date-parts":[["1980"]]},"title":"Statistical methods in cancer research. Volume I - The analysis of case-control studies.","type":"article-journal"},"uris":["http://www.mendeley.com/documents/?uuid=c35f094d-a3e1-4bfb-a463-7ff70b884401"]}],"mendeley":{"formattedCitation":"(20)","plainTextFormattedCitation":"(20)","previouslyFormattedCitation":"(19)"},"properties":{"noteIndex":0},"schema":"https://github.com/citation-style-language/schema/raw/master/csl-citation.json"}</w:instrText>
      </w:r>
      <w:r>
        <w:rPr>
          <w:rFonts w:ascii="Times New Roman" w:hAnsi="Times New Roman" w:cs="Times New Roman"/>
          <w:sz w:val="24"/>
          <w:szCs w:val="24"/>
        </w:rPr>
        <w:fldChar w:fldCharType="separate"/>
      </w:r>
      <w:r w:rsidRPr="00346BD3">
        <w:rPr>
          <w:rFonts w:ascii="Times New Roman" w:hAnsi="Times New Roman" w:cs="Times New Roman"/>
          <w:noProof/>
          <w:sz w:val="24"/>
          <w:szCs w:val="24"/>
        </w:rPr>
        <w:t>(20)</w:t>
      </w:r>
      <w:r>
        <w:rPr>
          <w:rFonts w:ascii="Times New Roman" w:hAnsi="Times New Roman" w:cs="Times New Roman"/>
          <w:sz w:val="24"/>
          <w:szCs w:val="24"/>
        </w:rPr>
        <w:fldChar w:fldCharType="end"/>
      </w:r>
      <w:r w:rsidRPr="00346BD3">
        <w:rPr>
          <w:rFonts w:ascii="Times New Roman" w:hAnsi="Times New Roman" w:cs="Times New Roman"/>
          <w:sz w:val="24"/>
          <w:szCs w:val="24"/>
        </w:rPr>
        <w:t xml:space="preserve"> y para las razones de tasas la propuesta por </w:t>
      </w:r>
      <w:proofErr w:type="spellStart"/>
      <w:r w:rsidRPr="00346BD3">
        <w:rPr>
          <w:rFonts w:ascii="Times New Roman" w:hAnsi="Times New Roman" w:cs="Times New Roman"/>
          <w:sz w:val="24"/>
          <w:szCs w:val="24"/>
        </w:rPr>
        <w:t>Fay</w:t>
      </w:r>
      <w:proofErr w:type="spellEnd"/>
      <w:r w:rsidRPr="00346BD3">
        <w:rPr>
          <w:rFonts w:ascii="Times New Roman" w:hAnsi="Times New Roman" w:cs="Times New Roman"/>
          <w:sz w:val="24"/>
          <w:szCs w:val="24"/>
        </w:rPr>
        <w:t xml:space="preserve"> </w:t>
      </w:r>
      <w:r w:rsidRPr="002031D9">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{"citationItems":[{"id":"ITEM-1","itemData":{"author":[{"dropping-particle":"","family":"Fay","given":"Michael","non-dropping-particle":"","parse-names":false,"suffix":""}],"id":"ITEM-1","issued":{"date-parts":[["2014"]]},"publisher":"R package version 1.0-2","title":"rateratio.test: Exact rate ratio test","type":"article"},"uris":["http://www.mendeley.com/documents/?uuid=9a99ea2a-f9fb-4d03-a0e8-c13af32b7711"]}],"mendeley":{"formattedCitation":"(21)","plainTextFormattedCitation":"(21)","previouslyFormattedCitation":"(20)"},"properties":{"noteIndex":0},"schema":"https://github.com/citation-style-language/schema/raw/master/csl-citation.json"}</w:instrText>
      </w:r>
      <w:r w:rsidRPr="002031D9">
        <w:rPr>
          <w:rFonts w:ascii="Times New Roman" w:hAnsi="Times New Roman" w:cs="Times New Roman"/>
          <w:sz w:val="24"/>
          <w:szCs w:val="24"/>
        </w:rPr>
        <w:fldChar w:fldCharType="separate"/>
      </w:r>
      <w:r w:rsidRPr="00346BD3">
        <w:rPr>
          <w:rFonts w:ascii="Times New Roman" w:hAnsi="Times New Roman" w:cs="Times New Roman"/>
          <w:noProof/>
          <w:sz w:val="24"/>
          <w:szCs w:val="24"/>
        </w:rPr>
        <w:t>(21)</w:t>
      </w:r>
      <w:r w:rsidRPr="002031D9">
        <w:rPr>
          <w:rFonts w:ascii="Times New Roman" w:hAnsi="Times New Roman" w:cs="Times New Roman"/>
          <w:sz w:val="24"/>
          <w:szCs w:val="24"/>
        </w:rPr>
        <w:fldChar w:fldCharType="end"/>
      </w:r>
      <w:r>
        <w:rPr>
          <w:rFonts w:ascii="Times New Roman" w:hAnsi="Times New Roman" w:cs="Times New Roman"/>
          <w:sz w:val="24"/>
          <w:szCs w:val="24"/>
        </w:rPr>
        <w:t>.</w:t>
      </w:r>
    </w:p>
    <w:p w14:paraId="454B09AD" w14:textId="77777777" w:rsidR="00AD2E4B" w:rsidRDefault="00AD2E4B"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t>Todos los indicadores mencionados se calcularon</w:t>
      </w:r>
      <w:r w:rsidR="00225DD9">
        <w:rPr>
          <w:rFonts w:ascii="Times New Roman" w:hAnsi="Times New Roman" w:cs="Times New Roman"/>
          <w:sz w:val="24"/>
          <w:szCs w:val="24"/>
        </w:rPr>
        <w:t xml:space="preserve"> para el periodo completo (marzo 2020 – abril 2021) y además</w:t>
      </w:r>
      <w:r>
        <w:rPr>
          <w:rFonts w:ascii="Times New Roman" w:hAnsi="Times New Roman" w:cs="Times New Roman"/>
          <w:sz w:val="24"/>
          <w:szCs w:val="24"/>
        </w:rPr>
        <w:t xml:space="preserve"> para dos</w:t>
      </w:r>
      <w:r w:rsidR="00225DD9">
        <w:rPr>
          <w:rFonts w:ascii="Times New Roman" w:hAnsi="Times New Roman" w:cs="Times New Roman"/>
          <w:sz w:val="24"/>
          <w:szCs w:val="24"/>
        </w:rPr>
        <w:t xml:space="preserve"> sub</w:t>
      </w:r>
      <w:r>
        <w:rPr>
          <w:rFonts w:ascii="Times New Roman" w:hAnsi="Times New Roman" w:cs="Times New Roman"/>
          <w:sz w:val="24"/>
          <w:szCs w:val="24"/>
        </w:rPr>
        <w:t xml:space="preserve"> periodos definidos a partir de los cambios en la incidencia semanal de COVID-19 en la CABA. Se identificó la semana </w:t>
      </w:r>
      <w:r w:rsidR="00225DD9">
        <w:rPr>
          <w:rFonts w:ascii="Times New Roman" w:hAnsi="Times New Roman" w:cs="Times New Roman"/>
          <w:sz w:val="24"/>
          <w:szCs w:val="24"/>
        </w:rPr>
        <w:t>epidemiológica</w:t>
      </w:r>
      <w:r>
        <w:rPr>
          <w:rFonts w:ascii="Times New Roman" w:hAnsi="Times New Roman" w:cs="Times New Roman"/>
          <w:sz w:val="24"/>
          <w:szCs w:val="24"/>
        </w:rPr>
        <w:t xml:space="preserve"> 48 del año 2020 como la semana con menos casos nuevos </w:t>
      </w:r>
      <w:r w:rsidR="00225DD9">
        <w:rPr>
          <w:rFonts w:ascii="Times New Roman" w:hAnsi="Times New Roman" w:cs="Times New Roman"/>
          <w:sz w:val="24"/>
          <w:szCs w:val="24"/>
        </w:rPr>
        <w:t>de</w:t>
      </w:r>
      <w:r>
        <w:rPr>
          <w:rFonts w:ascii="Times New Roman" w:hAnsi="Times New Roman" w:cs="Times New Roman"/>
          <w:sz w:val="24"/>
          <w:szCs w:val="24"/>
        </w:rPr>
        <w:t xml:space="preserve"> todo e</w:t>
      </w:r>
      <w:r w:rsidR="00225DD9">
        <w:rPr>
          <w:rFonts w:ascii="Times New Roman" w:hAnsi="Times New Roman" w:cs="Times New Roman"/>
          <w:sz w:val="24"/>
          <w:szCs w:val="24"/>
        </w:rPr>
        <w:t>l periodo estudiado. Se definió</w:t>
      </w:r>
      <w:r>
        <w:rPr>
          <w:rFonts w:ascii="Times New Roman" w:hAnsi="Times New Roman" w:cs="Times New Roman"/>
          <w:sz w:val="24"/>
          <w:szCs w:val="24"/>
        </w:rPr>
        <w:t xml:space="preserve"> el primer periodo desde </w:t>
      </w:r>
      <w:r>
        <w:rPr>
          <w:rFonts w:ascii="Times New Roman" w:hAnsi="Times New Roman" w:cs="Times New Roman"/>
          <w:sz w:val="24"/>
          <w:szCs w:val="24"/>
        </w:rPr>
        <w:lastRenderedPageBreak/>
        <w:t>la fecha del primer caso de COVID-19 en la CABA (</w:t>
      </w:r>
      <w:r w:rsidRPr="00AD2E4B">
        <w:rPr>
          <w:rFonts w:ascii="Times New Roman" w:hAnsi="Times New Roman" w:cs="Times New Roman"/>
          <w:sz w:val="24"/>
          <w:szCs w:val="24"/>
          <w:highlight w:val="yellow"/>
        </w:rPr>
        <w:t>fecha</w:t>
      </w:r>
      <w:r>
        <w:rPr>
          <w:rFonts w:ascii="Times New Roman" w:hAnsi="Times New Roman" w:cs="Times New Roman"/>
          <w:sz w:val="24"/>
          <w:szCs w:val="24"/>
        </w:rPr>
        <w:t xml:space="preserve">) hasta el </w:t>
      </w:r>
      <w:r w:rsidR="00225DD9">
        <w:rPr>
          <w:rFonts w:ascii="Times New Roman" w:hAnsi="Times New Roman" w:cs="Times New Roman"/>
          <w:sz w:val="24"/>
          <w:szCs w:val="24"/>
        </w:rPr>
        <w:t>día</w:t>
      </w:r>
      <w:r>
        <w:rPr>
          <w:rFonts w:ascii="Times New Roman" w:hAnsi="Times New Roman" w:cs="Times New Roman"/>
          <w:sz w:val="24"/>
          <w:szCs w:val="24"/>
        </w:rPr>
        <w:t xml:space="preserve"> 28 de noviembre del 2020 (último día de la semana 48). El segundo periodo se definió desde el 29 de noviembre del 2020 hasta el 30 de abril del 2021. </w:t>
      </w:r>
      <w:r w:rsidR="00225DD9">
        <w:rPr>
          <w:rFonts w:ascii="Times New Roman" w:hAnsi="Times New Roman" w:cs="Times New Roman"/>
          <w:sz w:val="24"/>
          <w:szCs w:val="24"/>
        </w:rPr>
        <w:t xml:space="preserve">Se eligió esta división para identificar posibles cambios en los patrones de distribución de los indicadores entre la primera y la segunda ola de COVID-19. </w:t>
      </w:r>
    </w:p>
    <w:p w14:paraId="6ABEFEB9" w14:textId="77777777" w:rsidR="00FF5ABB" w:rsidRDefault="00346BD3"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346BD3">
        <w:rPr>
          <w:rFonts w:ascii="Times New Roman" w:hAnsi="Times New Roman" w:cs="Times New Roman"/>
          <w:sz w:val="24"/>
          <w:szCs w:val="24"/>
        </w:rPr>
        <w:t xml:space="preserve">El procesamiento de los datos, el análisis estadístico y las figuras se realizaron con el software estadístico R </w:t>
      </w:r>
      <w:r>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Computing","id":"ITEM-1","issued":{"date-parts":[["2011"]]},"title":"R: A Language and Environment for Statistical Computing","type":"book"},"uris":["http://www.mendeley.com/documents/?uuid=1c9177ae-90a8-4460-872c-94fde8634d77"]}],"mendeley":{"formattedCitation":"(22)","plainTextFormattedCitation":"(22)","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346BD3">
        <w:rPr>
          <w:rFonts w:ascii="Times New Roman" w:hAnsi="Times New Roman" w:cs="Times New Roman"/>
          <w:noProof/>
          <w:sz w:val="24"/>
          <w:szCs w:val="24"/>
        </w:rPr>
        <w:t>(22)</w:t>
      </w:r>
      <w:r>
        <w:rPr>
          <w:rFonts w:ascii="Times New Roman" w:hAnsi="Times New Roman" w:cs="Times New Roman"/>
          <w:sz w:val="24"/>
          <w:szCs w:val="24"/>
        </w:rPr>
        <w:fldChar w:fldCharType="end"/>
      </w:r>
      <w:r w:rsidRPr="00346BD3">
        <w:rPr>
          <w:rFonts w:ascii="Times New Roman" w:hAnsi="Times New Roman" w:cs="Times New Roman"/>
          <w:sz w:val="24"/>
          <w:szCs w:val="24"/>
        </w:rPr>
        <w:t>.</w:t>
      </w:r>
    </w:p>
    <w:p w14:paraId="3C3EE6FC" w14:textId="77777777" w:rsidR="00177BF9" w:rsidRDefault="00346BD3" w:rsidP="00AD2E4B">
      <w:pPr>
        <w:spacing w:before="240" w:line="480" w:lineRule="auto"/>
        <w:contextualSpacing/>
        <w:jc w:val="both"/>
        <w:rPr>
          <w:rFonts w:ascii="Times New Roman" w:hAnsi="Times New Roman" w:cs="Times New Roman"/>
          <w:sz w:val="24"/>
          <w:szCs w:val="24"/>
        </w:rPr>
      </w:pPr>
      <w:r w:rsidRPr="00346BD3">
        <w:rPr>
          <w:rFonts w:ascii="Times New Roman" w:hAnsi="Times New Roman" w:cs="Times New Roman"/>
          <w:sz w:val="24"/>
          <w:szCs w:val="24"/>
        </w:rPr>
        <w:t xml:space="preserve">Los códigos de programación y los datos utilizados para calcular los indicadores de este estudio están disponibles en el repositorio público </w:t>
      </w:r>
      <w:r w:rsidRPr="00AD2E4B">
        <w:rPr>
          <w:rFonts w:ascii="Times New Roman" w:hAnsi="Times New Roman" w:cs="Times New Roman"/>
          <w:sz w:val="24"/>
          <w:szCs w:val="24"/>
          <w:highlight w:val="yellow"/>
        </w:rPr>
        <w:t>XXX</w:t>
      </w:r>
      <w:r w:rsidRPr="00346BD3">
        <w:rPr>
          <w:rFonts w:ascii="Times New Roman" w:hAnsi="Times New Roman" w:cs="Times New Roman"/>
          <w:sz w:val="24"/>
          <w:szCs w:val="24"/>
        </w:rPr>
        <w:t>. El repositorio ofrece la posibilidad de actualizar los cálculos automáticamente a la información más actualizada disponible en línea.</w:t>
      </w:r>
    </w:p>
    <w:p w14:paraId="54301AFA" w14:textId="77777777" w:rsidR="00AD2E4B" w:rsidRPr="00346BD3" w:rsidRDefault="00AD2E4B" w:rsidP="00AD2E4B">
      <w:pPr>
        <w:spacing w:before="240" w:line="480" w:lineRule="auto"/>
        <w:contextualSpacing/>
        <w:jc w:val="both"/>
        <w:rPr>
          <w:rFonts w:ascii="Times New Roman" w:hAnsi="Times New Roman" w:cs="Times New Roman"/>
          <w:sz w:val="24"/>
          <w:szCs w:val="24"/>
        </w:rPr>
      </w:pPr>
    </w:p>
    <w:p w14:paraId="5487C2F5" w14:textId="77777777" w:rsidR="00DD6046" w:rsidRPr="00E8197C" w:rsidRDefault="00A00385" w:rsidP="00DE13F5">
      <w:pPr>
        <w:spacing w:after="0" w:line="480" w:lineRule="auto"/>
        <w:contextualSpacing/>
        <w:jc w:val="both"/>
        <w:rPr>
          <w:rFonts w:ascii="Times New Roman" w:hAnsi="Times New Roman" w:cs="Times New Roman"/>
          <w:b/>
          <w:sz w:val="24"/>
          <w:szCs w:val="24"/>
        </w:rPr>
      </w:pPr>
      <w:r w:rsidRPr="00E8197C">
        <w:rPr>
          <w:rFonts w:ascii="Times New Roman" w:hAnsi="Times New Roman" w:cs="Times New Roman"/>
          <w:b/>
          <w:sz w:val="24"/>
          <w:szCs w:val="24"/>
        </w:rPr>
        <w:t>RESULTS</w:t>
      </w:r>
    </w:p>
    <w:p w14:paraId="774F1E8C" w14:textId="24170FDC" w:rsidR="00AD2E4B" w:rsidRPr="00AD2E4B" w:rsidRDefault="00AD2E4B" w:rsidP="00225DD9">
      <w:pPr>
        <w:spacing w:after="0" w:line="480" w:lineRule="auto"/>
        <w:contextualSpacing/>
        <w:jc w:val="both"/>
        <w:rPr>
          <w:rFonts w:ascii="Times New Roman" w:hAnsi="Times New Roman" w:cs="Times New Roman"/>
          <w:sz w:val="24"/>
          <w:szCs w:val="24"/>
        </w:rPr>
      </w:pPr>
      <w:r w:rsidRPr="00AD2E4B">
        <w:rPr>
          <w:rFonts w:ascii="Times New Roman" w:hAnsi="Times New Roman" w:cs="Times New Roman"/>
          <w:sz w:val="24"/>
          <w:szCs w:val="24"/>
        </w:rPr>
        <w:t>A 30 de</w:t>
      </w:r>
      <w:r w:rsidR="004E6D27">
        <w:rPr>
          <w:rFonts w:ascii="Times New Roman" w:hAnsi="Times New Roman" w:cs="Times New Roman"/>
          <w:sz w:val="24"/>
          <w:szCs w:val="24"/>
        </w:rPr>
        <w:t xml:space="preserve"> </w:t>
      </w:r>
      <w:proofErr w:type="gramStart"/>
      <w:r w:rsidR="004E6D27">
        <w:rPr>
          <w:rFonts w:ascii="Times New Roman" w:hAnsi="Times New Roman" w:cs="Times New Roman"/>
          <w:sz w:val="24"/>
          <w:szCs w:val="24"/>
        </w:rPr>
        <w:t>Abril</w:t>
      </w:r>
      <w:proofErr w:type="gramEnd"/>
      <w:r w:rsidR="004E6D27">
        <w:rPr>
          <w:rFonts w:ascii="Times New Roman" w:hAnsi="Times New Roman" w:cs="Times New Roman"/>
          <w:sz w:val="24"/>
          <w:szCs w:val="24"/>
        </w:rPr>
        <w:t xml:space="preserve"> de 2021</w:t>
      </w:r>
      <w:r w:rsidRPr="00AD2E4B">
        <w:rPr>
          <w:rFonts w:ascii="Times New Roman" w:hAnsi="Times New Roman" w:cs="Times New Roman"/>
          <w:sz w:val="24"/>
          <w:szCs w:val="24"/>
        </w:rPr>
        <w:t xml:space="preserve">, habían pasado </w:t>
      </w:r>
      <w:r w:rsidRPr="00AD2E4B">
        <w:rPr>
          <w:rFonts w:ascii="Times New Roman" w:hAnsi="Times New Roman" w:cs="Times New Roman"/>
          <w:sz w:val="24"/>
          <w:szCs w:val="24"/>
          <w:highlight w:val="yellow"/>
        </w:rPr>
        <w:t>215</w:t>
      </w:r>
      <w:r w:rsidRPr="00AD2E4B">
        <w:rPr>
          <w:rFonts w:ascii="Times New Roman" w:hAnsi="Times New Roman" w:cs="Times New Roman"/>
          <w:sz w:val="24"/>
          <w:szCs w:val="24"/>
        </w:rPr>
        <w:t xml:space="preserve"> días desde el primer caso confirmado de COVID-19</w:t>
      </w:r>
      <w:r w:rsidR="004E6D27">
        <w:rPr>
          <w:rFonts w:ascii="Times New Roman" w:hAnsi="Times New Roman" w:cs="Times New Roman"/>
          <w:sz w:val="24"/>
          <w:szCs w:val="24"/>
        </w:rPr>
        <w:t xml:space="preserve"> en la CABA</w:t>
      </w:r>
      <w:r w:rsidRPr="00AD2E4B">
        <w:rPr>
          <w:rFonts w:ascii="Times New Roman" w:hAnsi="Times New Roman" w:cs="Times New Roman"/>
          <w:sz w:val="24"/>
          <w:szCs w:val="24"/>
        </w:rPr>
        <w:t xml:space="preserve">. Durante este periodo, se introdujeron en el sistema </w:t>
      </w:r>
      <w:r w:rsidR="00225DD9">
        <w:rPr>
          <w:rFonts w:ascii="Times New Roman" w:hAnsi="Times New Roman" w:cs="Times New Roman"/>
          <w:sz w:val="24"/>
          <w:szCs w:val="24"/>
        </w:rPr>
        <w:t xml:space="preserve">nacional </w:t>
      </w:r>
      <w:r w:rsidRPr="00AD2E4B">
        <w:rPr>
          <w:rFonts w:ascii="Times New Roman" w:hAnsi="Times New Roman" w:cs="Times New Roman"/>
          <w:sz w:val="24"/>
          <w:szCs w:val="24"/>
        </w:rPr>
        <w:t xml:space="preserve">de vigilancia epidemiológica </w:t>
      </w:r>
      <w:r w:rsidR="00225DD9">
        <w:rPr>
          <w:rFonts w:ascii="Times New Roman" w:hAnsi="Times New Roman" w:cs="Times New Roman"/>
          <w:sz w:val="24"/>
          <w:szCs w:val="24"/>
        </w:rPr>
        <w:t xml:space="preserve">(SVE) </w:t>
      </w:r>
      <w:r w:rsidRPr="00AD2E4B">
        <w:rPr>
          <w:rFonts w:ascii="Times New Roman" w:hAnsi="Times New Roman" w:cs="Times New Roman"/>
          <w:sz w:val="24"/>
          <w:szCs w:val="24"/>
          <w:highlight w:val="yellow"/>
        </w:rPr>
        <w:t>328573</w:t>
      </w:r>
      <w:r w:rsidRPr="00AD2E4B">
        <w:rPr>
          <w:rFonts w:ascii="Times New Roman" w:hAnsi="Times New Roman" w:cs="Times New Roman"/>
          <w:sz w:val="24"/>
          <w:szCs w:val="24"/>
        </w:rPr>
        <w:t xml:space="preserve"> casos sospechosos, de los cuales se confirmaron </w:t>
      </w:r>
      <w:r w:rsidRPr="00AD2E4B">
        <w:rPr>
          <w:rFonts w:ascii="Times New Roman" w:hAnsi="Times New Roman" w:cs="Times New Roman"/>
          <w:sz w:val="24"/>
          <w:szCs w:val="24"/>
          <w:highlight w:val="yellow"/>
        </w:rPr>
        <w:t>125652</w:t>
      </w:r>
      <w:r w:rsidRPr="00AD2E4B">
        <w:rPr>
          <w:rFonts w:ascii="Times New Roman" w:hAnsi="Times New Roman" w:cs="Times New Roman"/>
          <w:sz w:val="24"/>
          <w:szCs w:val="24"/>
        </w:rPr>
        <w:t xml:space="preserve">, lo que supuso una tasa de incidencia acumulada de </w:t>
      </w:r>
      <w:r w:rsidRPr="00AD2E4B">
        <w:rPr>
          <w:rFonts w:ascii="Times New Roman" w:hAnsi="Times New Roman" w:cs="Times New Roman"/>
          <w:sz w:val="24"/>
          <w:szCs w:val="24"/>
          <w:highlight w:val="yellow"/>
        </w:rPr>
        <w:t>40,8 casos por 1000 personas (IC95% 40,6 - 41,1).</w:t>
      </w:r>
      <w:r w:rsidR="00225DD9">
        <w:rPr>
          <w:rFonts w:ascii="Times New Roman" w:hAnsi="Times New Roman" w:cs="Times New Roman"/>
          <w:sz w:val="24"/>
          <w:szCs w:val="24"/>
        </w:rPr>
        <w:t xml:space="preserve"> </w:t>
      </w:r>
      <w:r w:rsidR="00225DD9" w:rsidRPr="00B831B9">
        <w:rPr>
          <w:rFonts w:ascii="Times New Roman" w:hAnsi="Times New Roman" w:cs="Times New Roman"/>
          <w:sz w:val="24"/>
          <w:szCs w:val="24"/>
        </w:rPr>
        <w:t xml:space="preserve">En el primer sub periodo se notificaron </w:t>
      </w:r>
      <w:r w:rsidR="00B831B9">
        <w:rPr>
          <w:rFonts w:ascii="Times New Roman" w:hAnsi="Times New Roman" w:cs="Times New Roman"/>
          <w:sz w:val="24"/>
          <w:szCs w:val="24"/>
        </w:rPr>
        <w:t>330630</w:t>
      </w:r>
      <w:r w:rsidR="00B831B9" w:rsidRPr="00B831B9">
        <w:rPr>
          <w:rFonts w:ascii="Times New Roman" w:hAnsi="Times New Roman" w:cs="Times New Roman"/>
          <w:sz w:val="24"/>
          <w:szCs w:val="24"/>
        </w:rPr>
        <w:t xml:space="preserve"> </w:t>
      </w:r>
      <w:r w:rsidR="00225DD9" w:rsidRPr="00B831B9">
        <w:rPr>
          <w:rFonts w:ascii="Times New Roman" w:hAnsi="Times New Roman" w:cs="Times New Roman"/>
          <w:sz w:val="24"/>
          <w:szCs w:val="24"/>
        </w:rPr>
        <w:t>casos confirmados al SVE (</w:t>
      </w:r>
      <w:r w:rsidR="00B831B9">
        <w:rPr>
          <w:rFonts w:ascii="Times New Roman" w:hAnsi="Times New Roman" w:cs="Times New Roman"/>
          <w:sz w:val="24"/>
          <w:szCs w:val="24"/>
        </w:rPr>
        <w:t>107,5</w:t>
      </w:r>
      <w:r w:rsidR="00225DD9" w:rsidRPr="00B831B9">
        <w:rPr>
          <w:rFonts w:ascii="Times New Roman" w:hAnsi="Times New Roman" w:cs="Times New Roman"/>
          <w:sz w:val="24"/>
          <w:szCs w:val="24"/>
        </w:rPr>
        <w:t xml:space="preserve"> casos por 1000 personas) </w:t>
      </w:r>
      <w:r w:rsidR="00225DD9" w:rsidRPr="00B831B9">
        <w:rPr>
          <w:rFonts w:ascii="Times New Roman" w:hAnsi="Times New Roman" w:cs="Times New Roman"/>
          <w:sz w:val="24"/>
          <w:szCs w:val="24"/>
          <w:highlight w:val="yellow"/>
        </w:rPr>
        <w:t xml:space="preserve">y en el segundo sub </w:t>
      </w:r>
      <w:r w:rsidR="00225DD9" w:rsidRPr="00450930">
        <w:rPr>
          <w:rFonts w:ascii="Times New Roman" w:hAnsi="Times New Roman" w:cs="Times New Roman"/>
          <w:sz w:val="24"/>
          <w:szCs w:val="24"/>
          <w:highlight w:val="yellow"/>
        </w:rPr>
        <w:t xml:space="preserve">periodo </w:t>
      </w:r>
      <w:r w:rsidR="00450930" w:rsidRPr="00450930">
        <w:rPr>
          <w:rFonts w:ascii="Times New Roman" w:hAnsi="Times New Roman" w:cs="Times New Roman"/>
          <w:sz w:val="24"/>
          <w:szCs w:val="24"/>
          <w:highlight w:val="yellow"/>
        </w:rPr>
        <w:t>178354</w:t>
      </w:r>
      <w:r w:rsidR="00225DD9" w:rsidRPr="00450930">
        <w:rPr>
          <w:rFonts w:ascii="Times New Roman" w:hAnsi="Times New Roman" w:cs="Times New Roman"/>
          <w:sz w:val="24"/>
          <w:szCs w:val="24"/>
          <w:highlight w:val="yellow"/>
        </w:rPr>
        <w:t xml:space="preserve"> casos </w:t>
      </w:r>
      <w:r w:rsidR="00225DD9" w:rsidRPr="00B831B9">
        <w:rPr>
          <w:rFonts w:ascii="Times New Roman" w:hAnsi="Times New Roman" w:cs="Times New Roman"/>
          <w:sz w:val="24"/>
          <w:szCs w:val="24"/>
          <w:highlight w:val="yellow"/>
        </w:rPr>
        <w:t>confirmados (</w:t>
      </w:r>
      <w:r w:rsidR="00450930">
        <w:rPr>
          <w:rFonts w:ascii="Times New Roman" w:hAnsi="Times New Roman" w:cs="Times New Roman"/>
          <w:sz w:val="24"/>
          <w:szCs w:val="24"/>
          <w:highlight w:val="yellow"/>
        </w:rPr>
        <w:t>57,7</w:t>
      </w:r>
      <w:r w:rsidR="00225DD9" w:rsidRPr="00B831B9">
        <w:rPr>
          <w:rFonts w:ascii="Times New Roman" w:hAnsi="Times New Roman" w:cs="Times New Roman"/>
          <w:sz w:val="24"/>
          <w:szCs w:val="24"/>
          <w:highlight w:val="yellow"/>
        </w:rPr>
        <w:t xml:space="preserve"> casos por 1000 personas).</w:t>
      </w:r>
    </w:p>
    <w:p w14:paraId="3153D021" w14:textId="1E7790F6" w:rsidR="00091BF9" w:rsidRDefault="00225DD9"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El análisis de la incidencia mostró cambios en la distribución por distritos al comparar el primer sub periodo con el segundo. En ambos periodos la incidencia por </w:t>
      </w:r>
      <w:r w:rsidR="00B831B9">
        <w:rPr>
          <w:rFonts w:ascii="Times New Roman" w:hAnsi="Times New Roman" w:cs="Times New Roman"/>
          <w:sz w:val="24"/>
          <w:szCs w:val="24"/>
        </w:rPr>
        <w:t>distrito</w:t>
      </w:r>
      <w:r>
        <w:rPr>
          <w:rFonts w:ascii="Times New Roman" w:hAnsi="Times New Roman" w:cs="Times New Roman"/>
          <w:sz w:val="24"/>
          <w:szCs w:val="24"/>
        </w:rPr>
        <w:t xml:space="preserve"> no se </w:t>
      </w:r>
      <w:r w:rsidR="00B831B9">
        <w:rPr>
          <w:rFonts w:ascii="Times New Roman" w:hAnsi="Times New Roman" w:cs="Times New Roman"/>
          <w:sz w:val="24"/>
          <w:szCs w:val="24"/>
        </w:rPr>
        <w:t xml:space="preserve">distribuyó de forma homogénea: el primer sub periodo </w:t>
      </w:r>
      <w:r w:rsidR="00B831B9" w:rsidRPr="00B831B9">
        <w:rPr>
          <w:rFonts w:ascii="Times New Roman" w:hAnsi="Times New Roman" w:cs="Times New Roman"/>
          <w:sz w:val="24"/>
          <w:szCs w:val="24"/>
        </w:rPr>
        <w:t xml:space="preserve">osciló entre </w:t>
      </w:r>
      <w:r w:rsidR="00B831B9">
        <w:rPr>
          <w:rFonts w:ascii="Times New Roman" w:hAnsi="Times New Roman" w:cs="Times New Roman"/>
          <w:sz w:val="24"/>
          <w:szCs w:val="24"/>
        </w:rPr>
        <w:t>88,5</w:t>
      </w:r>
      <w:r w:rsidR="00B831B9" w:rsidRPr="00B831B9">
        <w:rPr>
          <w:rFonts w:ascii="Times New Roman" w:hAnsi="Times New Roman" w:cs="Times New Roman"/>
          <w:sz w:val="24"/>
          <w:szCs w:val="24"/>
        </w:rPr>
        <w:t xml:space="preserve"> por 1000 personas (CI95% </w:t>
      </w:r>
      <w:r w:rsidR="00B831B9">
        <w:rPr>
          <w:rFonts w:ascii="Times New Roman" w:hAnsi="Times New Roman" w:cs="Times New Roman"/>
          <w:sz w:val="24"/>
          <w:szCs w:val="24"/>
        </w:rPr>
        <w:t>87,3</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89,7</w:t>
      </w:r>
      <w:r w:rsidR="00B831B9" w:rsidRPr="00B831B9">
        <w:rPr>
          <w:rFonts w:ascii="Times New Roman" w:hAnsi="Times New Roman" w:cs="Times New Roman"/>
          <w:sz w:val="24"/>
          <w:szCs w:val="24"/>
        </w:rPr>
        <w:t xml:space="preserve">) en el distrito 12 (zona central) y </w:t>
      </w:r>
      <w:r w:rsidR="00B831B9">
        <w:rPr>
          <w:rFonts w:ascii="Times New Roman" w:hAnsi="Times New Roman" w:cs="Times New Roman"/>
          <w:sz w:val="24"/>
          <w:szCs w:val="24"/>
        </w:rPr>
        <w:t>128,0</w:t>
      </w:r>
      <w:r w:rsidR="00B831B9" w:rsidRPr="00B831B9">
        <w:rPr>
          <w:rFonts w:ascii="Times New Roman" w:hAnsi="Times New Roman" w:cs="Times New Roman"/>
          <w:sz w:val="24"/>
          <w:szCs w:val="24"/>
        </w:rPr>
        <w:t xml:space="preserve"> por 1000 personas (CI95% </w:t>
      </w:r>
      <w:r w:rsidR="00B831B9">
        <w:rPr>
          <w:rFonts w:ascii="Times New Roman" w:hAnsi="Times New Roman" w:cs="Times New Roman"/>
          <w:sz w:val="24"/>
          <w:szCs w:val="24"/>
        </w:rPr>
        <w:t>126,6</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129,3</w:t>
      </w:r>
      <w:r w:rsidR="00B831B9" w:rsidRPr="00B831B9">
        <w:rPr>
          <w:rFonts w:ascii="Times New Roman" w:hAnsi="Times New Roman" w:cs="Times New Roman"/>
          <w:sz w:val="24"/>
          <w:szCs w:val="24"/>
        </w:rPr>
        <w:t>) en el distrito 4 (zona sur).</w:t>
      </w:r>
      <w:r w:rsidR="00B831B9">
        <w:rPr>
          <w:rFonts w:ascii="Times New Roman" w:hAnsi="Times New Roman" w:cs="Times New Roman"/>
          <w:sz w:val="24"/>
          <w:szCs w:val="24"/>
        </w:rPr>
        <w:t xml:space="preserve"> </w:t>
      </w:r>
      <w:r w:rsidR="00091BF9" w:rsidRPr="00091BF9">
        <w:rPr>
          <w:rFonts w:ascii="Times New Roman" w:hAnsi="Times New Roman" w:cs="Times New Roman"/>
          <w:sz w:val="24"/>
          <w:szCs w:val="24"/>
        </w:rPr>
        <w:t xml:space="preserve">Este último </w:t>
      </w:r>
      <w:r w:rsidR="00091BF9">
        <w:rPr>
          <w:rFonts w:ascii="Times New Roman" w:hAnsi="Times New Roman" w:cs="Times New Roman"/>
          <w:sz w:val="24"/>
          <w:szCs w:val="24"/>
        </w:rPr>
        <w:t>distrito</w:t>
      </w:r>
      <w:r w:rsidR="00091BF9" w:rsidRPr="00091BF9">
        <w:rPr>
          <w:rFonts w:ascii="Times New Roman" w:hAnsi="Times New Roman" w:cs="Times New Roman"/>
          <w:sz w:val="24"/>
          <w:szCs w:val="24"/>
        </w:rPr>
        <w:t xml:space="preserve">, el de </w:t>
      </w:r>
      <w:commentRangeStart w:id="4"/>
      <w:r w:rsidR="00091BF9" w:rsidRPr="00091BF9">
        <w:rPr>
          <w:rFonts w:ascii="Times New Roman" w:hAnsi="Times New Roman" w:cs="Times New Roman"/>
          <w:sz w:val="24"/>
          <w:szCs w:val="24"/>
        </w:rPr>
        <w:t xml:space="preserve">menor </w:t>
      </w:r>
      <w:r w:rsidR="00091BF9" w:rsidRPr="008F0A49">
        <w:rPr>
          <w:rFonts w:ascii="Times New Roman" w:hAnsi="Times New Roman" w:cs="Times New Roman"/>
          <w:sz w:val="24"/>
          <w:szCs w:val="24"/>
        </w:rPr>
        <w:t>ingreso familiar promedio</w:t>
      </w:r>
      <w:r w:rsidR="00091BF9" w:rsidRPr="00091BF9">
        <w:rPr>
          <w:rFonts w:ascii="Times New Roman" w:hAnsi="Times New Roman" w:cs="Times New Roman"/>
          <w:sz w:val="24"/>
          <w:szCs w:val="24"/>
        </w:rPr>
        <w:t xml:space="preserve">, </w:t>
      </w:r>
      <w:commentRangeEnd w:id="4"/>
      <w:r w:rsidR="00091BF9">
        <w:rPr>
          <w:rStyle w:val="Refdecomentario"/>
        </w:rPr>
        <w:commentReference w:id="4"/>
      </w:r>
      <w:r w:rsidR="00091BF9" w:rsidRPr="00091BF9">
        <w:rPr>
          <w:rFonts w:ascii="Times New Roman" w:hAnsi="Times New Roman" w:cs="Times New Roman"/>
          <w:sz w:val="24"/>
          <w:szCs w:val="24"/>
        </w:rPr>
        <w:t xml:space="preserve">presentó una tasa de incidencia acumulada un </w:t>
      </w:r>
      <w:r w:rsidR="00C375D7">
        <w:rPr>
          <w:rFonts w:ascii="Times New Roman" w:hAnsi="Times New Roman" w:cs="Times New Roman"/>
          <w:sz w:val="24"/>
          <w:szCs w:val="24"/>
        </w:rPr>
        <w:t>42,7</w:t>
      </w:r>
      <w:r w:rsidR="00091BF9" w:rsidRPr="00091BF9">
        <w:rPr>
          <w:rFonts w:ascii="Times New Roman" w:hAnsi="Times New Roman" w:cs="Times New Roman"/>
          <w:sz w:val="24"/>
          <w:szCs w:val="24"/>
        </w:rPr>
        <w:t xml:space="preserve">% superior a la del </w:t>
      </w:r>
      <w:r w:rsidR="0009618E">
        <w:rPr>
          <w:rFonts w:ascii="Times New Roman" w:hAnsi="Times New Roman" w:cs="Times New Roman"/>
          <w:sz w:val="24"/>
          <w:szCs w:val="24"/>
        </w:rPr>
        <w:t>distrito</w:t>
      </w:r>
      <w:r w:rsidR="00091BF9" w:rsidRPr="00091BF9">
        <w:rPr>
          <w:rFonts w:ascii="Times New Roman" w:hAnsi="Times New Roman" w:cs="Times New Roman"/>
          <w:sz w:val="24"/>
          <w:szCs w:val="24"/>
        </w:rPr>
        <w:t xml:space="preserve"> con mejor situación socioeconómica </w:t>
      </w:r>
      <w:r w:rsidR="0009618E">
        <w:rPr>
          <w:rFonts w:ascii="Times New Roman" w:hAnsi="Times New Roman" w:cs="Times New Roman"/>
          <w:sz w:val="24"/>
          <w:szCs w:val="24"/>
        </w:rPr>
        <w:t>–</w:t>
      </w:r>
      <w:r w:rsidR="00091BF9" w:rsidRPr="00091BF9">
        <w:rPr>
          <w:rFonts w:ascii="Times New Roman" w:hAnsi="Times New Roman" w:cs="Times New Roman"/>
          <w:sz w:val="24"/>
          <w:szCs w:val="24"/>
        </w:rPr>
        <w:t>el</w:t>
      </w:r>
      <w:r w:rsidR="0009618E">
        <w:rPr>
          <w:rFonts w:ascii="Times New Roman" w:hAnsi="Times New Roman" w:cs="Times New Roman"/>
          <w:sz w:val="24"/>
          <w:szCs w:val="24"/>
        </w:rPr>
        <w:t xml:space="preserve"> distrito</w:t>
      </w:r>
      <w:r w:rsidR="00091BF9" w:rsidRPr="00091BF9">
        <w:rPr>
          <w:rFonts w:ascii="Times New Roman" w:hAnsi="Times New Roman" w:cs="Times New Roman"/>
          <w:sz w:val="24"/>
          <w:szCs w:val="24"/>
        </w:rPr>
        <w:t xml:space="preserve"> 14, en la zona norte</w:t>
      </w:r>
      <w:r w:rsidR="00091BF9" w:rsidRPr="00C375D7">
        <w:rPr>
          <w:rFonts w:ascii="Times New Roman" w:hAnsi="Times New Roman" w:cs="Times New Roman"/>
          <w:sz w:val="24"/>
          <w:szCs w:val="24"/>
        </w:rPr>
        <w:t xml:space="preserve">- (razón de tasas (RR) = </w:t>
      </w:r>
      <w:r w:rsidR="00C375D7" w:rsidRPr="00C375D7">
        <w:rPr>
          <w:rFonts w:ascii="Times New Roman" w:hAnsi="Times New Roman" w:cs="Times New Roman"/>
          <w:sz w:val="24"/>
          <w:szCs w:val="24"/>
        </w:rPr>
        <w:t>1</w:t>
      </w:r>
      <w:r w:rsidR="00091BF9" w:rsidRPr="00C375D7">
        <w:rPr>
          <w:rFonts w:ascii="Times New Roman" w:hAnsi="Times New Roman" w:cs="Times New Roman"/>
          <w:sz w:val="24"/>
          <w:szCs w:val="24"/>
        </w:rPr>
        <w:t>,</w:t>
      </w:r>
      <w:r w:rsidR="00C375D7" w:rsidRPr="00C375D7">
        <w:rPr>
          <w:rFonts w:ascii="Times New Roman" w:hAnsi="Times New Roman" w:cs="Times New Roman"/>
          <w:sz w:val="24"/>
          <w:szCs w:val="24"/>
        </w:rPr>
        <w:t xml:space="preserve">43 </w:t>
      </w:r>
      <w:r w:rsidR="00091BF9" w:rsidRPr="00C375D7">
        <w:rPr>
          <w:rFonts w:ascii="Times New Roman" w:hAnsi="Times New Roman" w:cs="Times New Roman"/>
          <w:sz w:val="24"/>
          <w:szCs w:val="24"/>
          <w:highlight w:val="yellow"/>
        </w:rPr>
        <w:t>, IC95% 1,72 - 1,81).</w:t>
      </w:r>
      <w:r w:rsidR="00091BF9" w:rsidRPr="00091BF9">
        <w:rPr>
          <w:rFonts w:ascii="Times New Roman" w:hAnsi="Times New Roman" w:cs="Times New Roman"/>
          <w:sz w:val="24"/>
          <w:szCs w:val="24"/>
        </w:rPr>
        <w:t xml:space="preserve">  </w:t>
      </w:r>
    </w:p>
    <w:p w14:paraId="776451C9" w14:textId="77777777" w:rsidR="00A00385" w:rsidRDefault="00091BF9"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En cambio, en el segundo sub periodo la incidencia oscilo entre </w:t>
      </w:r>
      <w:r w:rsidR="00706CCD">
        <w:rPr>
          <w:rFonts w:ascii="Times New Roman" w:hAnsi="Times New Roman" w:cs="Times New Roman"/>
          <w:sz w:val="24"/>
          <w:szCs w:val="24"/>
          <w:highlight w:val="yellow"/>
        </w:rPr>
        <w:t>42,5</w:t>
      </w:r>
      <w:r w:rsidRPr="00091BF9">
        <w:rPr>
          <w:rFonts w:ascii="Times New Roman" w:hAnsi="Times New Roman" w:cs="Times New Roman"/>
          <w:sz w:val="24"/>
          <w:szCs w:val="24"/>
          <w:highlight w:val="yellow"/>
        </w:rPr>
        <w:t xml:space="preserve"> por 1000 personas (CI95% </w:t>
      </w:r>
      <w:r w:rsidR="00706CCD">
        <w:rPr>
          <w:rFonts w:ascii="Times New Roman" w:hAnsi="Times New Roman" w:cs="Times New Roman"/>
          <w:sz w:val="24"/>
          <w:szCs w:val="24"/>
          <w:highlight w:val="yellow"/>
        </w:rPr>
        <w:t>41,7</w:t>
      </w:r>
      <w:r w:rsidRPr="00091BF9">
        <w:rPr>
          <w:rFonts w:ascii="Times New Roman" w:hAnsi="Times New Roman" w:cs="Times New Roman"/>
          <w:sz w:val="24"/>
          <w:szCs w:val="24"/>
          <w:highlight w:val="yellow"/>
        </w:rPr>
        <w:t xml:space="preserve"> – </w:t>
      </w:r>
      <w:r w:rsidR="00706CCD">
        <w:rPr>
          <w:rFonts w:ascii="Times New Roman" w:hAnsi="Times New Roman" w:cs="Times New Roman"/>
          <w:sz w:val="24"/>
          <w:szCs w:val="24"/>
          <w:highlight w:val="yellow"/>
        </w:rPr>
        <w:t>43,3</w:t>
      </w:r>
      <w:r w:rsidRPr="00091BF9">
        <w:rPr>
          <w:rFonts w:ascii="Times New Roman" w:hAnsi="Times New Roman" w:cs="Times New Roman"/>
          <w:sz w:val="24"/>
          <w:szCs w:val="24"/>
          <w:highlight w:val="yellow"/>
        </w:rPr>
        <w:t xml:space="preserve">) en el distrito </w:t>
      </w:r>
      <w:r w:rsidR="00706CCD">
        <w:rPr>
          <w:rFonts w:ascii="Times New Roman" w:hAnsi="Times New Roman" w:cs="Times New Roman"/>
          <w:sz w:val="24"/>
          <w:szCs w:val="24"/>
          <w:highlight w:val="yellow"/>
        </w:rPr>
        <w:t>8</w:t>
      </w:r>
      <w:r w:rsidRPr="00091BF9">
        <w:rPr>
          <w:rFonts w:ascii="Times New Roman" w:hAnsi="Times New Roman" w:cs="Times New Roman"/>
          <w:sz w:val="24"/>
          <w:szCs w:val="24"/>
          <w:highlight w:val="yellow"/>
        </w:rPr>
        <w:t xml:space="preserve"> (zona </w:t>
      </w:r>
      <w:r w:rsidR="00706CCD">
        <w:rPr>
          <w:rFonts w:ascii="Times New Roman" w:hAnsi="Times New Roman" w:cs="Times New Roman"/>
          <w:sz w:val="24"/>
          <w:szCs w:val="24"/>
          <w:highlight w:val="yellow"/>
        </w:rPr>
        <w:t>sur</w:t>
      </w:r>
      <w:r w:rsidRPr="00091BF9">
        <w:rPr>
          <w:rFonts w:ascii="Times New Roman" w:hAnsi="Times New Roman" w:cs="Times New Roman"/>
          <w:sz w:val="24"/>
          <w:szCs w:val="24"/>
          <w:highlight w:val="yellow"/>
        </w:rPr>
        <w:t xml:space="preserve">) y </w:t>
      </w:r>
      <w:r w:rsidR="00706CCD">
        <w:rPr>
          <w:rFonts w:ascii="Times New Roman" w:hAnsi="Times New Roman" w:cs="Times New Roman"/>
          <w:sz w:val="24"/>
          <w:szCs w:val="24"/>
          <w:highlight w:val="yellow"/>
        </w:rPr>
        <w:t>74,7</w:t>
      </w:r>
      <w:r w:rsidRPr="00091BF9">
        <w:rPr>
          <w:rFonts w:ascii="Times New Roman" w:hAnsi="Times New Roman" w:cs="Times New Roman"/>
          <w:sz w:val="24"/>
          <w:szCs w:val="24"/>
          <w:highlight w:val="yellow"/>
        </w:rPr>
        <w:t xml:space="preserve"> por 1000 personas (CI95% </w:t>
      </w:r>
      <w:r w:rsidR="00706CCD">
        <w:rPr>
          <w:rFonts w:ascii="Times New Roman" w:hAnsi="Times New Roman" w:cs="Times New Roman"/>
          <w:sz w:val="24"/>
          <w:szCs w:val="24"/>
          <w:highlight w:val="yellow"/>
        </w:rPr>
        <w:t>73,4</w:t>
      </w:r>
      <w:r w:rsidRPr="00091BF9">
        <w:rPr>
          <w:rFonts w:ascii="Times New Roman" w:hAnsi="Times New Roman" w:cs="Times New Roman"/>
          <w:sz w:val="24"/>
          <w:szCs w:val="24"/>
          <w:highlight w:val="yellow"/>
        </w:rPr>
        <w:t xml:space="preserve"> – </w:t>
      </w:r>
      <w:r w:rsidR="00706CCD">
        <w:rPr>
          <w:rFonts w:ascii="Times New Roman" w:hAnsi="Times New Roman" w:cs="Times New Roman"/>
          <w:sz w:val="24"/>
          <w:szCs w:val="24"/>
          <w:highlight w:val="yellow"/>
        </w:rPr>
        <w:t>76,0</w:t>
      </w:r>
      <w:r w:rsidRPr="00091BF9">
        <w:rPr>
          <w:rFonts w:ascii="Times New Roman" w:hAnsi="Times New Roman" w:cs="Times New Roman"/>
          <w:sz w:val="24"/>
          <w:szCs w:val="24"/>
          <w:highlight w:val="yellow"/>
        </w:rPr>
        <w:t xml:space="preserve">) en el distrito </w:t>
      </w:r>
      <w:r w:rsidR="00706CCD">
        <w:rPr>
          <w:rFonts w:ascii="Times New Roman" w:hAnsi="Times New Roman" w:cs="Times New Roman"/>
          <w:sz w:val="24"/>
          <w:szCs w:val="24"/>
          <w:highlight w:val="yellow"/>
        </w:rPr>
        <w:t>2</w:t>
      </w:r>
      <w:r w:rsidRPr="00091BF9">
        <w:rPr>
          <w:rFonts w:ascii="Times New Roman" w:hAnsi="Times New Roman" w:cs="Times New Roman"/>
          <w:sz w:val="24"/>
          <w:szCs w:val="24"/>
          <w:highlight w:val="yellow"/>
        </w:rPr>
        <w:t xml:space="preserve"> (zona </w:t>
      </w:r>
      <w:r w:rsidR="00706CCD">
        <w:rPr>
          <w:rFonts w:ascii="Times New Roman" w:hAnsi="Times New Roman" w:cs="Times New Roman"/>
          <w:sz w:val="24"/>
          <w:szCs w:val="24"/>
          <w:highlight w:val="yellow"/>
        </w:rPr>
        <w:t>norte</w:t>
      </w:r>
      <w:r w:rsidRPr="00091BF9">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706CCD">
        <w:rPr>
          <w:rFonts w:ascii="Times New Roman" w:hAnsi="Times New Roman" w:cs="Times New Roman"/>
          <w:sz w:val="24"/>
          <w:szCs w:val="24"/>
        </w:rPr>
        <w:t xml:space="preserve">En este caso la incidencia acumulada fue mayor (en un 75,8 %) en unos de los distritos con mayor ingreso familiar promedio comparado con uno de los distritos de menor ingreso.   </w:t>
      </w:r>
    </w:p>
    <w:p w14:paraId="5EA27704" w14:textId="77777777" w:rsidR="00706CCD" w:rsidRDefault="00706CCD" w:rsidP="00DE13F5">
      <w:pPr>
        <w:spacing w:after="0" w:line="480" w:lineRule="auto"/>
        <w:contextualSpacing/>
        <w:jc w:val="both"/>
        <w:rPr>
          <w:rFonts w:ascii="Times New Roman" w:hAnsi="Times New Roman" w:cs="Times New Roman"/>
          <w:sz w:val="24"/>
          <w:szCs w:val="24"/>
        </w:rPr>
      </w:pPr>
      <w:r>
        <w:rPr>
          <w:noProof/>
          <w:lang w:val="en-US"/>
        </w:rPr>
        <w:drawing>
          <wp:inline distT="0" distB="0" distL="0" distR="0" wp14:anchorId="7735D781" wp14:editId="6799711D">
            <wp:extent cx="5971540" cy="252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1540" cy="2527300"/>
                    </a:xfrm>
                    <a:prstGeom prst="rect">
                      <a:avLst/>
                    </a:prstGeom>
                  </pic:spPr>
                </pic:pic>
              </a:graphicData>
            </a:graphic>
          </wp:inline>
        </w:drawing>
      </w:r>
    </w:p>
    <w:p w14:paraId="19BCBCFB" w14:textId="0F838B8A" w:rsidR="00091BF9" w:rsidRDefault="00091BF9" w:rsidP="00DE13F5">
      <w:pPr>
        <w:spacing w:after="0" w:line="480" w:lineRule="auto"/>
        <w:contextualSpacing/>
        <w:jc w:val="both"/>
        <w:rPr>
          <w:rFonts w:ascii="Times New Roman" w:hAnsi="Times New Roman" w:cs="Times New Roman"/>
          <w:sz w:val="24"/>
          <w:szCs w:val="24"/>
        </w:rPr>
      </w:pPr>
    </w:p>
    <w:p w14:paraId="2B03C739" w14:textId="77E757D3" w:rsidR="00450930" w:rsidRPr="00450930" w:rsidRDefault="00450930" w:rsidP="00DE13F5">
      <w:pPr>
        <w:spacing w:after="0" w:line="480" w:lineRule="auto"/>
        <w:contextualSpacing/>
        <w:jc w:val="both"/>
        <w:rPr>
          <w:rFonts w:ascii="Times New Roman" w:hAnsi="Times New Roman" w:cs="Times New Roman"/>
          <w:sz w:val="24"/>
          <w:szCs w:val="24"/>
        </w:rPr>
      </w:pPr>
      <w:r w:rsidRPr="00450930">
        <w:rPr>
          <w:rFonts w:ascii="Times New Roman" w:hAnsi="Times New Roman" w:cs="Times New Roman"/>
          <w:sz w:val="24"/>
          <w:szCs w:val="24"/>
        </w:rPr>
        <w:t>Al observar las diferencias en la incidencia por grupos de edad, las desigualdades también adquieren grandes magnitudes, con las mayores diferencias concentradas principalmente entre los adultos jóvenes. La Figura 1 muestra los diferentes niveles de incidencia entre l</w:t>
      </w:r>
      <w:r>
        <w:rPr>
          <w:rFonts w:ascii="Times New Roman" w:hAnsi="Times New Roman" w:cs="Times New Roman"/>
          <w:sz w:val="24"/>
          <w:szCs w:val="24"/>
        </w:rPr>
        <w:t>o</w:t>
      </w:r>
      <w:r w:rsidRPr="00450930">
        <w:rPr>
          <w:rFonts w:ascii="Times New Roman" w:hAnsi="Times New Roman" w:cs="Times New Roman"/>
          <w:sz w:val="24"/>
          <w:szCs w:val="24"/>
        </w:rPr>
        <w:t>s</w:t>
      </w:r>
      <w:r>
        <w:rPr>
          <w:rFonts w:ascii="Times New Roman" w:hAnsi="Times New Roman" w:cs="Times New Roman"/>
          <w:sz w:val="24"/>
          <w:szCs w:val="24"/>
        </w:rPr>
        <w:t xml:space="preserve"> promedios de las incidencias acumuladas por comuna agrupadas por zona</w:t>
      </w:r>
      <w:r w:rsidRPr="00450930">
        <w:rPr>
          <w:rFonts w:ascii="Times New Roman" w:hAnsi="Times New Roman" w:cs="Times New Roman"/>
          <w:sz w:val="24"/>
          <w:szCs w:val="24"/>
        </w:rPr>
        <w:t xml:space="preserve">. </w:t>
      </w:r>
      <w:r>
        <w:rPr>
          <w:rFonts w:ascii="Times New Roman" w:hAnsi="Times New Roman" w:cs="Times New Roman"/>
          <w:sz w:val="24"/>
          <w:szCs w:val="24"/>
        </w:rPr>
        <w:t xml:space="preserve">En el primer sub periodo, los dos grupos de edad más desiguales son el de 20 a 24 años y el de 25 a 29 años, </w:t>
      </w:r>
      <w:r w:rsidRPr="00450930">
        <w:rPr>
          <w:rFonts w:ascii="Times New Roman" w:hAnsi="Times New Roman" w:cs="Times New Roman"/>
          <w:sz w:val="24"/>
          <w:szCs w:val="24"/>
          <w:highlight w:val="yellow"/>
        </w:rPr>
        <w:t xml:space="preserve">mostrando una brecha en el promedio de incidencia por comuna entre zona sur y zona norte de </w:t>
      </w:r>
      <w:proofErr w:type="spellStart"/>
      <w:r w:rsidRPr="00450930">
        <w:rPr>
          <w:rFonts w:ascii="Times New Roman" w:hAnsi="Times New Roman" w:cs="Times New Roman"/>
          <w:sz w:val="24"/>
          <w:szCs w:val="24"/>
          <w:highlight w:val="yellow"/>
        </w:rPr>
        <w:t>xxxxxx</w:t>
      </w:r>
      <w:proofErr w:type="spellEnd"/>
      <w:r>
        <w:rPr>
          <w:rFonts w:ascii="Times New Roman" w:hAnsi="Times New Roman" w:cs="Times New Roman"/>
          <w:sz w:val="24"/>
          <w:szCs w:val="24"/>
        </w:rPr>
        <w:t xml:space="preserve">.   En el segundo sub periodo el grupo de edad más desigual fue el grupo de 15 a 19 años </w:t>
      </w:r>
      <w:r w:rsidRPr="00450930">
        <w:rPr>
          <w:rFonts w:ascii="Times New Roman" w:hAnsi="Times New Roman" w:cs="Times New Roman"/>
          <w:sz w:val="24"/>
          <w:szCs w:val="24"/>
          <w:highlight w:val="yellow"/>
        </w:rPr>
        <w:t xml:space="preserve">con una brecha en los promedios por zona de </w:t>
      </w:r>
      <w:proofErr w:type="spellStart"/>
      <w:r w:rsidRPr="00450930">
        <w:rPr>
          <w:rFonts w:ascii="Times New Roman" w:hAnsi="Times New Roman" w:cs="Times New Roman"/>
          <w:sz w:val="24"/>
          <w:szCs w:val="24"/>
          <w:highlight w:val="yellow"/>
        </w:rPr>
        <w:t>xxxxx</w:t>
      </w:r>
      <w:proofErr w:type="spellEnd"/>
      <w:r w:rsidRPr="00450930">
        <w:rPr>
          <w:rFonts w:ascii="Times New Roman" w:hAnsi="Times New Roman" w:cs="Times New Roman"/>
          <w:sz w:val="24"/>
          <w:szCs w:val="24"/>
          <w:highlight w:val="yellow"/>
        </w:rPr>
        <w:t>.</w:t>
      </w:r>
    </w:p>
    <w:p w14:paraId="448CD751" w14:textId="6B9683B0" w:rsidR="00450930" w:rsidRPr="00AD2E4B" w:rsidRDefault="00450930" w:rsidP="00DE13F5">
      <w:pPr>
        <w:spacing w:after="0" w:line="480" w:lineRule="auto"/>
        <w:contextualSpacing/>
        <w:jc w:val="both"/>
        <w:rPr>
          <w:rFonts w:ascii="Times New Roman" w:hAnsi="Times New Roman" w:cs="Times New Roman"/>
          <w:sz w:val="24"/>
          <w:szCs w:val="24"/>
        </w:rPr>
      </w:pPr>
      <w:commentRangeStart w:id="5"/>
      <w:r w:rsidRPr="00450930">
        <w:rPr>
          <w:rFonts w:ascii="Times New Roman" w:hAnsi="Times New Roman" w:cs="Times New Roman"/>
          <w:sz w:val="24"/>
          <w:szCs w:val="24"/>
          <w:highlight w:val="cyan"/>
        </w:rPr>
        <w:t xml:space="preserve">Los dos grupos de edad más desiguales son los de 20 a 24 años, donde la incidencia de la comuna más desfavorecida representa 2,7 veces la de la mejor situación (RR = 2,7, IC95% 2,4 - 3,0) y el </w:t>
      </w:r>
      <w:r w:rsidRPr="00450930">
        <w:rPr>
          <w:rFonts w:ascii="Times New Roman" w:hAnsi="Times New Roman" w:cs="Times New Roman"/>
          <w:sz w:val="24"/>
          <w:szCs w:val="24"/>
          <w:highlight w:val="cyan"/>
        </w:rPr>
        <w:lastRenderedPageBreak/>
        <w:t>grupo de 25 a 29 años, donde el primero representa 2,3 veces el segundo (RR = 2,3, IC95% 2,1 - 2,5).</w:t>
      </w:r>
      <w:commentRangeEnd w:id="5"/>
      <w:r>
        <w:rPr>
          <w:rStyle w:val="Refdecomentario"/>
        </w:rPr>
        <w:commentReference w:id="5"/>
      </w:r>
    </w:p>
    <w:p w14:paraId="4684D755" w14:textId="2F987EA8" w:rsidR="00FD537F" w:rsidRDefault="00450930" w:rsidP="00DE13F5">
      <w:pPr>
        <w:spacing w:after="0" w:line="480" w:lineRule="auto"/>
        <w:contextualSpacing/>
        <w:jc w:val="both"/>
        <w:rPr>
          <w:rFonts w:ascii="Times New Roman" w:hAnsi="Times New Roman" w:cs="Times New Roman"/>
          <w:sz w:val="24"/>
          <w:szCs w:val="24"/>
        </w:rPr>
      </w:pPr>
      <w:r>
        <w:rPr>
          <w:noProof/>
          <w:lang w:val="en-US"/>
        </w:rPr>
        <w:drawing>
          <wp:inline distT="0" distB="0" distL="0" distR="0" wp14:anchorId="083FB4AC" wp14:editId="1E488DA6">
            <wp:extent cx="5971540" cy="2514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2514600"/>
                    </a:xfrm>
                    <a:prstGeom prst="rect">
                      <a:avLst/>
                    </a:prstGeom>
                  </pic:spPr>
                </pic:pic>
              </a:graphicData>
            </a:graphic>
          </wp:inline>
        </w:drawing>
      </w:r>
    </w:p>
    <w:p w14:paraId="7145A2E1" w14:textId="77777777" w:rsidR="00384A8F" w:rsidRDefault="00384A8F" w:rsidP="0016684F">
      <w:pPr>
        <w:spacing w:after="0" w:line="480" w:lineRule="auto"/>
        <w:contextualSpacing/>
        <w:jc w:val="both"/>
        <w:rPr>
          <w:rFonts w:ascii="Times New Roman" w:hAnsi="Times New Roman" w:cs="Times New Roman"/>
          <w:sz w:val="24"/>
          <w:szCs w:val="24"/>
        </w:rPr>
      </w:pPr>
    </w:p>
    <w:p w14:paraId="0B4F2122" w14:textId="383D32FC" w:rsidR="00116F68" w:rsidRPr="00116F68" w:rsidRDefault="00116F68" w:rsidP="00B3511A">
      <w:pPr>
        <w:spacing w:after="0" w:line="480" w:lineRule="auto"/>
        <w:contextualSpacing/>
        <w:jc w:val="both"/>
        <w:rPr>
          <w:rFonts w:ascii="Times New Roman" w:hAnsi="Times New Roman" w:cs="Times New Roman"/>
          <w:sz w:val="24"/>
          <w:szCs w:val="24"/>
        </w:rPr>
      </w:pPr>
      <w:r w:rsidRPr="00116F68">
        <w:rPr>
          <w:rFonts w:ascii="Times New Roman" w:hAnsi="Times New Roman" w:cs="Times New Roman"/>
          <w:sz w:val="24"/>
          <w:szCs w:val="24"/>
        </w:rPr>
        <w:t>También se evaluó el porcentaje de positividad como medida de la intensidad de la vigilancia epidemiológica.</w:t>
      </w:r>
      <w:r>
        <w:rPr>
          <w:rFonts w:ascii="Times New Roman" w:hAnsi="Times New Roman" w:cs="Times New Roman"/>
          <w:sz w:val="24"/>
          <w:szCs w:val="24"/>
        </w:rPr>
        <w:t xml:space="preserve"> Este indicador también se distribuyó de forma heterogénea entre los distritos de la CABA, concentrando sus valores más altos en los distritos del sur de la ciudad en ambos sub periodos. </w:t>
      </w:r>
      <w:r w:rsidRPr="00116F68">
        <w:rPr>
          <w:rFonts w:ascii="Times New Roman" w:hAnsi="Times New Roman" w:cs="Times New Roman"/>
          <w:sz w:val="24"/>
          <w:szCs w:val="24"/>
        </w:rPr>
        <w:t>Para el conjunto de la ciudad,</w:t>
      </w:r>
      <w:r>
        <w:rPr>
          <w:rFonts w:ascii="Times New Roman" w:hAnsi="Times New Roman" w:cs="Times New Roman"/>
          <w:sz w:val="24"/>
          <w:szCs w:val="24"/>
        </w:rPr>
        <w:t xml:space="preserve"> en el primer sub periodo</w:t>
      </w:r>
      <w:r w:rsidRPr="00116F68">
        <w:rPr>
          <w:rFonts w:ascii="Times New Roman" w:hAnsi="Times New Roman" w:cs="Times New Roman"/>
          <w:sz w:val="24"/>
          <w:szCs w:val="24"/>
        </w:rPr>
        <w:t xml:space="preserve"> el porcentaje de positividad se situó en el </w:t>
      </w:r>
      <w:r w:rsidR="00B3511A">
        <w:rPr>
          <w:rFonts w:ascii="Times New Roman" w:hAnsi="Times New Roman" w:cs="Times New Roman"/>
          <w:sz w:val="24"/>
          <w:szCs w:val="24"/>
          <w:highlight w:val="yellow"/>
        </w:rPr>
        <w:t>40</w:t>
      </w:r>
      <w:r w:rsidR="00B3511A" w:rsidRPr="00B3511A">
        <w:rPr>
          <w:rFonts w:ascii="Times New Roman" w:hAnsi="Times New Roman" w:cs="Times New Roman"/>
          <w:sz w:val="24"/>
          <w:szCs w:val="24"/>
          <w:highlight w:val="yellow"/>
        </w:rPr>
        <w:t>,</w:t>
      </w:r>
      <w:r w:rsidR="00B3511A">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 xml:space="preserve">% (IC95% </w:t>
      </w:r>
      <w:r w:rsidR="00B3511A">
        <w:rPr>
          <w:rFonts w:ascii="Times New Roman" w:hAnsi="Times New Roman" w:cs="Times New Roman"/>
          <w:sz w:val="24"/>
          <w:szCs w:val="24"/>
          <w:highlight w:val="yellow"/>
        </w:rPr>
        <w:t>40,3</w:t>
      </w:r>
      <w:r w:rsidRPr="00B3511A">
        <w:rPr>
          <w:rFonts w:ascii="Times New Roman" w:hAnsi="Times New Roman" w:cs="Times New Roman"/>
          <w:sz w:val="24"/>
          <w:szCs w:val="24"/>
          <w:highlight w:val="yellow"/>
        </w:rPr>
        <w:t xml:space="preserve"> - </w:t>
      </w:r>
      <w:r w:rsidR="00B3511A">
        <w:rPr>
          <w:rFonts w:ascii="Times New Roman" w:hAnsi="Times New Roman" w:cs="Times New Roman"/>
          <w:sz w:val="24"/>
          <w:szCs w:val="24"/>
          <w:highlight w:val="yellow"/>
        </w:rPr>
        <w:t>40</w:t>
      </w:r>
      <w:r w:rsidRPr="00B3511A">
        <w:rPr>
          <w:rFonts w:ascii="Times New Roman" w:hAnsi="Times New Roman" w:cs="Times New Roman"/>
          <w:sz w:val="24"/>
          <w:szCs w:val="24"/>
          <w:highlight w:val="yellow"/>
        </w:rPr>
        <w:t>,</w:t>
      </w:r>
      <w:r w:rsidR="00B3511A">
        <w:rPr>
          <w:rFonts w:ascii="Times New Roman" w:hAnsi="Times New Roman" w:cs="Times New Roman"/>
          <w:sz w:val="24"/>
          <w:szCs w:val="24"/>
          <w:highlight w:val="yellow"/>
        </w:rPr>
        <w:t>6</w:t>
      </w:r>
      <w:r w:rsidRPr="00B3511A">
        <w:rPr>
          <w:rFonts w:ascii="Times New Roman" w:hAnsi="Times New Roman" w:cs="Times New Roman"/>
          <w:sz w:val="24"/>
          <w:szCs w:val="24"/>
          <w:highlight w:val="yellow"/>
        </w:rPr>
        <w:t xml:space="preserve">), subiendo al </w:t>
      </w:r>
      <w:r w:rsidR="002B7E89">
        <w:rPr>
          <w:rFonts w:ascii="Times New Roman" w:hAnsi="Times New Roman" w:cs="Times New Roman"/>
          <w:sz w:val="24"/>
          <w:szCs w:val="24"/>
          <w:highlight w:val="yellow"/>
        </w:rPr>
        <w:t>42</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9</w:t>
      </w:r>
      <w:r w:rsidRPr="00B3511A">
        <w:rPr>
          <w:rFonts w:ascii="Times New Roman" w:hAnsi="Times New Roman" w:cs="Times New Roman"/>
          <w:sz w:val="24"/>
          <w:szCs w:val="24"/>
          <w:highlight w:val="yellow"/>
        </w:rPr>
        <w:t xml:space="preserve">% (IC95% </w:t>
      </w:r>
      <w:r w:rsidR="002B7E89">
        <w:rPr>
          <w:rFonts w:ascii="Times New Roman" w:hAnsi="Times New Roman" w:cs="Times New Roman"/>
          <w:sz w:val="24"/>
          <w:szCs w:val="24"/>
          <w:highlight w:val="yellow"/>
        </w:rPr>
        <w:t>42</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 xml:space="preserve"> - </w:t>
      </w:r>
      <w:r w:rsidR="002B7E89">
        <w:rPr>
          <w:rFonts w:ascii="Times New Roman" w:hAnsi="Times New Roman" w:cs="Times New Roman"/>
          <w:sz w:val="24"/>
          <w:szCs w:val="24"/>
          <w:highlight w:val="yellow"/>
        </w:rPr>
        <w:t>43</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w:t>
      </w:r>
      <w:r w:rsidRPr="00116F68">
        <w:rPr>
          <w:rFonts w:ascii="Times New Roman" w:hAnsi="Times New Roman" w:cs="Times New Roman"/>
          <w:sz w:val="24"/>
          <w:szCs w:val="24"/>
        </w:rPr>
        <w:t xml:space="preserve"> en </w:t>
      </w:r>
      <w:r w:rsidR="002B7E89">
        <w:rPr>
          <w:rFonts w:ascii="Times New Roman" w:hAnsi="Times New Roman" w:cs="Times New Roman"/>
          <w:sz w:val="24"/>
          <w:szCs w:val="24"/>
        </w:rPr>
        <w:t>el distrito</w:t>
      </w:r>
      <w:r w:rsidRPr="00116F68">
        <w:rPr>
          <w:rFonts w:ascii="Times New Roman" w:hAnsi="Times New Roman" w:cs="Times New Roman"/>
          <w:sz w:val="24"/>
          <w:szCs w:val="24"/>
        </w:rPr>
        <w:t xml:space="preserve"> de peor ingreso </w:t>
      </w:r>
      <w:r>
        <w:rPr>
          <w:rFonts w:ascii="Times New Roman" w:hAnsi="Times New Roman" w:cs="Times New Roman"/>
          <w:sz w:val="24"/>
          <w:szCs w:val="24"/>
        </w:rPr>
        <w:t xml:space="preserve">promedio. </w:t>
      </w:r>
      <w:r w:rsidR="00B3511A">
        <w:rPr>
          <w:rFonts w:ascii="Times New Roman" w:hAnsi="Times New Roman" w:cs="Times New Roman"/>
          <w:sz w:val="24"/>
          <w:szCs w:val="24"/>
        </w:rPr>
        <w:t xml:space="preserve">En el segundo sub periodo </w:t>
      </w:r>
      <w:r w:rsidR="00B3511A" w:rsidRPr="00116F68">
        <w:rPr>
          <w:rFonts w:ascii="Times New Roman" w:hAnsi="Times New Roman" w:cs="Times New Roman"/>
          <w:sz w:val="24"/>
          <w:szCs w:val="24"/>
        </w:rPr>
        <w:t xml:space="preserve">el porcentaje de positividad se situó en el </w:t>
      </w:r>
      <w:r w:rsidR="00B3511A" w:rsidRPr="00B3511A">
        <w:rPr>
          <w:rFonts w:ascii="Times New Roman" w:hAnsi="Times New Roman" w:cs="Times New Roman"/>
          <w:sz w:val="24"/>
          <w:szCs w:val="24"/>
          <w:highlight w:val="yellow"/>
        </w:rPr>
        <w:t xml:space="preserve">19,0% (IC95% 18,9 - 19,1), </w:t>
      </w:r>
      <w:commentRangeStart w:id="6"/>
      <w:r w:rsidR="00B3511A" w:rsidRPr="00B3511A">
        <w:rPr>
          <w:rFonts w:ascii="Times New Roman" w:hAnsi="Times New Roman" w:cs="Times New Roman"/>
          <w:sz w:val="24"/>
          <w:szCs w:val="24"/>
          <w:highlight w:val="yellow"/>
        </w:rPr>
        <w:t>subiendo al 22,5% (IC95% 22,8 - 20,0)</w:t>
      </w:r>
      <w:r w:rsidR="00B3511A" w:rsidRPr="00116F68">
        <w:rPr>
          <w:rFonts w:ascii="Times New Roman" w:hAnsi="Times New Roman" w:cs="Times New Roman"/>
          <w:sz w:val="24"/>
          <w:szCs w:val="24"/>
        </w:rPr>
        <w:t xml:space="preserve"> </w:t>
      </w:r>
      <w:commentRangeEnd w:id="6"/>
      <w:r w:rsidR="002B7E89">
        <w:rPr>
          <w:rStyle w:val="Refdecomentario"/>
        </w:rPr>
        <w:commentReference w:id="6"/>
      </w:r>
      <w:r w:rsidR="00B3511A" w:rsidRPr="00116F68">
        <w:rPr>
          <w:rFonts w:ascii="Times New Roman" w:hAnsi="Times New Roman" w:cs="Times New Roman"/>
          <w:sz w:val="24"/>
          <w:szCs w:val="24"/>
        </w:rPr>
        <w:t xml:space="preserve">en </w:t>
      </w:r>
      <w:r w:rsidR="002B7E89">
        <w:rPr>
          <w:rFonts w:ascii="Times New Roman" w:hAnsi="Times New Roman" w:cs="Times New Roman"/>
          <w:sz w:val="24"/>
          <w:szCs w:val="24"/>
        </w:rPr>
        <w:t>el distrito</w:t>
      </w:r>
      <w:r w:rsidR="00B3511A" w:rsidRPr="00116F68">
        <w:rPr>
          <w:rFonts w:ascii="Times New Roman" w:hAnsi="Times New Roman" w:cs="Times New Roman"/>
          <w:sz w:val="24"/>
          <w:szCs w:val="24"/>
        </w:rPr>
        <w:t xml:space="preserve"> de peor ingreso </w:t>
      </w:r>
      <w:r w:rsidR="00B3511A">
        <w:rPr>
          <w:rFonts w:ascii="Times New Roman" w:hAnsi="Times New Roman" w:cs="Times New Roman"/>
          <w:sz w:val="24"/>
          <w:szCs w:val="24"/>
        </w:rPr>
        <w:t xml:space="preserve">promedio. </w:t>
      </w:r>
      <w:r w:rsidR="00B3511A" w:rsidRPr="00116F68">
        <w:rPr>
          <w:rFonts w:ascii="Times New Roman" w:hAnsi="Times New Roman" w:cs="Times New Roman"/>
          <w:sz w:val="24"/>
          <w:szCs w:val="24"/>
        </w:rPr>
        <w:t>Figura 2 describe los diferentes niveles</w:t>
      </w:r>
      <w:r w:rsidR="00B3511A">
        <w:rPr>
          <w:rFonts w:ascii="Times New Roman" w:hAnsi="Times New Roman" w:cs="Times New Roman"/>
          <w:sz w:val="24"/>
          <w:szCs w:val="24"/>
        </w:rPr>
        <w:t xml:space="preserve"> de positividad observados por distrito para ambos sub periodos</w:t>
      </w:r>
      <w:r w:rsidR="00B3511A" w:rsidRPr="00116F68">
        <w:rPr>
          <w:rFonts w:ascii="Times New Roman" w:hAnsi="Times New Roman" w:cs="Times New Roman"/>
          <w:sz w:val="24"/>
          <w:szCs w:val="24"/>
        </w:rPr>
        <w:t>.</w:t>
      </w:r>
      <w:r w:rsidR="00B3511A">
        <w:rPr>
          <w:rFonts w:ascii="Times New Roman" w:hAnsi="Times New Roman" w:cs="Times New Roman"/>
          <w:sz w:val="24"/>
          <w:szCs w:val="24"/>
        </w:rPr>
        <w:t xml:space="preserve"> </w:t>
      </w:r>
    </w:p>
    <w:p w14:paraId="1F9407FE" w14:textId="3CA4DC50" w:rsidR="00EF2B6B" w:rsidRDefault="00116F68" w:rsidP="0016684F">
      <w:pPr>
        <w:spacing w:after="0" w:line="480" w:lineRule="auto"/>
        <w:contextualSpacing/>
        <w:jc w:val="both"/>
        <w:rPr>
          <w:rFonts w:ascii="Times New Roman" w:hAnsi="Times New Roman" w:cs="Times New Roman"/>
          <w:sz w:val="24"/>
          <w:szCs w:val="24"/>
        </w:rPr>
      </w:pPr>
      <w:r>
        <w:rPr>
          <w:noProof/>
          <w:lang w:val="en-US"/>
        </w:rPr>
        <w:lastRenderedPageBreak/>
        <w:drawing>
          <wp:inline distT="0" distB="0" distL="0" distR="0" wp14:anchorId="4F41109B" wp14:editId="0393154D">
            <wp:extent cx="5971540" cy="17697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1769745"/>
                    </a:xfrm>
                    <a:prstGeom prst="rect">
                      <a:avLst/>
                    </a:prstGeom>
                  </pic:spPr>
                </pic:pic>
              </a:graphicData>
            </a:graphic>
          </wp:inline>
        </w:drawing>
      </w:r>
    </w:p>
    <w:p w14:paraId="0D036C0D" w14:textId="77777777" w:rsidR="00D57FBD" w:rsidRPr="00D262C9" w:rsidRDefault="00D57FBD" w:rsidP="0016684F">
      <w:pPr>
        <w:spacing w:after="0" w:line="480" w:lineRule="auto"/>
        <w:contextualSpacing/>
        <w:jc w:val="both"/>
        <w:rPr>
          <w:rFonts w:ascii="Times New Roman" w:hAnsi="Times New Roman" w:cs="Times New Roman"/>
          <w:sz w:val="24"/>
          <w:szCs w:val="24"/>
        </w:rPr>
      </w:pPr>
    </w:p>
    <w:p w14:paraId="5754DADB" w14:textId="77777777" w:rsidR="00384A8F" w:rsidRDefault="00384A8F" w:rsidP="0016684F">
      <w:pPr>
        <w:spacing w:after="0" w:line="480" w:lineRule="auto"/>
        <w:contextualSpacing/>
        <w:jc w:val="both"/>
        <w:rPr>
          <w:rFonts w:ascii="Times New Roman" w:hAnsi="Times New Roman" w:cs="Times New Roman"/>
          <w:sz w:val="24"/>
          <w:szCs w:val="24"/>
        </w:rPr>
      </w:pPr>
    </w:p>
    <w:p w14:paraId="4F1652ED" w14:textId="77777777" w:rsidR="00842BAA" w:rsidRDefault="002B7E89" w:rsidP="0016684F">
      <w:pPr>
        <w:spacing w:after="0" w:line="480" w:lineRule="auto"/>
        <w:contextualSpacing/>
        <w:jc w:val="both"/>
        <w:rPr>
          <w:rFonts w:ascii="Times New Roman" w:hAnsi="Times New Roman" w:cs="Times New Roman"/>
          <w:sz w:val="24"/>
          <w:szCs w:val="24"/>
        </w:rPr>
      </w:pPr>
      <w:r w:rsidRPr="002B7E89">
        <w:rPr>
          <w:rFonts w:ascii="Times New Roman" w:hAnsi="Times New Roman" w:cs="Times New Roman"/>
          <w:sz w:val="24"/>
          <w:szCs w:val="24"/>
        </w:rPr>
        <w:t xml:space="preserve">En relación a la mortalidad, el porcentaje varió entre </w:t>
      </w:r>
      <w:commentRangeStart w:id="7"/>
      <w:r w:rsidRPr="002B7E89">
        <w:rPr>
          <w:rFonts w:ascii="Times New Roman" w:hAnsi="Times New Roman" w:cs="Times New Roman"/>
          <w:sz w:val="24"/>
          <w:szCs w:val="24"/>
          <w:highlight w:val="yellow"/>
        </w:rPr>
        <w:t>1,7% (IC 95% 1,5 - 1,9)</w:t>
      </w:r>
      <w:r w:rsidRPr="002B7E89">
        <w:rPr>
          <w:rFonts w:ascii="Times New Roman" w:hAnsi="Times New Roman" w:cs="Times New Roman"/>
          <w:sz w:val="24"/>
          <w:szCs w:val="24"/>
        </w:rPr>
        <w:t xml:space="preserve"> </w:t>
      </w:r>
      <w:commentRangeEnd w:id="7"/>
      <w:r w:rsidR="00842BAA">
        <w:rPr>
          <w:rStyle w:val="Refdecomentario"/>
        </w:rPr>
        <w:commentReference w:id="7"/>
      </w:r>
      <w:r w:rsidRPr="002B7E89">
        <w:rPr>
          <w:rFonts w:ascii="Times New Roman" w:hAnsi="Times New Roman" w:cs="Times New Roman"/>
          <w:sz w:val="24"/>
          <w:szCs w:val="24"/>
        </w:rPr>
        <w:t xml:space="preserve">en </w:t>
      </w:r>
      <w:r>
        <w:rPr>
          <w:rFonts w:ascii="Times New Roman" w:hAnsi="Times New Roman" w:cs="Times New Roman"/>
          <w:sz w:val="24"/>
          <w:szCs w:val="24"/>
        </w:rPr>
        <w:t>distrito</w:t>
      </w:r>
      <w:r w:rsidRPr="002B7E89">
        <w:rPr>
          <w:rFonts w:ascii="Times New Roman" w:hAnsi="Times New Roman" w:cs="Times New Roman"/>
          <w:sz w:val="24"/>
          <w:szCs w:val="24"/>
        </w:rPr>
        <w:t xml:space="preserve"> 8 (zona sur) y </w:t>
      </w:r>
      <w:r w:rsidRPr="002B7E89">
        <w:rPr>
          <w:rFonts w:ascii="Times New Roman" w:hAnsi="Times New Roman" w:cs="Times New Roman"/>
          <w:sz w:val="24"/>
          <w:szCs w:val="24"/>
          <w:highlight w:val="yellow"/>
        </w:rPr>
        <w:t>3,6% (IC95% 3,1 - 4,1)</w:t>
      </w:r>
      <w:r w:rsidRPr="002B7E89">
        <w:rPr>
          <w:rFonts w:ascii="Times New Roman" w:hAnsi="Times New Roman" w:cs="Times New Roman"/>
          <w:sz w:val="24"/>
          <w:szCs w:val="24"/>
        </w:rPr>
        <w:t xml:space="preserve"> en el </w:t>
      </w:r>
      <w:r>
        <w:rPr>
          <w:rFonts w:ascii="Times New Roman" w:hAnsi="Times New Roman" w:cs="Times New Roman"/>
          <w:sz w:val="24"/>
          <w:szCs w:val="24"/>
        </w:rPr>
        <w:t>distrito</w:t>
      </w:r>
      <w:r w:rsidRPr="002B7E89">
        <w:rPr>
          <w:rFonts w:ascii="Times New Roman" w:hAnsi="Times New Roman" w:cs="Times New Roman"/>
          <w:sz w:val="24"/>
          <w:szCs w:val="24"/>
        </w:rPr>
        <w:t xml:space="preserve"> 12 (zona norte)</w:t>
      </w:r>
      <w:r>
        <w:rPr>
          <w:rFonts w:ascii="Times New Roman" w:hAnsi="Times New Roman" w:cs="Times New Roman"/>
          <w:sz w:val="24"/>
          <w:szCs w:val="24"/>
        </w:rPr>
        <w:t xml:space="preserve"> en el primer sub periodo </w:t>
      </w:r>
      <w:r w:rsidRPr="002B7E89">
        <w:rPr>
          <w:rFonts w:ascii="Times New Roman" w:hAnsi="Times New Roman" w:cs="Times New Roman"/>
          <w:sz w:val="24"/>
          <w:szCs w:val="24"/>
          <w:highlight w:val="yellow"/>
        </w:rPr>
        <w:t>y entre xx y xx en el segundo sub</w:t>
      </w:r>
      <w:r w:rsidR="00842BAA">
        <w:rPr>
          <w:rFonts w:ascii="Times New Roman" w:hAnsi="Times New Roman" w:cs="Times New Roman"/>
          <w:sz w:val="24"/>
          <w:szCs w:val="24"/>
          <w:highlight w:val="yellow"/>
        </w:rPr>
        <w:t xml:space="preserve"> </w:t>
      </w:r>
      <w:r w:rsidRPr="002B7E89">
        <w:rPr>
          <w:rFonts w:ascii="Times New Roman" w:hAnsi="Times New Roman" w:cs="Times New Roman"/>
          <w:sz w:val="24"/>
          <w:szCs w:val="24"/>
          <w:highlight w:val="yellow"/>
        </w:rPr>
        <w:t>periodo.</w:t>
      </w:r>
      <w:r w:rsidRPr="002B7E89">
        <w:rPr>
          <w:rFonts w:ascii="Times New Roman" w:hAnsi="Times New Roman" w:cs="Times New Roman"/>
          <w:sz w:val="24"/>
          <w:szCs w:val="24"/>
        </w:rPr>
        <w:t xml:space="preserve"> </w:t>
      </w:r>
      <w:commentRangeStart w:id="8"/>
      <w:r w:rsidRPr="002B7E89">
        <w:rPr>
          <w:rFonts w:ascii="Times New Roman" w:hAnsi="Times New Roman" w:cs="Times New Roman"/>
          <w:sz w:val="24"/>
          <w:szCs w:val="24"/>
        </w:rPr>
        <w:t xml:space="preserve">La tasa de letalidad presentó el valor más bajo en un </w:t>
      </w:r>
      <w:r>
        <w:rPr>
          <w:rFonts w:ascii="Times New Roman" w:hAnsi="Times New Roman" w:cs="Times New Roman"/>
          <w:sz w:val="24"/>
          <w:szCs w:val="24"/>
        </w:rPr>
        <w:t>distrito</w:t>
      </w:r>
      <w:r w:rsidRPr="002B7E89">
        <w:rPr>
          <w:rFonts w:ascii="Times New Roman" w:hAnsi="Times New Roman" w:cs="Times New Roman"/>
          <w:sz w:val="24"/>
          <w:szCs w:val="24"/>
        </w:rPr>
        <w:t xml:space="preserve"> de la zona sur, lo que significaría que, en términos generales, el peor pronóstico para los infectados se encontrara en una de las zonas más desfavorecidas, sobre todo teniendo en cuenta que entre los cinco </w:t>
      </w:r>
      <w:r>
        <w:rPr>
          <w:rFonts w:ascii="Times New Roman" w:hAnsi="Times New Roman" w:cs="Times New Roman"/>
          <w:sz w:val="24"/>
          <w:szCs w:val="24"/>
        </w:rPr>
        <w:t>distritos</w:t>
      </w:r>
      <w:r w:rsidRPr="002B7E89">
        <w:rPr>
          <w:rFonts w:ascii="Times New Roman" w:hAnsi="Times New Roman" w:cs="Times New Roman"/>
          <w:sz w:val="24"/>
          <w:szCs w:val="24"/>
        </w:rPr>
        <w:t xml:space="preserve"> con los porcentajes de letalidad más altos (pabellones 12, 11, 2, 10 y 13) no se encontró a nadie en la zona sur. Además, tres de ellos (2, 12 y 13) se encuentran entre los cinco con mejor ingreso familiar promedio. Esto evidenciaría una asociación inversa entre el nivel de ingresos y la fatalidad o, en otras palabras, un peor pronóstico para los casos infectados que viven en las zonas de mayores ingresos. </w:t>
      </w:r>
      <w:commentRangeEnd w:id="8"/>
      <w:r>
        <w:rPr>
          <w:rStyle w:val="Refdecomentario"/>
        </w:rPr>
        <w:commentReference w:id="8"/>
      </w:r>
    </w:p>
    <w:p w14:paraId="6C83DE21" w14:textId="77777777" w:rsidR="00842BAA" w:rsidRDefault="00842BAA" w:rsidP="0016684F">
      <w:pPr>
        <w:spacing w:after="0" w:line="480" w:lineRule="auto"/>
        <w:contextualSpacing/>
        <w:jc w:val="both"/>
        <w:rPr>
          <w:rFonts w:ascii="Times New Roman" w:hAnsi="Times New Roman" w:cs="Times New Roman"/>
          <w:sz w:val="24"/>
          <w:szCs w:val="24"/>
        </w:rPr>
      </w:pPr>
    </w:p>
    <w:p w14:paraId="4A9E256D" w14:textId="5D522E2B" w:rsidR="00842BAA" w:rsidRDefault="00842BAA" w:rsidP="0016684F">
      <w:pPr>
        <w:spacing w:after="0" w:line="480" w:lineRule="auto"/>
        <w:contextualSpacing/>
        <w:jc w:val="both"/>
        <w:rPr>
          <w:rFonts w:ascii="Times New Roman" w:hAnsi="Times New Roman" w:cs="Times New Roman"/>
          <w:sz w:val="24"/>
          <w:szCs w:val="24"/>
        </w:rPr>
      </w:pPr>
      <w:r>
        <w:rPr>
          <w:noProof/>
          <w:lang w:val="en-US"/>
        </w:rPr>
        <w:lastRenderedPageBreak/>
        <w:drawing>
          <wp:inline distT="0" distB="0" distL="0" distR="0" wp14:anchorId="34C204AF" wp14:editId="4B6B3439">
            <wp:extent cx="5971540" cy="28682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1540" cy="2868295"/>
                    </a:xfrm>
                    <a:prstGeom prst="rect">
                      <a:avLst/>
                    </a:prstGeom>
                  </pic:spPr>
                </pic:pic>
              </a:graphicData>
            </a:graphic>
          </wp:inline>
        </w:drawing>
      </w:r>
    </w:p>
    <w:p w14:paraId="3E6F805E" w14:textId="77777777" w:rsidR="00842BAA" w:rsidRDefault="00842BAA" w:rsidP="0016684F">
      <w:pPr>
        <w:spacing w:after="0" w:line="480" w:lineRule="auto"/>
        <w:contextualSpacing/>
        <w:jc w:val="both"/>
        <w:rPr>
          <w:rFonts w:ascii="Times New Roman" w:hAnsi="Times New Roman" w:cs="Times New Roman"/>
          <w:sz w:val="24"/>
          <w:szCs w:val="24"/>
        </w:rPr>
      </w:pPr>
    </w:p>
    <w:p w14:paraId="4708D68B" w14:textId="77777777" w:rsidR="00842BAA" w:rsidRDefault="00842BAA" w:rsidP="0016684F">
      <w:pPr>
        <w:spacing w:after="0" w:line="480" w:lineRule="auto"/>
        <w:contextualSpacing/>
        <w:jc w:val="both"/>
        <w:rPr>
          <w:rFonts w:ascii="Times New Roman" w:hAnsi="Times New Roman" w:cs="Times New Roman"/>
          <w:sz w:val="24"/>
          <w:szCs w:val="24"/>
        </w:rPr>
      </w:pPr>
    </w:p>
    <w:p w14:paraId="1E9244A2" w14:textId="564CDE48" w:rsidR="00384A8F" w:rsidRPr="002B7E89" w:rsidRDefault="00192B6D" w:rsidP="0016684F">
      <w:pPr>
        <w:spacing w:after="0" w:line="480" w:lineRule="auto"/>
        <w:contextualSpacing/>
        <w:jc w:val="both"/>
        <w:rPr>
          <w:rFonts w:ascii="Times New Roman" w:hAnsi="Times New Roman" w:cs="Times New Roman"/>
          <w:b/>
          <w:sz w:val="24"/>
          <w:szCs w:val="24"/>
        </w:rPr>
      </w:pPr>
      <w:r>
        <w:rPr>
          <w:rFonts w:ascii="Times New Roman" w:hAnsi="Times New Roman" w:cs="Times New Roman"/>
          <w:sz w:val="24"/>
          <w:szCs w:val="24"/>
        </w:rPr>
        <w:t>Al analizar la letalidad por</w:t>
      </w:r>
      <w:r w:rsidR="002B7E89" w:rsidRPr="002B7E89">
        <w:rPr>
          <w:rFonts w:ascii="Times New Roman" w:hAnsi="Times New Roman" w:cs="Times New Roman"/>
          <w:sz w:val="24"/>
          <w:szCs w:val="24"/>
        </w:rPr>
        <w:t xml:space="preserve"> grupos de edad, como se muestra en la Figura X. </w:t>
      </w:r>
      <w:r>
        <w:rPr>
          <w:rFonts w:ascii="Times New Roman" w:hAnsi="Times New Roman" w:cs="Times New Roman"/>
          <w:sz w:val="24"/>
          <w:szCs w:val="24"/>
        </w:rPr>
        <w:t xml:space="preserve"> en </w:t>
      </w:r>
      <w:r w:rsidR="002B7E89" w:rsidRPr="002B7E89">
        <w:rPr>
          <w:rFonts w:ascii="Times New Roman" w:hAnsi="Times New Roman" w:cs="Times New Roman"/>
          <w:sz w:val="24"/>
          <w:szCs w:val="24"/>
        </w:rPr>
        <w:t>los grupos de edad mayores de 60 años, se encontró que la concentración en las comunas más desfavorecidas es más fuerte. En cualquier caso, la amplitud de algunos intervalos de confianza no permite realizar afirmaciones libres de un alto grado de incertidumbre.</w:t>
      </w:r>
    </w:p>
    <w:p w14:paraId="6C5FCACC" w14:textId="77777777" w:rsidR="00EE64E1" w:rsidRPr="007905F6" w:rsidRDefault="007905F6" w:rsidP="0016684F">
      <w:pPr>
        <w:spacing w:after="0" w:line="480" w:lineRule="auto"/>
        <w:contextualSpacing/>
        <w:jc w:val="both"/>
        <w:rPr>
          <w:rFonts w:ascii="Times New Roman" w:hAnsi="Times New Roman" w:cs="Times New Roman"/>
          <w:b/>
          <w:sz w:val="24"/>
          <w:szCs w:val="24"/>
        </w:rPr>
      </w:pPr>
      <w:commentRangeStart w:id="9"/>
      <w:r w:rsidRPr="007905F6">
        <w:rPr>
          <w:rFonts w:ascii="Times New Roman" w:hAnsi="Times New Roman" w:cs="Times New Roman"/>
          <w:b/>
          <w:sz w:val="24"/>
          <w:szCs w:val="24"/>
        </w:rPr>
        <w:t>AGREGAR INDEX</w:t>
      </w:r>
      <w:commentRangeEnd w:id="9"/>
      <w:r w:rsidR="00192B6D">
        <w:rPr>
          <w:rStyle w:val="Refdecomentario"/>
        </w:rPr>
        <w:commentReference w:id="9"/>
      </w:r>
    </w:p>
    <w:tbl>
      <w:tblPr>
        <w:tblW w:w="10188"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4"/>
        <w:gridCol w:w="894"/>
        <w:gridCol w:w="715"/>
        <w:gridCol w:w="781"/>
        <w:gridCol w:w="878"/>
        <w:gridCol w:w="665"/>
        <w:gridCol w:w="745"/>
        <w:gridCol w:w="878"/>
        <w:gridCol w:w="665"/>
        <w:gridCol w:w="745"/>
        <w:gridCol w:w="878"/>
        <w:gridCol w:w="665"/>
        <w:gridCol w:w="745"/>
      </w:tblGrid>
      <w:tr w:rsidR="00EE64E1" w:rsidRPr="00EE64E1" w14:paraId="1D0F0BAA" w14:textId="77777777" w:rsidTr="002C3BF8">
        <w:trPr>
          <w:trHeight w:val="324"/>
        </w:trPr>
        <w:tc>
          <w:tcPr>
            <w:tcW w:w="934" w:type="dxa"/>
            <w:shd w:val="clear" w:color="auto" w:fill="auto"/>
            <w:noWrap/>
            <w:vAlign w:val="bottom"/>
            <w:hideMark/>
          </w:tcPr>
          <w:p w14:paraId="31F3ED0B"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p>
        </w:tc>
        <w:tc>
          <w:tcPr>
            <w:tcW w:w="2390" w:type="dxa"/>
            <w:gridSpan w:val="3"/>
            <w:shd w:val="clear" w:color="auto" w:fill="auto"/>
            <w:noWrap/>
            <w:vAlign w:val="bottom"/>
            <w:hideMark/>
          </w:tcPr>
          <w:p w14:paraId="75D99F6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Total</w:t>
            </w:r>
          </w:p>
        </w:tc>
        <w:tc>
          <w:tcPr>
            <w:tcW w:w="2288" w:type="dxa"/>
            <w:gridSpan w:val="3"/>
            <w:shd w:val="clear" w:color="auto" w:fill="auto"/>
            <w:noWrap/>
            <w:vAlign w:val="bottom"/>
            <w:hideMark/>
          </w:tcPr>
          <w:p w14:paraId="38C61009"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60 a 69 años</w:t>
            </w:r>
          </w:p>
        </w:tc>
        <w:tc>
          <w:tcPr>
            <w:tcW w:w="2288" w:type="dxa"/>
            <w:gridSpan w:val="3"/>
            <w:shd w:val="clear" w:color="auto" w:fill="auto"/>
            <w:noWrap/>
            <w:vAlign w:val="bottom"/>
            <w:hideMark/>
          </w:tcPr>
          <w:p w14:paraId="2161F16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70 a 79 años</w:t>
            </w:r>
          </w:p>
        </w:tc>
        <w:tc>
          <w:tcPr>
            <w:tcW w:w="2288" w:type="dxa"/>
            <w:gridSpan w:val="3"/>
            <w:shd w:val="clear" w:color="auto" w:fill="auto"/>
            <w:noWrap/>
            <w:vAlign w:val="bottom"/>
            <w:hideMark/>
          </w:tcPr>
          <w:p w14:paraId="4577B95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80 a 89 años</w:t>
            </w:r>
          </w:p>
        </w:tc>
      </w:tr>
      <w:tr w:rsidR="00D53805" w:rsidRPr="00EE64E1" w14:paraId="1B26D83E" w14:textId="77777777" w:rsidTr="002C3BF8">
        <w:trPr>
          <w:trHeight w:val="462"/>
        </w:trPr>
        <w:tc>
          <w:tcPr>
            <w:tcW w:w="934" w:type="dxa"/>
            <w:shd w:val="clear" w:color="auto" w:fill="auto"/>
            <w:vAlign w:val="center"/>
            <w:hideMark/>
          </w:tcPr>
          <w:p w14:paraId="653F3B4B"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Comuna</w:t>
            </w:r>
          </w:p>
        </w:tc>
        <w:tc>
          <w:tcPr>
            <w:tcW w:w="894" w:type="dxa"/>
            <w:shd w:val="clear" w:color="auto" w:fill="auto"/>
            <w:vAlign w:val="center"/>
            <w:hideMark/>
          </w:tcPr>
          <w:p w14:paraId="45D29179"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715" w:type="dxa"/>
            <w:shd w:val="clear" w:color="auto" w:fill="auto"/>
            <w:vAlign w:val="center"/>
            <w:hideMark/>
          </w:tcPr>
          <w:p w14:paraId="3A23B802"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81" w:type="dxa"/>
            <w:shd w:val="clear" w:color="auto" w:fill="auto"/>
            <w:vAlign w:val="center"/>
            <w:hideMark/>
          </w:tcPr>
          <w:p w14:paraId="0756F188"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2D7CA8DA"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226680C0"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5165F926"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501417DF"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2DE4A386"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37621988"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497A45AE"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72D004CA"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3154BEC2"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r>
      <w:tr w:rsidR="002C3BF8" w:rsidRPr="00EE64E1" w14:paraId="4F0CE3EF" w14:textId="77777777" w:rsidTr="002C3BF8">
        <w:trPr>
          <w:trHeight w:val="324"/>
        </w:trPr>
        <w:tc>
          <w:tcPr>
            <w:tcW w:w="934" w:type="dxa"/>
            <w:shd w:val="clear" w:color="auto" w:fill="auto"/>
            <w:vAlign w:val="center"/>
          </w:tcPr>
          <w:p w14:paraId="3C428C1B" w14:textId="77777777" w:rsidR="002C3BF8"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vAlign w:val="bottom"/>
          </w:tcPr>
          <w:p w14:paraId="6005A98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vAlign w:val="bottom"/>
          </w:tcPr>
          <w:p w14:paraId="5445389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vAlign w:val="bottom"/>
          </w:tcPr>
          <w:p w14:paraId="7E99F56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7368D28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17624C8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311FBB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296DD36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7552D31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057891D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7D809ED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4A5A192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7D84145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14:paraId="05D081C7" w14:textId="77777777" w:rsidTr="002C3BF8">
        <w:trPr>
          <w:trHeight w:val="324"/>
        </w:trPr>
        <w:tc>
          <w:tcPr>
            <w:tcW w:w="934" w:type="dxa"/>
            <w:shd w:val="clear" w:color="auto" w:fill="auto"/>
            <w:vAlign w:val="center"/>
            <w:hideMark/>
          </w:tcPr>
          <w:p w14:paraId="3C9126C2"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Pr>
                <w:rFonts w:ascii="Times New Roman" w:eastAsia="Times New Roman" w:hAnsi="Times New Roman" w:cs="Times New Roman"/>
                <w:sz w:val="16"/>
                <w:szCs w:val="16"/>
                <w:lang w:eastAsia="es-AR"/>
              </w:rPr>
              <w:t>Total</w:t>
            </w:r>
          </w:p>
        </w:tc>
        <w:tc>
          <w:tcPr>
            <w:tcW w:w="894" w:type="dxa"/>
            <w:shd w:val="clear" w:color="auto" w:fill="auto"/>
            <w:vAlign w:val="bottom"/>
            <w:hideMark/>
          </w:tcPr>
          <w:p w14:paraId="2788BF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vAlign w:val="bottom"/>
            <w:hideMark/>
          </w:tcPr>
          <w:p w14:paraId="442C9DE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vAlign w:val="bottom"/>
            <w:hideMark/>
          </w:tcPr>
          <w:p w14:paraId="7EB301B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878" w:type="dxa"/>
            <w:shd w:val="clear" w:color="auto" w:fill="auto"/>
            <w:vAlign w:val="bottom"/>
            <w:hideMark/>
          </w:tcPr>
          <w:p w14:paraId="3455659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5.5</w:t>
            </w:r>
          </w:p>
        </w:tc>
        <w:tc>
          <w:tcPr>
            <w:tcW w:w="665" w:type="dxa"/>
            <w:shd w:val="clear" w:color="auto" w:fill="auto"/>
            <w:vAlign w:val="bottom"/>
            <w:hideMark/>
          </w:tcPr>
          <w:p w14:paraId="4B26BD1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745" w:type="dxa"/>
            <w:shd w:val="clear" w:color="auto" w:fill="auto"/>
            <w:vAlign w:val="bottom"/>
            <w:hideMark/>
          </w:tcPr>
          <w:p w14:paraId="28315C3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vAlign w:val="bottom"/>
            <w:hideMark/>
          </w:tcPr>
          <w:p w14:paraId="08ABBF0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13.5</w:t>
            </w:r>
          </w:p>
        </w:tc>
        <w:tc>
          <w:tcPr>
            <w:tcW w:w="665" w:type="dxa"/>
            <w:shd w:val="clear" w:color="auto" w:fill="auto"/>
            <w:vAlign w:val="bottom"/>
            <w:hideMark/>
          </w:tcPr>
          <w:p w14:paraId="3FCBBAC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745" w:type="dxa"/>
            <w:shd w:val="clear" w:color="auto" w:fill="auto"/>
            <w:vAlign w:val="bottom"/>
            <w:hideMark/>
          </w:tcPr>
          <w:p w14:paraId="05C9DC6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14.4</w:t>
            </w:r>
          </w:p>
        </w:tc>
        <w:tc>
          <w:tcPr>
            <w:tcW w:w="878" w:type="dxa"/>
            <w:shd w:val="clear" w:color="auto" w:fill="auto"/>
            <w:vAlign w:val="bottom"/>
            <w:hideMark/>
          </w:tcPr>
          <w:p w14:paraId="2C185EE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22.4</w:t>
            </w:r>
          </w:p>
        </w:tc>
        <w:tc>
          <w:tcPr>
            <w:tcW w:w="665" w:type="dxa"/>
            <w:shd w:val="clear" w:color="auto" w:fill="auto"/>
            <w:vAlign w:val="bottom"/>
            <w:hideMark/>
          </w:tcPr>
          <w:p w14:paraId="3DFD08A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21.4</w:t>
            </w:r>
          </w:p>
        </w:tc>
        <w:tc>
          <w:tcPr>
            <w:tcW w:w="745" w:type="dxa"/>
            <w:shd w:val="clear" w:color="auto" w:fill="auto"/>
            <w:vAlign w:val="bottom"/>
            <w:hideMark/>
          </w:tcPr>
          <w:p w14:paraId="2F41AE8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23.3</w:t>
            </w:r>
          </w:p>
        </w:tc>
        <w:bookmarkStart w:id="10" w:name="_GoBack"/>
        <w:bookmarkEnd w:id="10"/>
      </w:tr>
      <w:tr w:rsidR="002C3BF8" w:rsidRPr="00EE64E1" w14:paraId="706F0143" w14:textId="77777777" w:rsidTr="002C3BF8">
        <w:trPr>
          <w:trHeight w:val="324"/>
        </w:trPr>
        <w:tc>
          <w:tcPr>
            <w:tcW w:w="934" w:type="dxa"/>
            <w:shd w:val="clear" w:color="auto" w:fill="auto"/>
            <w:noWrap/>
            <w:vAlign w:val="bottom"/>
          </w:tcPr>
          <w:p w14:paraId="2B0F6CE3"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noWrap/>
            <w:vAlign w:val="bottom"/>
          </w:tcPr>
          <w:p w14:paraId="09D0FFC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noWrap/>
            <w:vAlign w:val="bottom"/>
          </w:tcPr>
          <w:p w14:paraId="31F161C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noWrap/>
            <w:vAlign w:val="bottom"/>
          </w:tcPr>
          <w:p w14:paraId="14415CD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2A92C75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5BF659C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14DE125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2672433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0888490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6F665B0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44BFBC7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0AAE0A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51DB984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14:paraId="6612CA3F" w14:textId="77777777" w:rsidTr="002C3BF8">
        <w:trPr>
          <w:trHeight w:val="324"/>
        </w:trPr>
        <w:tc>
          <w:tcPr>
            <w:tcW w:w="934" w:type="dxa"/>
            <w:shd w:val="clear" w:color="auto" w:fill="auto"/>
            <w:noWrap/>
            <w:vAlign w:val="bottom"/>
            <w:hideMark/>
          </w:tcPr>
          <w:p w14:paraId="6D905D20"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w:t>
            </w:r>
          </w:p>
        </w:tc>
        <w:tc>
          <w:tcPr>
            <w:tcW w:w="894" w:type="dxa"/>
            <w:shd w:val="clear" w:color="auto" w:fill="auto"/>
            <w:noWrap/>
            <w:vAlign w:val="bottom"/>
            <w:hideMark/>
          </w:tcPr>
          <w:p w14:paraId="5651832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15" w:type="dxa"/>
            <w:shd w:val="clear" w:color="auto" w:fill="auto"/>
            <w:noWrap/>
            <w:vAlign w:val="bottom"/>
            <w:hideMark/>
          </w:tcPr>
          <w:p w14:paraId="1020F94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w:t>
            </w:r>
          </w:p>
        </w:tc>
        <w:tc>
          <w:tcPr>
            <w:tcW w:w="781" w:type="dxa"/>
            <w:shd w:val="clear" w:color="auto" w:fill="auto"/>
            <w:noWrap/>
            <w:vAlign w:val="bottom"/>
            <w:hideMark/>
          </w:tcPr>
          <w:p w14:paraId="5C082D0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878" w:type="dxa"/>
            <w:shd w:val="clear" w:color="auto" w:fill="auto"/>
            <w:noWrap/>
            <w:vAlign w:val="bottom"/>
            <w:hideMark/>
          </w:tcPr>
          <w:p w14:paraId="40B33DC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14:paraId="3755E0E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14:paraId="74A196B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878" w:type="dxa"/>
            <w:shd w:val="clear" w:color="auto" w:fill="auto"/>
            <w:noWrap/>
            <w:vAlign w:val="bottom"/>
            <w:hideMark/>
          </w:tcPr>
          <w:p w14:paraId="761FEF6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14:paraId="4230254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9.9</w:t>
            </w:r>
          </w:p>
        </w:tc>
        <w:tc>
          <w:tcPr>
            <w:tcW w:w="745" w:type="dxa"/>
            <w:shd w:val="clear" w:color="auto" w:fill="auto"/>
            <w:noWrap/>
            <w:vAlign w:val="bottom"/>
            <w:hideMark/>
          </w:tcPr>
          <w:p w14:paraId="4C11D23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15.8</w:t>
            </w:r>
          </w:p>
        </w:tc>
        <w:tc>
          <w:tcPr>
            <w:tcW w:w="878" w:type="dxa"/>
            <w:shd w:val="clear" w:color="auto" w:fill="auto"/>
            <w:noWrap/>
            <w:vAlign w:val="bottom"/>
            <w:hideMark/>
          </w:tcPr>
          <w:p w14:paraId="62B9F9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26.1</w:t>
            </w:r>
          </w:p>
        </w:tc>
        <w:tc>
          <w:tcPr>
            <w:tcW w:w="665" w:type="dxa"/>
            <w:shd w:val="clear" w:color="auto" w:fill="auto"/>
            <w:noWrap/>
            <w:vAlign w:val="bottom"/>
            <w:hideMark/>
          </w:tcPr>
          <w:p w14:paraId="13A35B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22.3</w:t>
            </w:r>
          </w:p>
        </w:tc>
        <w:tc>
          <w:tcPr>
            <w:tcW w:w="745" w:type="dxa"/>
            <w:shd w:val="clear" w:color="auto" w:fill="auto"/>
            <w:noWrap/>
            <w:vAlign w:val="bottom"/>
            <w:hideMark/>
          </w:tcPr>
          <w:p w14:paraId="7CEB330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29.9</w:t>
            </w:r>
          </w:p>
        </w:tc>
      </w:tr>
      <w:tr w:rsidR="002C3BF8" w:rsidRPr="00EE64E1" w14:paraId="4B48AE6B" w14:textId="77777777" w:rsidTr="002C3BF8">
        <w:trPr>
          <w:trHeight w:val="324"/>
        </w:trPr>
        <w:tc>
          <w:tcPr>
            <w:tcW w:w="934" w:type="dxa"/>
            <w:shd w:val="clear" w:color="auto" w:fill="auto"/>
            <w:noWrap/>
            <w:vAlign w:val="bottom"/>
            <w:hideMark/>
          </w:tcPr>
          <w:p w14:paraId="79E5C034"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w:t>
            </w:r>
          </w:p>
        </w:tc>
        <w:tc>
          <w:tcPr>
            <w:tcW w:w="894" w:type="dxa"/>
            <w:shd w:val="clear" w:color="auto" w:fill="auto"/>
            <w:noWrap/>
            <w:vAlign w:val="bottom"/>
            <w:hideMark/>
          </w:tcPr>
          <w:p w14:paraId="7E0B8B9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3.5</w:t>
            </w:r>
          </w:p>
        </w:tc>
        <w:tc>
          <w:tcPr>
            <w:tcW w:w="715" w:type="dxa"/>
            <w:shd w:val="clear" w:color="auto" w:fill="auto"/>
            <w:noWrap/>
            <w:vAlign w:val="bottom"/>
            <w:hideMark/>
          </w:tcPr>
          <w:p w14:paraId="1BF808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81" w:type="dxa"/>
            <w:shd w:val="clear" w:color="auto" w:fill="auto"/>
            <w:noWrap/>
            <w:vAlign w:val="bottom"/>
            <w:hideMark/>
          </w:tcPr>
          <w:p w14:paraId="15701FC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878" w:type="dxa"/>
            <w:shd w:val="clear" w:color="auto" w:fill="auto"/>
            <w:noWrap/>
            <w:vAlign w:val="bottom"/>
            <w:hideMark/>
          </w:tcPr>
          <w:p w14:paraId="097F982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665" w:type="dxa"/>
            <w:shd w:val="clear" w:color="auto" w:fill="auto"/>
            <w:noWrap/>
            <w:vAlign w:val="bottom"/>
            <w:hideMark/>
          </w:tcPr>
          <w:p w14:paraId="7EFC732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745" w:type="dxa"/>
            <w:shd w:val="clear" w:color="auto" w:fill="auto"/>
            <w:noWrap/>
            <w:vAlign w:val="bottom"/>
            <w:hideMark/>
          </w:tcPr>
          <w:p w14:paraId="35DB2D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14:paraId="346DBBD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70CC7C0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6FBFE11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14:paraId="2F2B8F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23.1</w:t>
            </w:r>
          </w:p>
        </w:tc>
        <w:tc>
          <w:tcPr>
            <w:tcW w:w="665" w:type="dxa"/>
            <w:shd w:val="clear" w:color="auto" w:fill="auto"/>
            <w:noWrap/>
            <w:vAlign w:val="bottom"/>
            <w:hideMark/>
          </w:tcPr>
          <w:p w14:paraId="3525ED6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745" w:type="dxa"/>
            <w:shd w:val="clear" w:color="auto" w:fill="auto"/>
            <w:noWrap/>
            <w:vAlign w:val="bottom"/>
            <w:hideMark/>
          </w:tcPr>
          <w:p w14:paraId="0B11F74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26.7</w:t>
            </w:r>
          </w:p>
        </w:tc>
      </w:tr>
      <w:tr w:rsidR="002C3BF8" w:rsidRPr="00EE64E1" w14:paraId="7AD33CDA" w14:textId="77777777" w:rsidTr="002C3BF8">
        <w:trPr>
          <w:trHeight w:val="324"/>
        </w:trPr>
        <w:tc>
          <w:tcPr>
            <w:tcW w:w="934" w:type="dxa"/>
            <w:shd w:val="clear" w:color="auto" w:fill="auto"/>
            <w:noWrap/>
            <w:vAlign w:val="bottom"/>
            <w:hideMark/>
          </w:tcPr>
          <w:p w14:paraId="3E582539"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w:t>
            </w:r>
          </w:p>
        </w:tc>
        <w:tc>
          <w:tcPr>
            <w:tcW w:w="894" w:type="dxa"/>
            <w:shd w:val="clear" w:color="auto" w:fill="auto"/>
            <w:noWrap/>
            <w:vAlign w:val="bottom"/>
            <w:hideMark/>
          </w:tcPr>
          <w:p w14:paraId="5698DA3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noWrap/>
            <w:vAlign w:val="bottom"/>
            <w:hideMark/>
          </w:tcPr>
          <w:p w14:paraId="40F765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81" w:type="dxa"/>
            <w:shd w:val="clear" w:color="auto" w:fill="auto"/>
            <w:noWrap/>
            <w:vAlign w:val="bottom"/>
            <w:hideMark/>
          </w:tcPr>
          <w:p w14:paraId="6DFE390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878" w:type="dxa"/>
            <w:shd w:val="clear" w:color="auto" w:fill="auto"/>
            <w:noWrap/>
            <w:vAlign w:val="bottom"/>
            <w:hideMark/>
          </w:tcPr>
          <w:p w14:paraId="4CDE33E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14:paraId="037A230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14:paraId="7F9E6B8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14:paraId="7B91004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16.0</w:t>
            </w:r>
          </w:p>
        </w:tc>
        <w:tc>
          <w:tcPr>
            <w:tcW w:w="665" w:type="dxa"/>
            <w:shd w:val="clear" w:color="auto" w:fill="auto"/>
            <w:noWrap/>
            <w:vAlign w:val="bottom"/>
            <w:hideMark/>
          </w:tcPr>
          <w:p w14:paraId="04C4679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745" w:type="dxa"/>
            <w:shd w:val="clear" w:color="auto" w:fill="auto"/>
            <w:noWrap/>
            <w:vAlign w:val="bottom"/>
            <w:hideMark/>
          </w:tcPr>
          <w:p w14:paraId="7DC7679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878" w:type="dxa"/>
            <w:shd w:val="clear" w:color="auto" w:fill="auto"/>
            <w:noWrap/>
            <w:vAlign w:val="bottom"/>
            <w:hideMark/>
          </w:tcPr>
          <w:p w14:paraId="65DF0F1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21.3</w:t>
            </w:r>
          </w:p>
        </w:tc>
        <w:tc>
          <w:tcPr>
            <w:tcW w:w="665" w:type="dxa"/>
            <w:shd w:val="clear" w:color="auto" w:fill="auto"/>
            <w:noWrap/>
            <w:vAlign w:val="bottom"/>
            <w:hideMark/>
          </w:tcPr>
          <w:p w14:paraId="39528E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17.9</w:t>
            </w:r>
          </w:p>
        </w:tc>
        <w:tc>
          <w:tcPr>
            <w:tcW w:w="745" w:type="dxa"/>
            <w:shd w:val="clear" w:color="auto" w:fill="auto"/>
            <w:noWrap/>
            <w:vAlign w:val="bottom"/>
            <w:hideMark/>
          </w:tcPr>
          <w:p w14:paraId="2F2007A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14:paraId="0A952A3B" w14:textId="77777777" w:rsidTr="002C3BF8">
        <w:trPr>
          <w:trHeight w:val="324"/>
        </w:trPr>
        <w:tc>
          <w:tcPr>
            <w:tcW w:w="934" w:type="dxa"/>
            <w:shd w:val="clear" w:color="auto" w:fill="auto"/>
            <w:noWrap/>
            <w:vAlign w:val="bottom"/>
            <w:hideMark/>
          </w:tcPr>
          <w:p w14:paraId="14D2829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w:t>
            </w:r>
          </w:p>
        </w:tc>
        <w:tc>
          <w:tcPr>
            <w:tcW w:w="894" w:type="dxa"/>
            <w:shd w:val="clear" w:color="auto" w:fill="auto"/>
            <w:noWrap/>
            <w:vAlign w:val="bottom"/>
            <w:hideMark/>
          </w:tcPr>
          <w:p w14:paraId="6AE7A2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w:t>
            </w:r>
          </w:p>
        </w:tc>
        <w:tc>
          <w:tcPr>
            <w:tcW w:w="715" w:type="dxa"/>
            <w:shd w:val="clear" w:color="auto" w:fill="auto"/>
            <w:noWrap/>
            <w:vAlign w:val="bottom"/>
            <w:hideMark/>
          </w:tcPr>
          <w:p w14:paraId="53503BA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w:t>
            </w:r>
          </w:p>
        </w:tc>
        <w:tc>
          <w:tcPr>
            <w:tcW w:w="781" w:type="dxa"/>
            <w:shd w:val="clear" w:color="auto" w:fill="auto"/>
            <w:noWrap/>
            <w:vAlign w:val="bottom"/>
            <w:hideMark/>
          </w:tcPr>
          <w:p w14:paraId="480DEEF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878" w:type="dxa"/>
            <w:shd w:val="clear" w:color="auto" w:fill="auto"/>
            <w:noWrap/>
            <w:vAlign w:val="bottom"/>
            <w:hideMark/>
          </w:tcPr>
          <w:p w14:paraId="5994ECB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7.4</w:t>
            </w:r>
          </w:p>
        </w:tc>
        <w:tc>
          <w:tcPr>
            <w:tcW w:w="665" w:type="dxa"/>
            <w:shd w:val="clear" w:color="auto" w:fill="auto"/>
            <w:noWrap/>
            <w:vAlign w:val="bottom"/>
            <w:hideMark/>
          </w:tcPr>
          <w:p w14:paraId="41492B4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745" w:type="dxa"/>
            <w:shd w:val="clear" w:color="auto" w:fill="auto"/>
            <w:noWrap/>
            <w:vAlign w:val="bottom"/>
            <w:hideMark/>
          </w:tcPr>
          <w:p w14:paraId="2F0E08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878" w:type="dxa"/>
            <w:shd w:val="clear" w:color="auto" w:fill="auto"/>
            <w:noWrap/>
            <w:vAlign w:val="bottom"/>
            <w:hideMark/>
          </w:tcPr>
          <w:p w14:paraId="486DC70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665" w:type="dxa"/>
            <w:shd w:val="clear" w:color="auto" w:fill="auto"/>
            <w:noWrap/>
            <w:vAlign w:val="bottom"/>
            <w:hideMark/>
          </w:tcPr>
          <w:p w14:paraId="367A314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14:paraId="08C0B4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878" w:type="dxa"/>
            <w:shd w:val="clear" w:color="auto" w:fill="auto"/>
            <w:noWrap/>
            <w:vAlign w:val="bottom"/>
            <w:hideMark/>
          </w:tcPr>
          <w:p w14:paraId="63DE3D6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26.4</w:t>
            </w:r>
          </w:p>
        </w:tc>
        <w:tc>
          <w:tcPr>
            <w:tcW w:w="665" w:type="dxa"/>
            <w:shd w:val="clear" w:color="auto" w:fill="auto"/>
            <w:noWrap/>
            <w:vAlign w:val="bottom"/>
            <w:hideMark/>
          </w:tcPr>
          <w:p w14:paraId="5FE7A6F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745" w:type="dxa"/>
            <w:shd w:val="clear" w:color="auto" w:fill="auto"/>
            <w:noWrap/>
            <w:vAlign w:val="bottom"/>
            <w:hideMark/>
          </w:tcPr>
          <w:p w14:paraId="54FD0AD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30.6</w:t>
            </w:r>
          </w:p>
        </w:tc>
      </w:tr>
      <w:tr w:rsidR="002C3BF8" w:rsidRPr="00EE64E1" w14:paraId="2D91B279" w14:textId="77777777" w:rsidTr="002C3BF8">
        <w:trPr>
          <w:trHeight w:val="324"/>
        </w:trPr>
        <w:tc>
          <w:tcPr>
            <w:tcW w:w="934" w:type="dxa"/>
            <w:shd w:val="clear" w:color="auto" w:fill="auto"/>
            <w:noWrap/>
            <w:vAlign w:val="bottom"/>
            <w:hideMark/>
          </w:tcPr>
          <w:p w14:paraId="1781CA4A"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w:t>
            </w:r>
          </w:p>
        </w:tc>
        <w:tc>
          <w:tcPr>
            <w:tcW w:w="894" w:type="dxa"/>
            <w:shd w:val="clear" w:color="auto" w:fill="auto"/>
            <w:noWrap/>
            <w:vAlign w:val="bottom"/>
            <w:hideMark/>
          </w:tcPr>
          <w:p w14:paraId="693A3CD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715" w:type="dxa"/>
            <w:shd w:val="clear" w:color="auto" w:fill="auto"/>
            <w:noWrap/>
            <w:vAlign w:val="bottom"/>
            <w:hideMark/>
          </w:tcPr>
          <w:p w14:paraId="7A3CFAA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14:paraId="10684D0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878" w:type="dxa"/>
            <w:shd w:val="clear" w:color="auto" w:fill="auto"/>
            <w:noWrap/>
            <w:vAlign w:val="bottom"/>
            <w:hideMark/>
          </w:tcPr>
          <w:p w14:paraId="0C60E61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6.3</w:t>
            </w:r>
          </w:p>
        </w:tc>
        <w:tc>
          <w:tcPr>
            <w:tcW w:w="665" w:type="dxa"/>
            <w:shd w:val="clear" w:color="auto" w:fill="auto"/>
            <w:noWrap/>
            <w:vAlign w:val="bottom"/>
            <w:hideMark/>
          </w:tcPr>
          <w:p w14:paraId="7C677ED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14:paraId="297A7F7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8.2</w:t>
            </w:r>
          </w:p>
        </w:tc>
        <w:tc>
          <w:tcPr>
            <w:tcW w:w="878" w:type="dxa"/>
            <w:shd w:val="clear" w:color="auto" w:fill="auto"/>
            <w:noWrap/>
            <w:vAlign w:val="bottom"/>
            <w:hideMark/>
          </w:tcPr>
          <w:p w14:paraId="5B798F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14:paraId="6182874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9.5</w:t>
            </w:r>
          </w:p>
        </w:tc>
        <w:tc>
          <w:tcPr>
            <w:tcW w:w="745" w:type="dxa"/>
            <w:shd w:val="clear" w:color="auto" w:fill="auto"/>
            <w:noWrap/>
            <w:vAlign w:val="bottom"/>
            <w:hideMark/>
          </w:tcPr>
          <w:p w14:paraId="678C729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16.1</w:t>
            </w:r>
          </w:p>
        </w:tc>
        <w:tc>
          <w:tcPr>
            <w:tcW w:w="878" w:type="dxa"/>
            <w:shd w:val="clear" w:color="auto" w:fill="auto"/>
            <w:noWrap/>
            <w:vAlign w:val="bottom"/>
            <w:hideMark/>
          </w:tcPr>
          <w:p w14:paraId="1215668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14:paraId="5A0BD23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17.2</w:t>
            </w:r>
          </w:p>
        </w:tc>
        <w:tc>
          <w:tcPr>
            <w:tcW w:w="745" w:type="dxa"/>
            <w:shd w:val="clear" w:color="auto" w:fill="auto"/>
            <w:noWrap/>
            <w:vAlign w:val="bottom"/>
            <w:hideMark/>
          </w:tcPr>
          <w:p w14:paraId="128C5B2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14:paraId="21C41E9D" w14:textId="77777777" w:rsidTr="002C3BF8">
        <w:trPr>
          <w:trHeight w:val="324"/>
        </w:trPr>
        <w:tc>
          <w:tcPr>
            <w:tcW w:w="934" w:type="dxa"/>
            <w:shd w:val="clear" w:color="auto" w:fill="auto"/>
            <w:noWrap/>
            <w:vAlign w:val="bottom"/>
            <w:hideMark/>
          </w:tcPr>
          <w:p w14:paraId="4978947D"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w:t>
            </w:r>
          </w:p>
        </w:tc>
        <w:tc>
          <w:tcPr>
            <w:tcW w:w="894" w:type="dxa"/>
            <w:shd w:val="clear" w:color="auto" w:fill="auto"/>
            <w:noWrap/>
            <w:vAlign w:val="bottom"/>
            <w:hideMark/>
          </w:tcPr>
          <w:p w14:paraId="31E552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45A0C94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445779B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14:paraId="6AE6680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14:paraId="2430E37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45" w:type="dxa"/>
            <w:shd w:val="clear" w:color="auto" w:fill="auto"/>
            <w:noWrap/>
            <w:vAlign w:val="bottom"/>
            <w:hideMark/>
          </w:tcPr>
          <w:p w14:paraId="0293959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4.8</w:t>
            </w:r>
          </w:p>
        </w:tc>
        <w:tc>
          <w:tcPr>
            <w:tcW w:w="878" w:type="dxa"/>
            <w:shd w:val="clear" w:color="auto" w:fill="auto"/>
            <w:noWrap/>
            <w:vAlign w:val="bottom"/>
            <w:hideMark/>
          </w:tcPr>
          <w:p w14:paraId="72DD91C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665" w:type="dxa"/>
            <w:shd w:val="clear" w:color="auto" w:fill="auto"/>
            <w:noWrap/>
            <w:vAlign w:val="bottom"/>
            <w:hideMark/>
          </w:tcPr>
          <w:p w14:paraId="392E38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745" w:type="dxa"/>
            <w:shd w:val="clear" w:color="auto" w:fill="auto"/>
            <w:noWrap/>
            <w:vAlign w:val="bottom"/>
            <w:hideMark/>
          </w:tcPr>
          <w:p w14:paraId="3D334EA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878" w:type="dxa"/>
            <w:shd w:val="clear" w:color="auto" w:fill="auto"/>
            <w:noWrap/>
            <w:vAlign w:val="bottom"/>
            <w:hideMark/>
          </w:tcPr>
          <w:p w14:paraId="745DEE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19.9</w:t>
            </w:r>
          </w:p>
        </w:tc>
        <w:tc>
          <w:tcPr>
            <w:tcW w:w="665" w:type="dxa"/>
            <w:shd w:val="clear" w:color="auto" w:fill="auto"/>
            <w:noWrap/>
            <w:vAlign w:val="bottom"/>
            <w:hideMark/>
          </w:tcPr>
          <w:p w14:paraId="529D4CE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16.3</w:t>
            </w:r>
          </w:p>
        </w:tc>
        <w:tc>
          <w:tcPr>
            <w:tcW w:w="745" w:type="dxa"/>
            <w:shd w:val="clear" w:color="auto" w:fill="auto"/>
            <w:noWrap/>
            <w:vAlign w:val="bottom"/>
            <w:hideMark/>
          </w:tcPr>
          <w:p w14:paraId="779B742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23.5</w:t>
            </w:r>
          </w:p>
        </w:tc>
      </w:tr>
      <w:tr w:rsidR="002C3BF8" w:rsidRPr="00EE64E1" w14:paraId="0544B017" w14:textId="77777777" w:rsidTr="002C3BF8">
        <w:trPr>
          <w:trHeight w:val="324"/>
        </w:trPr>
        <w:tc>
          <w:tcPr>
            <w:tcW w:w="934" w:type="dxa"/>
            <w:shd w:val="clear" w:color="auto" w:fill="auto"/>
            <w:noWrap/>
            <w:vAlign w:val="bottom"/>
            <w:hideMark/>
          </w:tcPr>
          <w:p w14:paraId="7BD73F14"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w:t>
            </w:r>
          </w:p>
        </w:tc>
        <w:tc>
          <w:tcPr>
            <w:tcW w:w="894" w:type="dxa"/>
            <w:shd w:val="clear" w:color="auto" w:fill="auto"/>
            <w:noWrap/>
            <w:vAlign w:val="bottom"/>
            <w:hideMark/>
          </w:tcPr>
          <w:p w14:paraId="0B9BDE8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15" w:type="dxa"/>
            <w:shd w:val="clear" w:color="auto" w:fill="auto"/>
            <w:noWrap/>
            <w:vAlign w:val="bottom"/>
            <w:hideMark/>
          </w:tcPr>
          <w:p w14:paraId="75B38E4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14:paraId="0465C8A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878" w:type="dxa"/>
            <w:shd w:val="clear" w:color="auto" w:fill="auto"/>
            <w:noWrap/>
            <w:vAlign w:val="bottom"/>
            <w:hideMark/>
          </w:tcPr>
          <w:p w14:paraId="4FCEA12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14:paraId="4508444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745" w:type="dxa"/>
            <w:shd w:val="clear" w:color="auto" w:fill="auto"/>
            <w:noWrap/>
            <w:vAlign w:val="bottom"/>
            <w:hideMark/>
          </w:tcPr>
          <w:p w14:paraId="692F669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14:paraId="5A7F03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665" w:type="dxa"/>
            <w:shd w:val="clear" w:color="auto" w:fill="auto"/>
            <w:noWrap/>
            <w:vAlign w:val="bottom"/>
            <w:hideMark/>
          </w:tcPr>
          <w:p w14:paraId="55C92B5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14:paraId="2191BE4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19.6</w:t>
            </w:r>
          </w:p>
        </w:tc>
        <w:tc>
          <w:tcPr>
            <w:tcW w:w="878" w:type="dxa"/>
            <w:shd w:val="clear" w:color="auto" w:fill="auto"/>
            <w:noWrap/>
            <w:vAlign w:val="bottom"/>
            <w:hideMark/>
          </w:tcPr>
          <w:p w14:paraId="6F3D1FF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20.6</w:t>
            </w:r>
          </w:p>
        </w:tc>
        <w:tc>
          <w:tcPr>
            <w:tcW w:w="665" w:type="dxa"/>
            <w:shd w:val="clear" w:color="auto" w:fill="auto"/>
            <w:noWrap/>
            <w:vAlign w:val="bottom"/>
            <w:hideMark/>
          </w:tcPr>
          <w:p w14:paraId="17009B8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17.6</w:t>
            </w:r>
          </w:p>
        </w:tc>
        <w:tc>
          <w:tcPr>
            <w:tcW w:w="745" w:type="dxa"/>
            <w:shd w:val="clear" w:color="auto" w:fill="auto"/>
            <w:noWrap/>
            <w:vAlign w:val="bottom"/>
            <w:hideMark/>
          </w:tcPr>
          <w:p w14:paraId="0D5B5E7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23.6</w:t>
            </w:r>
          </w:p>
        </w:tc>
      </w:tr>
      <w:tr w:rsidR="002C3BF8" w:rsidRPr="00EE64E1" w14:paraId="4DE3BDC3" w14:textId="77777777" w:rsidTr="002C3BF8">
        <w:trPr>
          <w:trHeight w:val="324"/>
        </w:trPr>
        <w:tc>
          <w:tcPr>
            <w:tcW w:w="934" w:type="dxa"/>
            <w:shd w:val="clear" w:color="auto" w:fill="auto"/>
            <w:noWrap/>
            <w:vAlign w:val="bottom"/>
            <w:hideMark/>
          </w:tcPr>
          <w:p w14:paraId="37240B3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lastRenderedPageBreak/>
              <w:t>8</w:t>
            </w:r>
          </w:p>
        </w:tc>
        <w:tc>
          <w:tcPr>
            <w:tcW w:w="894" w:type="dxa"/>
            <w:shd w:val="clear" w:color="auto" w:fill="auto"/>
            <w:noWrap/>
            <w:vAlign w:val="bottom"/>
            <w:hideMark/>
          </w:tcPr>
          <w:p w14:paraId="7CCE306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15" w:type="dxa"/>
            <w:shd w:val="clear" w:color="auto" w:fill="auto"/>
            <w:noWrap/>
            <w:vAlign w:val="bottom"/>
            <w:hideMark/>
          </w:tcPr>
          <w:p w14:paraId="0D2435A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781" w:type="dxa"/>
            <w:shd w:val="clear" w:color="auto" w:fill="auto"/>
            <w:noWrap/>
            <w:vAlign w:val="bottom"/>
            <w:hideMark/>
          </w:tcPr>
          <w:p w14:paraId="412A94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878" w:type="dxa"/>
            <w:shd w:val="clear" w:color="auto" w:fill="auto"/>
            <w:noWrap/>
            <w:vAlign w:val="bottom"/>
            <w:hideMark/>
          </w:tcPr>
          <w:p w14:paraId="197E3E1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8.6</w:t>
            </w:r>
          </w:p>
        </w:tc>
        <w:tc>
          <w:tcPr>
            <w:tcW w:w="665" w:type="dxa"/>
            <w:shd w:val="clear" w:color="auto" w:fill="auto"/>
            <w:noWrap/>
            <w:vAlign w:val="bottom"/>
            <w:hideMark/>
          </w:tcPr>
          <w:p w14:paraId="1B1FE46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6.5</w:t>
            </w:r>
          </w:p>
        </w:tc>
        <w:tc>
          <w:tcPr>
            <w:tcW w:w="745" w:type="dxa"/>
            <w:shd w:val="clear" w:color="auto" w:fill="auto"/>
            <w:noWrap/>
            <w:vAlign w:val="bottom"/>
            <w:hideMark/>
          </w:tcPr>
          <w:p w14:paraId="3188F4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10.7</w:t>
            </w:r>
          </w:p>
        </w:tc>
        <w:tc>
          <w:tcPr>
            <w:tcW w:w="878" w:type="dxa"/>
            <w:shd w:val="clear" w:color="auto" w:fill="auto"/>
            <w:noWrap/>
            <w:vAlign w:val="bottom"/>
            <w:hideMark/>
          </w:tcPr>
          <w:p w14:paraId="6E119F2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665" w:type="dxa"/>
            <w:shd w:val="clear" w:color="auto" w:fill="auto"/>
            <w:noWrap/>
            <w:vAlign w:val="bottom"/>
            <w:hideMark/>
          </w:tcPr>
          <w:p w14:paraId="351402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14:paraId="5BC3CA7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21.7</w:t>
            </w:r>
          </w:p>
        </w:tc>
        <w:tc>
          <w:tcPr>
            <w:tcW w:w="878" w:type="dxa"/>
            <w:shd w:val="clear" w:color="auto" w:fill="auto"/>
            <w:noWrap/>
            <w:vAlign w:val="bottom"/>
            <w:hideMark/>
          </w:tcPr>
          <w:p w14:paraId="013B7B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27.2</w:t>
            </w:r>
          </w:p>
        </w:tc>
        <w:tc>
          <w:tcPr>
            <w:tcW w:w="665" w:type="dxa"/>
            <w:shd w:val="clear" w:color="auto" w:fill="auto"/>
            <w:noWrap/>
            <w:vAlign w:val="bottom"/>
            <w:hideMark/>
          </w:tcPr>
          <w:p w14:paraId="621098A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21.1</w:t>
            </w:r>
          </w:p>
        </w:tc>
        <w:tc>
          <w:tcPr>
            <w:tcW w:w="745" w:type="dxa"/>
            <w:shd w:val="clear" w:color="auto" w:fill="auto"/>
            <w:noWrap/>
            <w:vAlign w:val="bottom"/>
            <w:hideMark/>
          </w:tcPr>
          <w:p w14:paraId="31BD7FF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33.3</w:t>
            </w:r>
          </w:p>
        </w:tc>
      </w:tr>
      <w:tr w:rsidR="002C3BF8" w:rsidRPr="00EE64E1" w14:paraId="7F381D84" w14:textId="77777777" w:rsidTr="002C3BF8">
        <w:trPr>
          <w:trHeight w:val="324"/>
        </w:trPr>
        <w:tc>
          <w:tcPr>
            <w:tcW w:w="934" w:type="dxa"/>
            <w:shd w:val="clear" w:color="auto" w:fill="auto"/>
            <w:noWrap/>
            <w:vAlign w:val="bottom"/>
            <w:hideMark/>
          </w:tcPr>
          <w:p w14:paraId="34F3CC2A"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w:t>
            </w:r>
          </w:p>
        </w:tc>
        <w:tc>
          <w:tcPr>
            <w:tcW w:w="894" w:type="dxa"/>
            <w:shd w:val="clear" w:color="auto" w:fill="auto"/>
            <w:noWrap/>
            <w:vAlign w:val="bottom"/>
            <w:hideMark/>
          </w:tcPr>
          <w:p w14:paraId="07EC376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0C175E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778EC29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14:paraId="3ACC9EE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7.5</w:t>
            </w:r>
          </w:p>
        </w:tc>
        <w:tc>
          <w:tcPr>
            <w:tcW w:w="665" w:type="dxa"/>
            <w:shd w:val="clear" w:color="auto" w:fill="auto"/>
            <w:noWrap/>
            <w:vAlign w:val="bottom"/>
            <w:hideMark/>
          </w:tcPr>
          <w:p w14:paraId="56F9FC9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745" w:type="dxa"/>
            <w:shd w:val="clear" w:color="auto" w:fill="auto"/>
            <w:noWrap/>
            <w:vAlign w:val="bottom"/>
            <w:hideMark/>
          </w:tcPr>
          <w:p w14:paraId="4F5BBE1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9.8</w:t>
            </w:r>
          </w:p>
        </w:tc>
        <w:tc>
          <w:tcPr>
            <w:tcW w:w="878" w:type="dxa"/>
            <w:shd w:val="clear" w:color="auto" w:fill="auto"/>
            <w:noWrap/>
            <w:vAlign w:val="bottom"/>
            <w:hideMark/>
          </w:tcPr>
          <w:p w14:paraId="0D9849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13.3</w:t>
            </w:r>
          </w:p>
        </w:tc>
        <w:tc>
          <w:tcPr>
            <w:tcW w:w="665" w:type="dxa"/>
            <w:shd w:val="clear" w:color="auto" w:fill="auto"/>
            <w:noWrap/>
            <w:vAlign w:val="bottom"/>
            <w:hideMark/>
          </w:tcPr>
          <w:p w14:paraId="264E689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745" w:type="dxa"/>
            <w:shd w:val="clear" w:color="auto" w:fill="auto"/>
            <w:noWrap/>
            <w:vAlign w:val="bottom"/>
            <w:hideMark/>
          </w:tcPr>
          <w:p w14:paraId="290ED89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17.0</w:t>
            </w:r>
          </w:p>
        </w:tc>
        <w:tc>
          <w:tcPr>
            <w:tcW w:w="878" w:type="dxa"/>
            <w:shd w:val="clear" w:color="auto" w:fill="auto"/>
            <w:noWrap/>
            <w:vAlign w:val="bottom"/>
            <w:hideMark/>
          </w:tcPr>
          <w:p w14:paraId="39982F7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23.4</w:t>
            </w:r>
          </w:p>
        </w:tc>
        <w:tc>
          <w:tcPr>
            <w:tcW w:w="665" w:type="dxa"/>
            <w:shd w:val="clear" w:color="auto" w:fill="auto"/>
            <w:noWrap/>
            <w:vAlign w:val="bottom"/>
            <w:hideMark/>
          </w:tcPr>
          <w:p w14:paraId="1E619F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14:paraId="222EF9F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27.6</w:t>
            </w:r>
          </w:p>
        </w:tc>
      </w:tr>
      <w:tr w:rsidR="002C3BF8" w:rsidRPr="00EE64E1" w14:paraId="60A27604" w14:textId="77777777" w:rsidTr="002C3BF8">
        <w:trPr>
          <w:trHeight w:val="324"/>
        </w:trPr>
        <w:tc>
          <w:tcPr>
            <w:tcW w:w="934" w:type="dxa"/>
            <w:shd w:val="clear" w:color="auto" w:fill="auto"/>
            <w:noWrap/>
            <w:vAlign w:val="bottom"/>
            <w:hideMark/>
          </w:tcPr>
          <w:p w14:paraId="26D15847"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w:t>
            </w:r>
          </w:p>
        </w:tc>
        <w:tc>
          <w:tcPr>
            <w:tcW w:w="894" w:type="dxa"/>
            <w:shd w:val="clear" w:color="auto" w:fill="auto"/>
            <w:noWrap/>
            <w:vAlign w:val="bottom"/>
            <w:hideMark/>
          </w:tcPr>
          <w:p w14:paraId="4834511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715" w:type="dxa"/>
            <w:shd w:val="clear" w:color="auto" w:fill="auto"/>
            <w:noWrap/>
            <w:vAlign w:val="bottom"/>
            <w:hideMark/>
          </w:tcPr>
          <w:p w14:paraId="1A16D8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81" w:type="dxa"/>
            <w:shd w:val="clear" w:color="auto" w:fill="auto"/>
            <w:noWrap/>
            <w:vAlign w:val="bottom"/>
            <w:hideMark/>
          </w:tcPr>
          <w:p w14:paraId="7981A86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14:paraId="7E2734D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6.2</w:t>
            </w:r>
          </w:p>
        </w:tc>
        <w:tc>
          <w:tcPr>
            <w:tcW w:w="665" w:type="dxa"/>
            <w:shd w:val="clear" w:color="auto" w:fill="auto"/>
            <w:noWrap/>
            <w:vAlign w:val="bottom"/>
            <w:hideMark/>
          </w:tcPr>
          <w:p w14:paraId="4121F9E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745" w:type="dxa"/>
            <w:shd w:val="clear" w:color="auto" w:fill="auto"/>
            <w:noWrap/>
            <w:vAlign w:val="bottom"/>
            <w:hideMark/>
          </w:tcPr>
          <w:p w14:paraId="4F7C49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8.5</w:t>
            </w:r>
          </w:p>
        </w:tc>
        <w:tc>
          <w:tcPr>
            <w:tcW w:w="878" w:type="dxa"/>
            <w:shd w:val="clear" w:color="auto" w:fill="auto"/>
            <w:noWrap/>
            <w:vAlign w:val="bottom"/>
            <w:hideMark/>
          </w:tcPr>
          <w:p w14:paraId="6E24B98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11EF99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9.1</w:t>
            </w:r>
          </w:p>
        </w:tc>
        <w:tc>
          <w:tcPr>
            <w:tcW w:w="745" w:type="dxa"/>
            <w:shd w:val="clear" w:color="auto" w:fill="auto"/>
            <w:noWrap/>
            <w:vAlign w:val="bottom"/>
            <w:hideMark/>
          </w:tcPr>
          <w:p w14:paraId="2FD1B23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16.8</w:t>
            </w:r>
          </w:p>
        </w:tc>
        <w:tc>
          <w:tcPr>
            <w:tcW w:w="878" w:type="dxa"/>
            <w:shd w:val="clear" w:color="auto" w:fill="auto"/>
            <w:noWrap/>
            <w:vAlign w:val="bottom"/>
            <w:hideMark/>
          </w:tcPr>
          <w:p w14:paraId="1AAFE40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22.1</w:t>
            </w:r>
          </w:p>
        </w:tc>
        <w:tc>
          <w:tcPr>
            <w:tcW w:w="665" w:type="dxa"/>
            <w:shd w:val="clear" w:color="auto" w:fill="auto"/>
            <w:noWrap/>
            <w:vAlign w:val="bottom"/>
            <w:hideMark/>
          </w:tcPr>
          <w:p w14:paraId="68CB521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18.3</w:t>
            </w:r>
          </w:p>
        </w:tc>
        <w:tc>
          <w:tcPr>
            <w:tcW w:w="745" w:type="dxa"/>
            <w:shd w:val="clear" w:color="auto" w:fill="auto"/>
            <w:noWrap/>
            <w:vAlign w:val="bottom"/>
            <w:hideMark/>
          </w:tcPr>
          <w:p w14:paraId="5B18C74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25.9</w:t>
            </w:r>
          </w:p>
        </w:tc>
      </w:tr>
      <w:tr w:rsidR="002C3BF8" w:rsidRPr="00EE64E1" w14:paraId="57B57A9C" w14:textId="77777777" w:rsidTr="002C3BF8">
        <w:trPr>
          <w:trHeight w:val="324"/>
        </w:trPr>
        <w:tc>
          <w:tcPr>
            <w:tcW w:w="934" w:type="dxa"/>
            <w:shd w:val="clear" w:color="auto" w:fill="auto"/>
            <w:noWrap/>
            <w:vAlign w:val="bottom"/>
            <w:hideMark/>
          </w:tcPr>
          <w:p w14:paraId="53965543"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11</w:t>
            </w:r>
          </w:p>
        </w:tc>
        <w:tc>
          <w:tcPr>
            <w:tcW w:w="894" w:type="dxa"/>
            <w:shd w:val="clear" w:color="auto" w:fill="auto"/>
            <w:noWrap/>
            <w:vAlign w:val="bottom"/>
            <w:hideMark/>
          </w:tcPr>
          <w:p w14:paraId="4951D51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14:paraId="6367ABF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14:paraId="1B3D04D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14:paraId="0EEE70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665" w:type="dxa"/>
            <w:shd w:val="clear" w:color="auto" w:fill="auto"/>
            <w:noWrap/>
            <w:vAlign w:val="bottom"/>
            <w:hideMark/>
          </w:tcPr>
          <w:p w14:paraId="6C5E257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14:paraId="72D0B0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7.2</w:t>
            </w:r>
          </w:p>
        </w:tc>
        <w:tc>
          <w:tcPr>
            <w:tcW w:w="878" w:type="dxa"/>
            <w:shd w:val="clear" w:color="auto" w:fill="auto"/>
            <w:noWrap/>
            <w:vAlign w:val="bottom"/>
            <w:hideMark/>
          </w:tcPr>
          <w:p w14:paraId="4B19CAA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13.0</w:t>
            </w:r>
          </w:p>
        </w:tc>
        <w:tc>
          <w:tcPr>
            <w:tcW w:w="665" w:type="dxa"/>
            <w:shd w:val="clear" w:color="auto" w:fill="auto"/>
            <w:noWrap/>
            <w:vAlign w:val="bottom"/>
            <w:hideMark/>
          </w:tcPr>
          <w:p w14:paraId="377F7FB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3152972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16.6</w:t>
            </w:r>
          </w:p>
        </w:tc>
        <w:tc>
          <w:tcPr>
            <w:tcW w:w="878" w:type="dxa"/>
            <w:shd w:val="clear" w:color="auto" w:fill="auto"/>
            <w:noWrap/>
            <w:vAlign w:val="bottom"/>
            <w:hideMark/>
          </w:tcPr>
          <w:p w14:paraId="487D4B3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14:paraId="09BB88F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745" w:type="dxa"/>
            <w:shd w:val="clear" w:color="auto" w:fill="auto"/>
            <w:noWrap/>
            <w:vAlign w:val="bottom"/>
            <w:hideMark/>
          </w:tcPr>
          <w:p w14:paraId="7A81917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14:paraId="6FC03E2B" w14:textId="77777777" w:rsidTr="002C3BF8">
        <w:trPr>
          <w:trHeight w:val="324"/>
        </w:trPr>
        <w:tc>
          <w:tcPr>
            <w:tcW w:w="934" w:type="dxa"/>
            <w:shd w:val="clear" w:color="auto" w:fill="auto"/>
            <w:noWrap/>
            <w:vAlign w:val="bottom"/>
            <w:hideMark/>
          </w:tcPr>
          <w:p w14:paraId="682D9580"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894" w:type="dxa"/>
            <w:shd w:val="clear" w:color="auto" w:fill="auto"/>
            <w:noWrap/>
            <w:vAlign w:val="bottom"/>
            <w:hideMark/>
          </w:tcPr>
          <w:p w14:paraId="37CD3FB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14:paraId="5813399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14:paraId="7495EA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14:paraId="3651AEE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665" w:type="dxa"/>
            <w:shd w:val="clear" w:color="auto" w:fill="auto"/>
            <w:noWrap/>
            <w:vAlign w:val="bottom"/>
            <w:hideMark/>
          </w:tcPr>
          <w:p w14:paraId="76B09B2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45" w:type="dxa"/>
            <w:shd w:val="clear" w:color="auto" w:fill="auto"/>
            <w:noWrap/>
            <w:vAlign w:val="bottom"/>
            <w:hideMark/>
          </w:tcPr>
          <w:p w14:paraId="703C23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7.3</w:t>
            </w:r>
          </w:p>
        </w:tc>
        <w:tc>
          <w:tcPr>
            <w:tcW w:w="878" w:type="dxa"/>
            <w:shd w:val="clear" w:color="auto" w:fill="auto"/>
            <w:noWrap/>
            <w:vAlign w:val="bottom"/>
            <w:hideMark/>
          </w:tcPr>
          <w:p w14:paraId="4E2899F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17.5</w:t>
            </w:r>
          </w:p>
        </w:tc>
        <w:tc>
          <w:tcPr>
            <w:tcW w:w="665" w:type="dxa"/>
            <w:shd w:val="clear" w:color="auto" w:fill="auto"/>
            <w:noWrap/>
            <w:vAlign w:val="bottom"/>
            <w:hideMark/>
          </w:tcPr>
          <w:p w14:paraId="06A7729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14:paraId="60E31C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21.9</w:t>
            </w:r>
          </w:p>
        </w:tc>
        <w:tc>
          <w:tcPr>
            <w:tcW w:w="878" w:type="dxa"/>
            <w:shd w:val="clear" w:color="auto" w:fill="auto"/>
            <w:noWrap/>
            <w:vAlign w:val="bottom"/>
            <w:hideMark/>
          </w:tcPr>
          <w:p w14:paraId="03D14B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23.0</w:t>
            </w:r>
          </w:p>
        </w:tc>
        <w:tc>
          <w:tcPr>
            <w:tcW w:w="665" w:type="dxa"/>
            <w:shd w:val="clear" w:color="auto" w:fill="auto"/>
            <w:noWrap/>
            <w:vAlign w:val="bottom"/>
            <w:hideMark/>
          </w:tcPr>
          <w:p w14:paraId="0F4A88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14:paraId="396195E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26.8</w:t>
            </w:r>
          </w:p>
        </w:tc>
      </w:tr>
      <w:tr w:rsidR="002C3BF8" w:rsidRPr="00EE64E1" w14:paraId="148BE7BD" w14:textId="77777777" w:rsidTr="002C3BF8">
        <w:trPr>
          <w:trHeight w:val="324"/>
        </w:trPr>
        <w:tc>
          <w:tcPr>
            <w:tcW w:w="934" w:type="dxa"/>
            <w:shd w:val="clear" w:color="auto" w:fill="auto"/>
            <w:noWrap/>
            <w:vAlign w:val="bottom"/>
            <w:hideMark/>
          </w:tcPr>
          <w:p w14:paraId="3D1DD88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w:t>
            </w:r>
          </w:p>
        </w:tc>
        <w:tc>
          <w:tcPr>
            <w:tcW w:w="894" w:type="dxa"/>
            <w:shd w:val="clear" w:color="auto" w:fill="auto"/>
            <w:noWrap/>
            <w:vAlign w:val="bottom"/>
            <w:hideMark/>
          </w:tcPr>
          <w:p w14:paraId="3D07A17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15" w:type="dxa"/>
            <w:shd w:val="clear" w:color="auto" w:fill="auto"/>
            <w:noWrap/>
            <w:vAlign w:val="bottom"/>
            <w:hideMark/>
          </w:tcPr>
          <w:p w14:paraId="68C9E2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14:paraId="23F45FD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3.7</w:t>
            </w:r>
          </w:p>
        </w:tc>
        <w:tc>
          <w:tcPr>
            <w:tcW w:w="878" w:type="dxa"/>
            <w:shd w:val="clear" w:color="auto" w:fill="auto"/>
            <w:noWrap/>
            <w:vAlign w:val="bottom"/>
            <w:hideMark/>
          </w:tcPr>
          <w:p w14:paraId="710E2EE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14:paraId="482AEFD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745" w:type="dxa"/>
            <w:shd w:val="clear" w:color="auto" w:fill="auto"/>
            <w:noWrap/>
            <w:vAlign w:val="bottom"/>
            <w:hideMark/>
          </w:tcPr>
          <w:p w14:paraId="323F2E4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878" w:type="dxa"/>
            <w:shd w:val="clear" w:color="auto" w:fill="auto"/>
            <w:noWrap/>
            <w:vAlign w:val="bottom"/>
            <w:hideMark/>
          </w:tcPr>
          <w:p w14:paraId="3CDEE4E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665" w:type="dxa"/>
            <w:shd w:val="clear" w:color="auto" w:fill="auto"/>
            <w:noWrap/>
            <w:vAlign w:val="bottom"/>
            <w:hideMark/>
          </w:tcPr>
          <w:p w14:paraId="4DFF877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745" w:type="dxa"/>
            <w:shd w:val="clear" w:color="auto" w:fill="auto"/>
            <w:noWrap/>
            <w:vAlign w:val="bottom"/>
            <w:hideMark/>
          </w:tcPr>
          <w:p w14:paraId="5EFBF5F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9.6</w:t>
            </w:r>
          </w:p>
        </w:tc>
        <w:tc>
          <w:tcPr>
            <w:tcW w:w="878" w:type="dxa"/>
            <w:shd w:val="clear" w:color="auto" w:fill="auto"/>
            <w:noWrap/>
            <w:vAlign w:val="bottom"/>
            <w:hideMark/>
          </w:tcPr>
          <w:p w14:paraId="031888A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665" w:type="dxa"/>
            <w:shd w:val="clear" w:color="auto" w:fill="auto"/>
            <w:noWrap/>
            <w:vAlign w:val="bottom"/>
            <w:hideMark/>
          </w:tcPr>
          <w:p w14:paraId="5F3F732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19.0</w:t>
            </w:r>
          </w:p>
        </w:tc>
        <w:tc>
          <w:tcPr>
            <w:tcW w:w="745" w:type="dxa"/>
            <w:shd w:val="clear" w:color="auto" w:fill="auto"/>
            <w:noWrap/>
            <w:vAlign w:val="bottom"/>
            <w:hideMark/>
          </w:tcPr>
          <w:p w14:paraId="20310B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25.4</w:t>
            </w:r>
          </w:p>
        </w:tc>
      </w:tr>
      <w:tr w:rsidR="002C3BF8" w:rsidRPr="00EE64E1" w14:paraId="5D90AA22" w14:textId="77777777" w:rsidTr="002C3BF8">
        <w:trPr>
          <w:trHeight w:val="324"/>
        </w:trPr>
        <w:tc>
          <w:tcPr>
            <w:tcW w:w="934" w:type="dxa"/>
            <w:shd w:val="clear" w:color="auto" w:fill="auto"/>
            <w:noWrap/>
            <w:vAlign w:val="bottom"/>
            <w:hideMark/>
          </w:tcPr>
          <w:p w14:paraId="5645F1CF"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w:t>
            </w:r>
          </w:p>
        </w:tc>
        <w:tc>
          <w:tcPr>
            <w:tcW w:w="894" w:type="dxa"/>
            <w:shd w:val="clear" w:color="auto" w:fill="auto"/>
            <w:noWrap/>
            <w:vAlign w:val="bottom"/>
            <w:hideMark/>
          </w:tcPr>
          <w:p w14:paraId="545A7C3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15" w:type="dxa"/>
            <w:shd w:val="clear" w:color="auto" w:fill="auto"/>
            <w:noWrap/>
            <w:vAlign w:val="bottom"/>
            <w:hideMark/>
          </w:tcPr>
          <w:p w14:paraId="2E5C715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14:paraId="2B761B1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14:paraId="6CFAD39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14:paraId="6D94409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45" w:type="dxa"/>
            <w:shd w:val="clear" w:color="auto" w:fill="auto"/>
            <w:noWrap/>
            <w:vAlign w:val="bottom"/>
            <w:hideMark/>
          </w:tcPr>
          <w:p w14:paraId="6B7DC62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14:paraId="5326B68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665" w:type="dxa"/>
            <w:shd w:val="clear" w:color="auto" w:fill="auto"/>
            <w:noWrap/>
            <w:vAlign w:val="bottom"/>
            <w:hideMark/>
          </w:tcPr>
          <w:p w14:paraId="0F35517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745" w:type="dxa"/>
            <w:shd w:val="clear" w:color="auto" w:fill="auto"/>
            <w:noWrap/>
            <w:vAlign w:val="bottom"/>
            <w:hideMark/>
          </w:tcPr>
          <w:p w14:paraId="0B82A50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12.3</w:t>
            </w:r>
          </w:p>
        </w:tc>
        <w:tc>
          <w:tcPr>
            <w:tcW w:w="878" w:type="dxa"/>
            <w:shd w:val="clear" w:color="auto" w:fill="auto"/>
            <w:noWrap/>
            <w:vAlign w:val="bottom"/>
            <w:hideMark/>
          </w:tcPr>
          <w:p w14:paraId="2E011D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21.6</w:t>
            </w:r>
          </w:p>
        </w:tc>
        <w:tc>
          <w:tcPr>
            <w:tcW w:w="665" w:type="dxa"/>
            <w:shd w:val="clear" w:color="auto" w:fill="auto"/>
            <w:noWrap/>
            <w:vAlign w:val="bottom"/>
            <w:hideMark/>
          </w:tcPr>
          <w:p w14:paraId="7BDD9CB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18.6</w:t>
            </w:r>
          </w:p>
        </w:tc>
        <w:tc>
          <w:tcPr>
            <w:tcW w:w="745" w:type="dxa"/>
            <w:shd w:val="clear" w:color="auto" w:fill="auto"/>
            <w:noWrap/>
            <w:vAlign w:val="bottom"/>
            <w:hideMark/>
          </w:tcPr>
          <w:p w14:paraId="7FD305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14:paraId="7A6A11E8" w14:textId="77777777" w:rsidTr="002C3BF8">
        <w:trPr>
          <w:trHeight w:val="324"/>
        </w:trPr>
        <w:tc>
          <w:tcPr>
            <w:tcW w:w="934" w:type="dxa"/>
            <w:shd w:val="clear" w:color="auto" w:fill="auto"/>
            <w:noWrap/>
            <w:vAlign w:val="bottom"/>
            <w:hideMark/>
          </w:tcPr>
          <w:p w14:paraId="11DBBF48"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894" w:type="dxa"/>
            <w:shd w:val="clear" w:color="auto" w:fill="auto"/>
            <w:noWrap/>
            <w:vAlign w:val="bottom"/>
            <w:hideMark/>
          </w:tcPr>
          <w:p w14:paraId="3645FA5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35A16C2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0CBF669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14:paraId="25CEA4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665" w:type="dxa"/>
            <w:shd w:val="clear" w:color="auto" w:fill="auto"/>
            <w:noWrap/>
            <w:vAlign w:val="bottom"/>
            <w:hideMark/>
          </w:tcPr>
          <w:p w14:paraId="0382708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745" w:type="dxa"/>
            <w:shd w:val="clear" w:color="auto" w:fill="auto"/>
            <w:noWrap/>
            <w:vAlign w:val="bottom"/>
            <w:hideMark/>
          </w:tcPr>
          <w:p w14:paraId="3E2387E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14:paraId="74210D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32FE495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604F9F0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14:paraId="69950A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22.6</w:t>
            </w:r>
          </w:p>
        </w:tc>
        <w:tc>
          <w:tcPr>
            <w:tcW w:w="665" w:type="dxa"/>
            <w:shd w:val="clear" w:color="auto" w:fill="auto"/>
            <w:noWrap/>
            <w:vAlign w:val="bottom"/>
            <w:hideMark/>
          </w:tcPr>
          <w:p w14:paraId="15C8DE4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18.9</w:t>
            </w:r>
          </w:p>
        </w:tc>
        <w:tc>
          <w:tcPr>
            <w:tcW w:w="745" w:type="dxa"/>
            <w:shd w:val="clear" w:color="auto" w:fill="auto"/>
            <w:noWrap/>
            <w:vAlign w:val="bottom"/>
            <w:hideMark/>
          </w:tcPr>
          <w:p w14:paraId="560434C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26.3</w:t>
            </w:r>
          </w:p>
        </w:tc>
      </w:tr>
    </w:tbl>
    <w:p w14:paraId="523DDA08" w14:textId="2DDB4E84" w:rsidR="00EE64E1" w:rsidRDefault="00EE64E1" w:rsidP="0016684F">
      <w:pPr>
        <w:spacing w:after="0" w:line="480" w:lineRule="auto"/>
        <w:contextualSpacing/>
        <w:jc w:val="both"/>
        <w:rPr>
          <w:rFonts w:ascii="Times New Roman" w:hAnsi="Times New Roman" w:cs="Times New Roman"/>
          <w:sz w:val="24"/>
          <w:szCs w:val="24"/>
        </w:rPr>
      </w:pPr>
    </w:p>
    <w:p w14:paraId="515FF8C4" w14:textId="55E5E4C6" w:rsidR="00DF5264" w:rsidRDefault="00DF5264" w:rsidP="0016684F">
      <w:pPr>
        <w:spacing w:after="0" w:line="480" w:lineRule="auto"/>
        <w:contextualSpacing/>
        <w:jc w:val="both"/>
        <w:rPr>
          <w:rFonts w:ascii="Times New Roman" w:hAnsi="Times New Roman" w:cs="Times New Roman"/>
          <w:sz w:val="24"/>
          <w:szCs w:val="24"/>
        </w:rPr>
      </w:pPr>
      <w:commentRangeStart w:id="11"/>
      <w:r>
        <w:rPr>
          <w:noProof/>
          <w:lang w:val="en-US"/>
        </w:rPr>
        <w:drawing>
          <wp:inline distT="0" distB="0" distL="0" distR="0" wp14:anchorId="6F865678" wp14:editId="0729AB3B">
            <wp:extent cx="5971540" cy="19977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1997710"/>
                    </a:xfrm>
                    <a:prstGeom prst="rect">
                      <a:avLst/>
                    </a:prstGeom>
                  </pic:spPr>
                </pic:pic>
              </a:graphicData>
            </a:graphic>
          </wp:inline>
        </w:drawing>
      </w:r>
      <w:commentRangeEnd w:id="11"/>
      <w:r>
        <w:rPr>
          <w:rStyle w:val="Refdecomentario"/>
        </w:rPr>
        <w:commentReference w:id="11"/>
      </w:r>
    </w:p>
    <w:p w14:paraId="05275AD8" w14:textId="51D4BD33" w:rsidR="00DF5264" w:rsidRDefault="00DF5264" w:rsidP="0016684F">
      <w:pPr>
        <w:spacing w:after="0" w:line="480" w:lineRule="auto"/>
        <w:contextualSpacing/>
        <w:jc w:val="both"/>
        <w:rPr>
          <w:rFonts w:ascii="Times New Roman" w:hAnsi="Times New Roman" w:cs="Times New Roman"/>
          <w:sz w:val="24"/>
          <w:szCs w:val="24"/>
        </w:rPr>
      </w:pPr>
    </w:p>
    <w:p w14:paraId="696B3839" w14:textId="77777777" w:rsidR="00DF5264" w:rsidRDefault="00DF5264" w:rsidP="0016684F">
      <w:pPr>
        <w:spacing w:after="0" w:line="480" w:lineRule="auto"/>
        <w:contextualSpacing/>
        <w:jc w:val="both"/>
        <w:rPr>
          <w:rFonts w:ascii="Times New Roman" w:hAnsi="Times New Roman" w:cs="Times New Roman"/>
          <w:sz w:val="24"/>
          <w:szCs w:val="24"/>
        </w:rPr>
      </w:pPr>
    </w:p>
    <w:p w14:paraId="70C27C9E" w14:textId="6FF472AA" w:rsidR="00623FAD" w:rsidRDefault="00CF6871" w:rsidP="0016684F">
      <w:pPr>
        <w:spacing w:after="0" w:line="480" w:lineRule="auto"/>
        <w:contextualSpacing/>
        <w:jc w:val="both"/>
        <w:rPr>
          <w:rFonts w:ascii="Times New Roman" w:hAnsi="Times New Roman" w:cs="Times New Roman"/>
          <w:sz w:val="24"/>
          <w:szCs w:val="24"/>
        </w:rPr>
      </w:pPr>
      <w:r w:rsidRPr="00CF6871">
        <w:rPr>
          <w:rFonts w:ascii="Times New Roman" w:hAnsi="Times New Roman" w:cs="Times New Roman"/>
          <w:sz w:val="24"/>
          <w:szCs w:val="24"/>
        </w:rPr>
        <w:t xml:space="preserve">Se observó heterogeneidad en la distribución de la mortalidad dentro de CABA. Las </w:t>
      </w:r>
      <w:r>
        <w:rPr>
          <w:rFonts w:ascii="Times New Roman" w:hAnsi="Times New Roman" w:cs="Times New Roman"/>
          <w:sz w:val="24"/>
          <w:szCs w:val="24"/>
        </w:rPr>
        <w:t>RME</w:t>
      </w:r>
      <w:r w:rsidRPr="00CF6871">
        <w:rPr>
          <w:rFonts w:ascii="Times New Roman" w:hAnsi="Times New Roman" w:cs="Times New Roman"/>
          <w:sz w:val="24"/>
          <w:szCs w:val="24"/>
        </w:rPr>
        <w:t xml:space="preserve"> variaron de </w:t>
      </w:r>
      <w:r w:rsidRPr="00CF6871">
        <w:rPr>
          <w:rFonts w:ascii="Times New Roman" w:hAnsi="Times New Roman" w:cs="Times New Roman"/>
          <w:sz w:val="24"/>
          <w:szCs w:val="24"/>
          <w:highlight w:val="yellow"/>
        </w:rPr>
        <w:t>66,5 (IC95% 55,6 - 77,6) a 158,3 (IC95% 141,9 - 176,0).</w:t>
      </w:r>
      <w:r w:rsidRPr="00CF6871">
        <w:rPr>
          <w:rFonts w:ascii="Times New Roman" w:hAnsi="Times New Roman" w:cs="Times New Roman"/>
          <w:sz w:val="24"/>
          <w:szCs w:val="24"/>
        </w:rPr>
        <w:t xml:space="preserve"> El </w:t>
      </w:r>
      <w:r>
        <w:rPr>
          <w:rFonts w:ascii="Times New Roman" w:hAnsi="Times New Roman" w:cs="Times New Roman"/>
          <w:sz w:val="24"/>
          <w:szCs w:val="24"/>
        </w:rPr>
        <w:t>distrito</w:t>
      </w:r>
      <w:r w:rsidRPr="00CF6871">
        <w:rPr>
          <w:rFonts w:ascii="Times New Roman" w:hAnsi="Times New Roman" w:cs="Times New Roman"/>
          <w:sz w:val="24"/>
          <w:szCs w:val="24"/>
        </w:rPr>
        <w:t xml:space="preserve"> con peor situación de mortalidad fue el número 4 de la zona sur, </w:t>
      </w:r>
      <w:r>
        <w:rPr>
          <w:rFonts w:ascii="Times New Roman" w:hAnsi="Times New Roman" w:cs="Times New Roman"/>
          <w:sz w:val="24"/>
          <w:szCs w:val="24"/>
        </w:rPr>
        <w:t>que coincidentemente fue el</w:t>
      </w:r>
      <w:r w:rsidRPr="00CF6871">
        <w:rPr>
          <w:rFonts w:ascii="Times New Roman" w:hAnsi="Times New Roman" w:cs="Times New Roman"/>
          <w:sz w:val="24"/>
          <w:szCs w:val="24"/>
        </w:rPr>
        <w:t xml:space="preserve"> de peor situación en relación al ingreso familiar medio. En el otro extremo, el distrito </w:t>
      </w:r>
      <w:r>
        <w:rPr>
          <w:rFonts w:ascii="Times New Roman" w:hAnsi="Times New Roman" w:cs="Times New Roman"/>
          <w:sz w:val="24"/>
          <w:szCs w:val="24"/>
        </w:rPr>
        <w:t>13</w:t>
      </w:r>
      <w:r w:rsidRPr="00CF6871">
        <w:rPr>
          <w:rFonts w:ascii="Times New Roman" w:hAnsi="Times New Roman" w:cs="Times New Roman"/>
          <w:sz w:val="24"/>
          <w:szCs w:val="24"/>
        </w:rPr>
        <w:t xml:space="preserve">, en la zona </w:t>
      </w:r>
      <w:r>
        <w:rPr>
          <w:rFonts w:ascii="Times New Roman" w:hAnsi="Times New Roman" w:cs="Times New Roman"/>
          <w:sz w:val="24"/>
          <w:szCs w:val="24"/>
        </w:rPr>
        <w:t>Norte</w:t>
      </w:r>
      <w:r w:rsidRPr="00CF6871">
        <w:rPr>
          <w:rFonts w:ascii="Times New Roman" w:hAnsi="Times New Roman" w:cs="Times New Roman"/>
          <w:sz w:val="24"/>
          <w:szCs w:val="24"/>
        </w:rPr>
        <w:t xml:space="preserve">, fue el </w:t>
      </w:r>
      <w:r>
        <w:rPr>
          <w:rFonts w:ascii="Times New Roman" w:hAnsi="Times New Roman" w:cs="Times New Roman"/>
          <w:sz w:val="24"/>
          <w:szCs w:val="24"/>
        </w:rPr>
        <w:t>segundo con mayores</w:t>
      </w:r>
      <w:r w:rsidRPr="00CF6871">
        <w:rPr>
          <w:rFonts w:ascii="Times New Roman" w:hAnsi="Times New Roman" w:cs="Times New Roman"/>
          <w:sz w:val="24"/>
          <w:szCs w:val="24"/>
        </w:rPr>
        <w:t xml:space="preserve"> ingresos promedio</w:t>
      </w:r>
      <w:r w:rsidR="00623FAD">
        <w:rPr>
          <w:rFonts w:ascii="Times New Roman" w:hAnsi="Times New Roman" w:cs="Times New Roman"/>
          <w:sz w:val="24"/>
          <w:szCs w:val="24"/>
        </w:rPr>
        <w:t xml:space="preserve"> y el que presentó la menor RME</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3 de 4 distritos</w:t>
      </w:r>
      <w:r w:rsidRPr="00CF6871">
        <w:rPr>
          <w:rFonts w:ascii="Times New Roman" w:hAnsi="Times New Roman" w:cs="Times New Roman"/>
          <w:sz w:val="24"/>
          <w:szCs w:val="24"/>
        </w:rPr>
        <w:t xml:space="preserve"> de la zona sur presentaron </w:t>
      </w:r>
      <w:r w:rsidR="00623FAD">
        <w:rPr>
          <w:rFonts w:ascii="Times New Roman" w:hAnsi="Times New Roman" w:cs="Times New Roman"/>
          <w:sz w:val="24"/>
          <w:szCs w:val="24"/>
        </w:rPr>
        <w:t>RME</w:t>
      </w:r>
      <w:r w:rsidRPr="00CF6871">
        <w:rPr>
          <w:rFonts w:ascii="Times New Roman" w:hAnsi="Times New Roman" w:cs="Times New Roman"/>
          <w:sz w:val="24"/>
          <w:szCs w:val="24"/>
        </w:rPr>
        <w:t xml:space="preserve"> superiores a 100, lo que significa que su situación era peor que la referencia para la jurisdicción. Lo contrario ocurrió con todas las de la zona norte, ubicadas sobre la misma referencia. Medido por el SII, la exploración de la relación entre el ingreso familiar promedio y la mortalidad</w:t>
      </w:r>
      <w:r w:rsidR="00623FAD">
        <w:rPr>
          <w:rFonts w:ascii="Times New Roman" w:hAnsi="Times New Roman" w:cs="Times New Roman"/>
          <w:sz w:val="24"/>
          <w:szCs w:val="24"/>
        </w:rPr>
        <w:t xml:space="preserve"> (RME)</w:t>
      </w:r>
      <w:r w:rsidRPr="00CF6871">
        <w:rPr>
          <w:rFonts w:ascii="Times New Roman" w:hAnsi="Times New Roman" w:cs="Times New Roman"/>
          <w:sz w:val="24"/>
          <w:szCs w:val="24"/>
        </w:rPr>
        <w:t xml:space="preserve">, a nivel de </w:t>
      </w:r>
      <w:r w:rsidR="00623FAD">
        <w:rPr>
          <w:rFonts w:ascii="Times New Roman" w:hAnsi="Times New Roman" w:cs="Times New Roman"/>
          <w:sz w:val="24"/>
          <w:szCs w:val="24"/>
        </w:rPr>
        <w:t>distrito</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presentó</w:t>
      </w:r>
      <w:r w:rsidRPr="00CF6871">
        <w:rPr>
          <w:rFonts w:ascii="Times New Roman" w:hAnsi="Times New Roman" w:cs="Times New Roman"/>
          <w:sz w:val="24"/>
          <w:szCs w:val="24"/>
        </w:rPr>
        <w:t xml:space="preserve"> una correlación</w:t>
      </w:r>
      <w:r w:rsidR="00623FAD">
        <w:rPr>
          <w:rFonts w:ascii="Times New Roman" w:hAnsi="Times New Roman" w:cs="Times New Roman"/>
          <w:sz w:val="24"/>
          <w:szCs w:val="24"/>
        </w:rPr>
        <w:t xml:space="preserve"> fuerte (coeficiente por encima de </w:t>
      </w:r>
      <w:r w:rsidR="00623FAD">
        <w:rPr>
          <w:rFonts w:ascii="Times New Roman" w:hAnsi="Times New Roman" w:cs="Times New Roman"/>
          <w:sz w:val="24"/>
          <w:szCs w:val="24"/>
        </w:rPr>
        <w:lastRenderedPageBreak/>
        <w:t>0.7)</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 xml:space="preserve">y negativa </w:t>
      </w:r>
      <w:r w:rsidRPr="00CF6871">
        <w:rPr>
          <w:rFonts w:ascii="Times New Roman" w:hAnsi="Times New Roman" w:cs="Times New Roman"/>
          <w:sz w:val="24"/>
          <w:szCs w:val="24"/>
        </w:rPr>
        <w:t>(Figura X)</w:t>
      </w:r>
      <w:r w:rsidR="00623FAD">
        <w:rPr>
          <w:rFonts w:ascii="Times New Roman" w:hAnsi="Times New Roman" w:cs="Times New Roman"/>
          <w:sz w:val="24"/>
          <w:szCs w:val="24"/>
        </w:rPr>
        <w:t xml:space="preserve">. Se presenta en la figura </w:t>
      </w:r>
      <w:r w:rsidR="00623FAD" w:rsidRPr="00623FAD">
        <w:rPr>
          <w:rFonts w:ascii="Times New Roman" w:hAnsi="Times New Roman" w:cs="Times New Roman"/>
          <w:sz w:val="24"/>
          <w:szCs w:val="24"/>
          <w:highlight w:val="yellow"/>
        </w:rPr>
        <w:t>x</w:t>
      </w:r>
      <w:r w:rsidR="00623FAD">
        <w:rPr>
          <w:rFonts w:ascii="Times New Roman" w:hAnsi="Times New Roman" w:cs="Times New Roman"/>
          <w:sz w:val="24"/>
          <w:szCs w:val="24"/>
        </w:rPr>
        <w:t xml:space="preserve"> el coeficiente de correlación se Pearson, su p-valor, y la recta de ajuste de la regresión lineal entre ambas variables.</w:t>
      </w:r>
    </w:p>
    <w:p w14:paraId="0FDFD6A0" w14:textId="372E970C" w:rsidR="003212B6" w:rsidRDefault="003212B6" w:rsidP="0016684F">
      <w:pPr>
        <w:spacing w:after="0" w:line="480" w:lineRule="auto"/>
        <w:contextualSpacing/>
        <w:jc w:val="both"/>
        <w:rPr>
          <w:rFonts w:ascii="Times New Roman" w:hAnsi="Times New Roman" w:cs="Times New Roman"/>
          <w:sz w:val="24"/>
          <w:szCs w:val="24"/>
        </w:rPr>
      </w:pPr>
      <w:commentRangeStart w:id="12"/>
      <w:r>
        <w:rPr>
          <w:noProof/>
          <w:lang w:val="en-US"/>
        </w:rPr>
        <w:drawing>
          <wp:inline distT="0" distB="0" distL="0" distR="0" wp14:anchorId="11656CF9" wp14:editId="594BDE5F">
            <wp:extent cx="5971540" cy="19907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1990725"/>
                    </a:xfrm>
                    <a:prstGeom prst="rect">
                      <a:avLst/>
                    </a:prstGeom>
                  </pic:spPr>
                </pic:pic>
              </a:graphicData>
            </a:graphic>
          </wp:inline>
        </w:drawing>
      </w:r>
      <w:commentRangeEnd w:id="12"/>
      <w:r>
        <w:rPr>
          <w:rStyle w:val="Refdecomentario"/>
        </w:rPr>
        <w:commentReference w:id="12"/>
      </w:r>
    </w:p>
    <w:p w14:paraId="002E327F" w14:textId="40F0CBAD" w:rsidR="002B7E89" w:rsidRPr="00CF6871" w:rsidRDefault="002B7E89" w:rsidP="0016684F">
      <w:pPr>
        <w:spacing w:after="0" w:line="480" w:lineRule="auto"/>
        <w:contextualSpacing/>
        <w:jc w:val="both"/>
        <w:rPr>
          <w:rFonts w:ascii="Times New Roman" w:hAnsi="Times New Roman" w:cs="Times New Roman"/>
          <w:sz w:val="24"/>
          <w:szCs w:val="24"/>
        </w:rPr>
      </w:pPr>
      <w:r>
        <w:rPr>
          <w:noProof/>
          <w:lang w:val="en-US"/>
        </w:rPr>
        <w:drawing>
          <wp:inline distT="0" distB="0" distL="0" distR="0" wp14:anchorId="3494073B" wp14:editId="2A921B10">
            <wp:extent cx="5971540" cy="34848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1540" cy="3484880"/>
                    </a:xfrm>
                    <a:prstGeom prst="rect">
                      <a:avLst/>
                    </a:prstGeom>
                  </pic:spPr>
                </pic:pic>
              </a:graphicData>
            </a:graphic>
          </wp:inline>
        </w:drawing>
      </w:r>
    </w:p>
    <w:p w14:paraId="037E9757" w14:textId="56C5A0DC" w:rsidR="002476B5" w:rsidRDefault="002476B5" w:rsidP="0016684F">
      <w:pPr>
        <w:spacing w:after="0" w:line="480" w:lineRule="auto"/>
        <w:contextualSpacing/>
        <w:jc w:val="both"/>
        <w:rPr>
          <w:rFonts w:ascii="Times New Roman" w:hAnsi="Times New Roman" w:cs="Times New Roman"/>
          <w:sz w:val="24"/>
          <w:szCs w:val="24"/>
        </w:rPr>
      </w:pPr>
    </w:p>
    <w:p w14:paraId="2A80A6D8" w14:textId="39D5B676" w:rsidR="00384A8F" w:rsidRDefault="00384A8F" w:rsidP="00384A8F">
      <w:pPr>
        <w:spacing w:after="0" w:line="480" w:lineRule="auto"/>
        <w:contextualSpacing/>
        <w:jc w:val="both"/>
        <w:rPr>
          <w:rFonts w:ascii="Times New Roman" w:hAnsi="Times New Roman" w:cs="Times New Roman"/>
          <w:sz w:val="24"/>
          <w:szCs w:val="24"/>
        </w:rPr>
      </w:pPr>
    </w:p>
    <w:p w14:paraId="61EDF2D2" w14:textId="69309216" w:rsidR="00384A8F" w:rsidRPr="00A306DB" w:rsidRDefault="00A306DB" w:rsidP="003A09B7">
      <w:pPr>
        <w:spacing w:after="0" w:line="480" w:lineRule="auto"/>
        <w:contextualSpacing/>
        <w:jc w:val="both"/>
        <w:rPr>
          <w:rFonts w:ascii="Times New Roman" w:hAnsi="Times New Roman" w:cs="Times New Roman"/>
          <w:b/>
          <w:sz w:val="24"/>
          <w:szCs w:val="24"/>
        </w:rPr>
      </w:pPr>
      <w:r w:rsidRPr="00A306DB">
        <w:rPr>
          <w:rFonts w:ascii="Times New Roman" w:hAnsi="Times New Roman" w:cs="Times New Roman"/>
          <w:sz w:val="24"/>
          <w:szCs w:val="24"/>
        </w:rPr>
        <w:t xml:space="preserve">Con base en los datos de defunciones esperadas según las tasas específicas de mortalidad de la CABA, se aproximó la edad mediana de las defunciones esperadas en cada sala, agrupando las defunciones esperadas en grupos etarios de cinco años e identificando la que acumuló el 50% de </w:t>
      </w:r>
      <w:r w:rsidRPr="00A306DB">
        <w:rPr>
          <w:rFonts w:ascii="Times New Roman" w:hAnsi="Times New Roman" w:cs="Times New Roman"/>
          <w:sz w:val="24"/>
          <w:szCs w:val="24"/>
        </w:rPr>
        <w:lastRenderedPageBreak/>
        <w:t xml:space="preserve">la fallecidos. </w:t>
      </w:r>
      <w:commentRangeStart w:id="13"/>
      <w:r w:rsidRPr="00A306DB">
        <w:rPr>
          <w:rFonts w:ascii="Times New Roman" w:hAnsi="Times New Roman" w:cs="Times New Roman"/>
          <w:sz w:val="24"/>
          <w:szCs w:val="24"/>
        </w:rPr>
        <w:t xml:space="preserve">Los </w:t>
      </w:r>
      <w:r w:rsidR="0009618E">
        <w:rPr>
          <w:rFonts w:ascii="Times New Roman" w:hAnsi="Times New Roman" w:cs="Times New Roman"/>
          <w:sz w:val="24"/>
          <w:szCs w:val="24"/>
        </w:rPr>
        <w:t>distritos</w:t>
      </w:r>
      <w:r w:rsidRPr="00A306DB">
        <w:rPr>
          <w:rFonts w:ascii="Times New Roman" w:hAnsi="Times New Roman" w:cs="Times New Roman"/>
          <w:sz w:val="24"/>
          <w:szCs w:val="24"/>
        </w:rPr>
        <w:t xml:space="preserve"> 4 y 8, ambos de la zona sur, fueron los únicos que observaron una mediana de edad menor a la esperada ya que acumularon el 50% de las defunciones en los grupos de edad 70-74 y 65-69 respectivamente,</w:t>
      </w:r>
      <w:commentRangeEnd w:id="13"/>
      <w:r>
        <w:rPr>
          <w:rStyle w:val="Refdecomentario"/>
        </w:rPr>
        <w:commentReference w:id="13"/>
      </w:r>
      <w:r w:rsidRPr="00A306DB">
        <w:rPr>
          <w:rFonts w:ascii="Times New Roman" w:hAnsi="Times New Roman" w:cs="Times New Roman"/>
          <w:sz w:val="24"/>
          <w:szCs w:val="24"/>
        </w:rPr>
        <w:t xml:space="preserve"> </w:t>
      </w:r>
      <w:commentRangeStart w:id="14"/>
      <w:r w:rsidRPr="00A306DB">
        <w:rPr>
          <w:rFonts w:ascii="Times New Roman" w:hAnsi="Times New Roman" w:cs="Times New Roman"/>
          <w:sz w:val="24"/>
          <w:szCs w:val="24"/>
        </w:rPr>
        <w:t>mientras que esta acumulación se esperaba en el grupo de edad 75-59. Para otros distritos, el valor mediano estuvo en el mismo grupo de edad para las muertes observadas y esperadas, excepto para los distritos 10 (zona sur), 12 (zona central), 14 (zona norte) y 15 (</w:t>
      </w:r>
      <w:r>
        <w:rPr>
          <w:rFonts w:ascii="Times New Roman" w:hAnsi="Times New Roman" w:cs="Times New Roman"/>
          <w:sz w:val="24"/>
          <w:szCs w:val="24"/>
        </w:rPr>
        <w:t>zona central), que observaron la</w:t>
      </w:r>
      <w:r w:rsidRPr="00A306DB">
        <w:rPr>
          <w:rFonts w:ascii="Times New Roman" w:hAnsi="Times New Roman" w:cs="Times New Roman"/>
          <w:sz w:val="24"/>
          <w:szCs w:val="24"/>
        </w:rPr>
        <w:t xml:space="preserve"> mediana de edad en el grupo de 80 años y más, cuando este valor se esperaba entre 75 y 79 años.</w:t>
      </w:r>
      <w:commentRangeEnd w:id="14"/>
      <w:r>
        <w:rPr>
          <w:rStyle w:val="Refdecomentario"/>
        </w:rPr>
        <w:commentReference w:id="14"/>
      </w:r>
    </w:p>
    <w:p w14:paraId="40276C02" w14:textId="2C0F6182" w:rsidR="00E8197C" w:rsidRPr="00E8197C" w:rsidRDefault="004C307B" w:rsidP="003A09B7">
      <w:pPr>
        <w:spacing w:after="0" w:line="480" w:lineRule="auto"/>
        <w:contextualSpacing/>
        <w:jc w:val="both"/>
        <w:rPr>
          <w:rFonts w:ascii="Times New Roman" w:hAnsi="Times New Roman" w:cs="Times New Roman"/>
          <w:b/>
          <w:sz w:val="24"/>
          <w:szCs w:val="24"/>
        </w:rPr>
      </w:pPr>
      <w:r w:rsidRPr="004A33B9">
        <w:rPr>
          <w:rFonts w:ascii="Times New Roman" w:hAnsi="Times New Roman" w:cs="Times New Roman"/>
          <w:b/>
          <w:sz w:val="24"/>
          <w:szCs w:val="24"/>
        </w:rPr>
        <w:t>DISCUSSION</w:t>
      </w:r>
    </w:p>
    <w:p w14:paraId="65F3CB0A" w14:textId="6A59AE15" w:rsidR="00E8197C" w:rsidRPr="00E8197C" w:rsidRDefault="00E8197C" w:rsidP="006D6DC4">
      <w:pPr>
        <w:spacing w:after="0" w:line="480" w:lineRule="auto"/>
        <w:contextualSpacing/>
        <w:jc w:val="both"/>
        <w:rPr>
          <w:rFonts w:ascii="Times New Roman" w:hAnsi="Times New Roman" w:cs="Times New Roman"/>
          <w:sz w:val="24"/>
          <w:szCs w:val="24"/>
        </w:rPr>
      </w:pPr>
      <w:r w:rsidRPr="00E8197C">
        <w:rPr>
          <w:rFonts w:ascii="Times New Roman" w:hAnsi="Times New Roman" w:cs="Times New Roman"/>
          <w:sz w:val="24"/>
          <w:szCs w:val="24"/>
        </w:rPr>
        <w:t>Los hallazgos del presente estudio resaltan la situación de</w:t>
      </w:r>
      <w:r>
        <w:rPr>
          <w:rFonts w:ascii="Times New Roman" w:hAnsi="Times New Roman" w:cs="Times New Roman"/>
          <w:sz w:val="24"/>
          <w:szCs w:val="24"/>
        </w:rPr>
        <w:t>sfavorecida</w:t>
      </w:r>
      <w:r w:rsidRPr="00E8197C">
        <w:rPr>
          <w:rFonts w:ascii="Times New Roman" w:hAnsi="Times New Roman" w:cs="Times New Roman"/>
          <w:sz w:val="24"/>
          <w:szCs w:val="24"/>
        </w:rPr>
        <w:t xml:space="preserve"> de los barrios de la denominada "zona sur" de </w:t>
      </w:r>
      <w:r>
        <w:rPr>
          <w:rFonts w:ascii="Times New Roman" w:hAnsi="Times New Roman" w:cs="Times New Roman"/>
          <w:sz w:val="24"/>
          <w:szCs w:val="24"/>
        </w:rPr>
        <w:t xml:space="preserve">la </w:t>
      </w:r>
      <w:r w:rsidRPr="00E8197C">
        <w:rPr>
          <w:rFonts w:ascii="Times New Roman" w:hAnsi="Times New Roman" w:cs="Times New Roman"/>
          <w:sz w:val="24"/>
          <w:szCs w:val="24"/>
        </w:rPr>
        <w:t>CABA. Se p</w:t>
      </w:r>
      <w:r>
        <w:rPr>
          <w:rFonts w:ascii="Times New Roman" w:hAnsi="Times New Roman" w:cs="Times New Roman"/>
          <w:sz w:val="24"/>
          <w:szCs w:val="24"/>
        </w:rPr>
        <w:t>uede</w:t>
      </w:r>
      <w:r w:rsidRPr="00E8197C">
        <w:rPr>
          <w:rFonts w:ascii="Times New Roman" w:hAnsi="Times New Roman" w:cs="Times New Roman"/>
          <w:sz w:val="24"/>
          <w:szCs w:val="24"/>
        </w:rPr>
        <w:t xml:space="preserve"> describir cómo la incidencia acumulada de COVID-19 </w:t>
      </w:r>
      <w:r>
        <w:rPr>
          <w:rFonts w:ascii="Times New Roman" w:hAnsi="Times New Roman" w:cs="Times New Roman"/>
          <w:sz w:val="24"/>
          <w:szCs w:val="24"/>
        </w:rPr>
        <w:t>en los primeros nueve meses</w:t>
      </w:r>
      <w:r w:rsidRPr="00E8197C">
        <w:rPr>
          <w:rFonts w:ascii="Times New Roman" w:hAnsi="Times New Roman" w:cs="Times New Roman"/>
          <w:sz w:val="24"/>
          <w:szCs w:val="24"/>
        </w:rPr>
        <w:t xml:space="preserve"> de desarrollo de la epidemia es mayor en las comunas que conforman esa zona. La desigualdad aumenta entre los adultos jóvenes, alcanzando gran magnitud ya que las tasas específicas de estos grupos se duplican en la comuna más desfavorecida frente a la de mejores ingresos de la ciudad.</w:t>
      </w:r>
    </w:p>
    <w:p w14:paraId="1E109CD7" w14:textId="104AE745" w:rsidR="00E8197C" w:rsidRDefault="00E8197C" w:rsidP="006D6DC4">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Además,</w:t>
      </w:r>
      <w:r w:rsidRPr="00E8197C">
        <w:rPr>
          <w:rFonts w:ascii="Times New Roman" w:hAnsi="Times New Roman" w:cs="Times New Roman"/>
          <w:sz w:val="24"/>
          <w:szCs w:val="24"/>
        </w:rPr>
        <w:t xml:space="preserve"> se observaron niveles de positividad superiores a los de la jurisdicción en todas las comunas de la zona sur, aunque este fenómeno también pudo detectarse en </w:t>
      </w:r>
      <w:r>
        <w:rPr>
          <w:rFonts w:ascii="Times New Roman" w:hAnsi="Times New Roman" w:cs="Times New Roman"/>
          <w:sz w:val="24"/>
          <w:szCs w:val="24"/>
        </w:rPr>
        <w:t xml:space="preserve">algunas </w:t>
      </w:r>
      <w:r w:rsidRPr="00E8197C">
        <w:rPr>
          <w:rFonts w:ascii="Times New Roman" w:hAnsi="Times New Roman" w:cs="Times New Roman"/>
          <w:sz w:val="24"/>
          <w:szCs w:val="24"/>
        </w:rPr>
        <w:t xml:space="preserve">comunas de la zona central. En relación a la </w:t>
      </w:r>
      <w:r>
        <w:rPr>
          <w:rFonts w:ascii="Times New Roman" w:hAnsi="Times New Roman" w:cs="Times New Roman"/>
          <w:sz w:val="24"/>
          <w:szCs w:val="24"/>
        </w:rPr>
        <w:t>letalidad</w:t>
      </w:r>
      <w:r w:rsidRPr="00E8197C">
        <w:rPr>
          <w:rFonts w:ascii="Times New Roman" w:hAnsi="Times New Roman" w:cs="Times New Roman"/>
          <w:sz w:val="24"/>
          <w:szCs w:val="24"/>
        </w:rPr>
        <w:t>, se observó un menor nivel de heterogeneidad, encontrándose diferen</w:t>
      </w:r>
      <w:r w:rsidR="001B0CCE">
        <w:rPr>
          <w:rFonts w:ascii="Times New Roman" w:hAnsi="Times New Roman" w:cs="Times New Roman"/>
          <w:sz w:val="24"/>
          <w:szCs w:val="24"/>
        </w:rPr>
        <w:t xml:space="preserve">cias no significativas entre </w:t>
      </w:r>
      <w:r>
        <w:rPr>
          <w:rFonts w:ascii="Times New Roman" w:hAnsi="Times New Roman" w:cs="Times New Roman"/>
          <w:sz w:val="24"/>
          <w:szCs w:val="24"/>
        </w:rPr>
        <w:t>las zonas</w:t>
      </w:r>
      <w:r w:rsidRPr="00E8197C">
        <w:rPr>
          <w:rFonts w:ascii="Times New Roman" w:hAnsi="Times New Roman" w:cs="Times New Roman"/>
          <w:sz w:val="24"/>
          <w:szCs w:val="24"/>
        </w:rPr>
        <w:t>.</w:t>
      </w:r>
      <w:r w:rsidR="001B0CCE">
        <w:rPr>
          <w:rFonts w:ascii="Times New Roman" w:hAnsi="Times New Roman" w:cs="Times New Roman"/>
          <w:sz w:val="24"/>
          <w:szCs w:val="24"/>
        </w:rPr>
        <w:t xml:space="preserve"> Sin embargo, al analizar la letalidad por grupo etario, a partir de los grupos mayores de 50 años, se vuelve a observar el mismo patrón de distribución de la incidencia, con valores más altos en las comunas de la zona sur y más bajos en las de la zona norte. </w:t>
      </w:r>
    </w:p>
    <w:p w14:paraId="1C90F280" w14:textId="0CD6BB15" w:rsidR="00604D56" w:rsidRPr="00604D56" w:rsidRDefault="00604D56" w:rsidP="00604D56">
      <w:pPr>
        <w:spacing w:after="0" w:line="480" w:lineRule="auto"/>
        <w:contextualSpacing/>
        <w:jc w:val="both"/>
        <w:rPr>
          <w:rFonts w:ascii="Times New Roman" w:hAnsi="Times New Roman" w:cs="Times New Roman"/>
          <w:sz w:val="24"/>
          <w:szCs w:val="24"/>
        </w:rPr>
      </w:pPr>
      <w:r w:rsidRPr="00604D56">
        <w:rPr>
          <w:rFonts w:ascii="Times New Roman" w:hAnsi="Times New Roman" w:cs="Times New Roman"/>
          <w:sz w:val="24"/>
          <w:szCs w:val="24"/>
        </w:rPr>
        <w:t xml:space="preserve">Los resultados observados son congruentes con estudios previos que describieron la zona sur de CABA como un área geográfica segregada con condiciones comparativamente desventajosas en cuanto a los aspectos involucrados en la determinación de la salud de las poblaciones y sus </w:t>
      </w:r>
      <w:r w:rsidRPr="00604D56">
        <w:rPr>
          <w:rFonts w:ascii="Times New Roman" w:hAnsi="Times New Roman" w:cs="Times New Roman"/>
          <w:sz w:val="24"/>
          <w:szCs w:val="24"/>
        </w:rPr>
        <w:lastRenderedPageBreak/>
        <w:t xml:space="preserve">condiciones de vida </w:t>
      </w:r>
      <w:r>
        <w:rPr>
          <w:rFonts w:ascii="Times New Roman" w:hAnsi="Times New Roman" w:cs="Times New Roman"/>
          <w:sz w:val="24"/>
          <w:szCs w:val="24"/>
        </w:rPr>
        <w:fldChar w:fldCharType="begin" w:fldLock="1"/>
      </w:r>
      <w:r w:rsidRPr="00604D56">
        <w:rPr>
          <w:rFonts w:ascii="Times New Roman" w:hAnsi="Times New Roman" w:cs="Times New Roman"/>
          <w:sz w:val="24"/>
          <w:szCs w:val="24"/>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w:instrText>
      </w:r>
      <w:r w:rsidRPr="001C6486">
        <w:rPr>
          <w:rFonts w:ascii="Times New Roman" w:hAnsi="Times New Roman" w:cs="Times New Roman"/>
          <w:sz w:val="24"/>
          <w:szCs w:val="24"/>
          <w:lang w:val="en-US"/>
        </w:rPr>
        <w:instrText>id=7b523a77-c1b6</w:instrText>
      </w:r>
      <w:r>
        <w:rPr>
          <w:rFonts w:ascii="Times New Roman" w:hAnsi="Times New Roman" w:cs="Times New Roman"/>
          <w:sz w:val="24"/>
          <w:szCs w:val="24"/>
        </w:rPr>
        <w:instrText>-46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w:instrText>
      </w:r>
      <w:r w:rsidRPr="004C307B">
        <w:rPr>
          <w:rFonts w:ascii="Times New Roman" w:hAnsi="Times New Roman" w:cs="Times New Roman"/>
          <w:sz w:val="24"/>
          <w:szCs w:val="24"/>
        </w:rPr>
        <w:instrText>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id":"ITEM-5","itemData":{"ISSN":"0124-0064","author":[{"dropping-particle":"","family":"Santoro","given":"Adrián","non-dropping-particle":"","parse-names":false,"suffix":""}],"container-title":"Revista de Salud Pública","id":"ITEM-5","issued":{"date-parts":[["2019"]]},"page":"94-101","publisher":"scieloco","title":"Desigualdades en la Ciudad Autónoma de Buenos Aires: mortalidad, fecundidad y estructura demográfica","type":"article-journal","volume":"21"},"uris":["http://www.mendeley.com/documents/?uuid=dabf5de4-6de4-4beb-be4e-2fd8a38dd796"]}],"mendeley":{"formattedCitation":"(4–8)","plainTextFormattedCitation":"(4–8)","previouslyFormattedCitation":"(4–8)"},"properties":{"noteIndex":0},"schema":"https://github.com/citation-style-language/schema/raw/master/csl-citation.json"}</w:instrText>
      </w:r>
      <w:r>
        <w:rPr>
          <w:rFonts w:ascii="Times New Roman" w:hAnsi="Times New Roman" w:cs="Times New Roman"/>
          <w:sz w:val="24"/>
          <w:szCs w:val="24"/>
        </w:rPr>
        <w:fldChar w:fldCharType="separate"/>
      </w:r>
      <w:r w:rsidRPr="004C307B">
        <w:rPr>
          <w:rFonts w:ascii="Times New Roman" w:hAnsi="Times New Roman" w:cs="Times New Roman"/>
          <w:noProof/>
          <w:sz w:val="24"/>
          <w:szCs w:val="24"/>
        </w:rPr>
        <w:t>(4–8)</w:t>
      </w:r>
      <w:r>
        <w:rPr>
          <w:rFonts w:ascii="Times New Roman" w:hAnsi="Times New Roman" w:cs="Times New Roman"/>
          <w:sz w:val="24"/>
          <w:szCs w:val="24"/>
        </w:rPr>
        <w:fldChar w:fldCharType="end"/>
      </w:r>
      <w:r w:rsidRPr="004C307B">
        <w:rPr>
          <w:rFonts w:ascii="Times New Roman" w:hAnsi="Times New Roman" w:cs="Times New Roman"/>
          <w:sz w:val="24"/>
          <w:szCs w:val="24"/>
        </w:rPr>
        <w:t>.</w:t>
      </w:r>
      <w:r>
        <w:rPr>
          <w:rFonts w:ascii="Times New Roman" w:hAnsi="Times New Roman" w:cs="Times New Roman"/>
          <w:sz w:val="24"/>
          <w:szCs w:val="24"/>
        </w:rPr>
        <w:t xml:space="preserve"> </w:t>
      </w:r>
      <w:r w:rsidRPr="00604D56">
        <w:rPr>
          <w:rFonts w:ascii="Times New Roman" w:hAnsi="Times New Roman" w:cs="Times New Roman"/>
          <w:sz w:val="24"/>
          <w:szCs w:val="24"/>
        </w:rPr>
        <w:t>Además, los hallazgos son con</w:t>
      </w:r>
      <w:r w:rsidR="004A33B9">
        <w:rPr>
          <w:rFonts w:ascii="Times New Roman" w:hAnsi="Times New Roman" w:cs="Times New Roman"/>
          <w:sz w:val="24"/>
          <w:szCs w:val="24"/>
        </w:rPr>
        <w:t>sistentes</w:t>
      </w:r>
      <w:r w:rsidRPr="00604D56">
        <w:rPr>
          <w:rFonts w:ascii="Times New Roman" w:hAnsi="Times New Roman" w:cs="Times New Roman"/>
          <w:sz w:val="24"/>
          <w:szCs w:val="24"/>
        </w:rPr>
        <w:t xml:space="preserve"> con lo </w:t>
      </w:r>
      <w:r w:rsidR="00256C9D">
        <w:rPr>
          <w:rFonts w:ascii="Times New Roman" w:hAnsi="Times New Roman" w:cs="Times New Roman"/>
          <w:sz w:val="24"/>
          <w:szCs w:val="24"/>
        </w:rPr>
        <w:t>presentado en</w:t>
      </w:r>
      <w:r w:rsidRPr="00604D56">
        <w:rPr>
          <w:rFonts w:ascii="Times New Roman" w:hAnsi="Times New Roman" w:cs="Times New Roman"/>
          <w:sz w:val="24"/>
          <w:szCs w:val="24"/>
        </w:rPr>
        <w:t xml:space="preserve"> la encuesta de </w:t>
      </w:r>
      <w:proofErr w:type="spellStart"/>
      <w:r w:rsidRPr="00604D56">
        <w:rPr>
          <w:rFonts w:ascii="Times New Roman" w:hAnsi="Times New Roman" w:cs="Times New Roman"/>
          <w:sz w:val="24"/>
          <w:szCs w:val="24"/>
        </w:rPr>
        <w:t>seroprovalencia</w:t>
      </w:r>
      <w:proofErr w:type="spellEnd"/>
      <w:r w:rsidRPr="00604D56">
        <w:rPr>
          <w:rFonts w:ascii="Times New Roman" w:hAnsi="Times New Roman" w:cs="Times New Roman"/>
          <w:sz w:val="24"/>
          <w:szCs w:val="24"/>
        </w:rPr>
        <w:t xml:space="preserve"> realizada por el gobierno de la CABA, donde se constató que la proporción de población </w:t>
      </w:r>
      <w:proofErr w:type="spellStart"/>
      <w:r w:rsidRPr="00604D56">
        <w:rPr>
          <w:rFonts w:ascii="Times New Roman" w:hAnsi="Times New Roman" w:cs="Times New Roman"/>
          <w:sz w:val="24"/>
          <w:szCs w:val="24"/>
        </w:rPr>
        <w:t>seroprevalente</w:t>
      </w:r>
      <w:proofErr w:type="spellEnd"/>
      <w:r w:rsidRPr="00604D56">
        <w:rPr>
          <w:rFonts w:ascii="Times New Roman" w:hAnsi="Times New Roman" w:cs="Times New Roman"/>
          <w:sz w:val="24"/>
          <w:szCs w:val="24"/>
        </w:rPr>
        <w:t xml:space="preserve"> detectada en la zona sur fue 168,3% </w:t>
      </w:r>
      <w:r w:rsidR="00256C9D">
        <w:rPr>
          <w:rFonts w:ascii="Times New Roman" w:hAnsi="Times New Roman" w:cs="Times New Roman"/>
          <w:sz w:val="24"/>
          <w:szCs w:val="24"/>
        </w:rPr>
        <w:t>mayor a la</w:t>
      </w:r>
      <w:r w:rsidRPr="00604D56">
        <w:rPr>
          <w:rFonts w:ascii="Times New Roman" w:hAnsi="Times New Roman" w:cs="Times New Roman"/>
          <w:sz w:val="24"/>
          <w:szCs w:val="24"/>
        </w:rPr>
        <w:t xml:space="preserve"> detectada en la zona norte </w:t>
      </w:r>
      <w:r w:rsidRPr="00604D56">
        <w:rPr>
          <w:rFonts w:ascii="Times New Roman" w:hAnsi="Times New Roman" w:cs="Times New Roman"/>
          <w:sz w:val="24"/>
          <w:szCs w:val="24"/>
          <w:highlight w:val="yellow"/>
        </w:rPr>
        <w:t>(cita)</w:t>
      </w:r>
      <w:r w:rsidRPr="00604D56">
        <w:rPr>
          <w:rFonts w:ascii="Times New Roman" w:hAnsi="Times New Roman" w:cs="Times New Roman"/>
          <w:sz w:val="24"/>
          <w:szCs w:val="24"/>
        </w:rPr>
        <w:t>.</w:t>
      </w:r>
    </w:p>
    <w:p w14:paraId="31B47021" w14:textId="0DDA0E2A" w:rsidR="004C307B" w:rsidRDefault="00256C9D" w:rsidP="001C6486">
      <w:pPr>
        <w:spacing w:after="0" w:line="480" w:lineRule="auto"/>
        <w:contextualSpacing/>
        <w:jc w:val="both"/>
        <w:rPr>
          <w:rFonts w:ascii="Times New Roman" w:hAnsi="Times New Roman" w:cs="Times New Roman"/>
          <w:sz w:val="24"/>
          <w:szCs w:val="24"/>
        </w:rPr>
      </w:pPr>
      <w:r w:rsidRPr="00256C9D">
        <w:rPr>
          <w:rFonts w:ascii="Times New Roman" w:hAnsi="Times New Roman" w:cs="Times New Roman"/>
          <w:sz w:val="24"/>
          <w:szCs w:val="24"/>
        </w:rPr>
        <w:t xml:space="preserve">Es posible que este contexto sea el resultado de un elemento estructurante como las condiciones materiales de existencia que, como se </w:t>
      </w:r>
      <w:r w:rsidR="004A33B9">
        <w:rPr>
          <w:rFonts w:ascii="Times New Roman" w:hAnsi="Times New Roman" w:cs="Times New Roman"/>
          <w:sz w:val="24"/>
          <w:szCs w:val="24"/>
        </w:rPr>
        <w:t>mostró</w:t>
      </w:r>
      <w:r w:rsidRPr="00256C9D">
        <w:rPr>
          <w:rFonts w:ascii="Times New Roman" w:hAnsi="Times New Roman" w:cs="Times New Roman"/>
          <w:sz w:val="24"/>
          <w:szCs w:val="24"/>
        </w:rPr>
        <w:t xml:space="preserve"> en este estudio, se mostraron asociadas con el impacto diferencial de la epidemia, </w:t>
      </w:r>
      <w:r>
        <w:rPr>
          <w:rFonts w:ascii="Times New Roman" w:hAnsi="Times New Roman" w:cs="Times New Roman"/>
          <w:sz w:val="24"/>
          <w:szCs w:val="24"/>
        </w:rPr>
        <w:t xml:space="preserve">aproximando su medición a partir del ingreso </w:t>
      </w:r>
      <w:r w:rsidRPr="00256C9D">
        <w:rPr>
          <w:rFonts w:ascii="Times New Roman" w:hAnsi="Times New Roman" w:cs="Times New Roman"/>
          <w:sz w:val="24"/>
          <w:szCs w:val="24"/>
        </w:rPr>
        <w:t>familia</w:t>
      </w:r>
      <w:r>
        <w:rPr>
          <w:rFonts w:ascii="Times New Roman" w:hAnsi="Times New Roman" w:cs="Times New Roman"/>
          <w:sz w:val="24"/>
          <w:szCs w:val="24"/>
        </w:rPr>
        <w:t xml:space="preserve">r promedio de </w:t>
      </w:r>
      <w:r w:rsidRPr="00256C9D">
        <w:rPr>
          <w:rFonts w:ascii="Times New Roman" w:hAnsi="Times New Roman" w:cs="Times New Roman"/>
          <w:sz w:val="24"/>
          <w:szCs w:val="24"/>
        </w:rPr>
        <w:t>cada comuna. Una situación similar se había observado p</w:t>
      </w:r>
      <w:r>
        <w:rPr>
          <w:rFonts w:ascii="Times New Roman" w:hAnsi="Times New Roman" w:cs="Times New Roman"/>
          <w:sz w:val="24"/>
          <w:szCs w:val="24"/>
        </w:rPr>
        <w:t xml:space="preserve">ara la morbilidad en Barcelona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(12)</w:t>
      </w:r>
      <w:r>
        <w:rPr>
          <w:rFonts w:ascii="Times New Roman" w:hAnsi="Times New Roman" w:cs="Times New Roman"/>
          <w:sz w:val="24"/>
          <w:szCs w:val="24"/>
        </w:rPr>
        <w:fldChar w:fldCharType="end"/>
      </w:r>
      <w:r w:rsidRPr="00256C9D">
        <w:rPr>
          <w:rFonts w:ascii="Times New Roman" w:hAnsi="Times New Roman" w:cs="Times New Roman"/>
          <w:sz w:val="24"/>
          <w:szCs w:val="24"/>
        </w:rPr>
        <w:t xml:space="preserve"> y la mortalidad en el Reino Unido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w:instrText>
      </w:r>
      <w:r w:rsidRPr="004A33B9">
        <w:rPr>
          <w:rFonts w:ascii="Times New Roman" w:hAnsi="Times New Roman" w:cs="Times New Roman"/>
          <w:sz w:val="24"/>
          <w:szCs w:val="24"/>
        </w:rPr>
        <w:instrText>pa</w:instrText>
      </w:r>
      <w:r>
        <w:rPr>
          <w:rFonts w:ascii="Times New Roman" w:hAnsi="Times New Roman" w:cs="Times New Roman"/>
          <w:sz w:val="24"/>
          <w:szCs w:val="24"/>
        </w:rPr>
        <w:instrText>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C22846">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w:t>
      </w:r>
    </w:p>
    <w:p w14:paraId="01FCF86C" w14:textId="77777777" w:rsidR="00256C9D" w:rsidRDefault="00256C9D" w:rsidP="001C6486">
      <w:pPr>
        <w:spacing w:after="0" w:line="480" w:lineRule="auto"/>
        <w:contextualSpacing/>
        <w:jc w:val="both"/>
        <w:rPr>
          <w:rFonts w:ascii="Times New Roman" w:hAnsi="Times New Roman" w:cs="Times New Roman"/>
          <w:sz w:val="24"/>
          <w:szCs w:val="24"/>
        </w:rPr>
      </w:pPr>
    </w:p>
    <w:p w14:paraId="7E5E9BB3" w14:textId="6D682E93" w:rsidR="00C96D26" w:rsidRDefault="00256C9D" w:rsidP="001C6486">
      <w:pPr>
        <w:spacing w:after="0" w:line="480" w:lineRule="auto"/>
        <w:contextualSpacing/>
        <w:jc w:val="both"/>
        <w:rPr>
          <w:rFonts w:ascii="Times New Roman" w:hAnsi="Times New Roman" w:cs="Times New Roman"/>
          <w:sz w:val="24"/>
          <w:szCs w:val="24"/>
        </w:rPr>
      </w:pPr>
      <w:r w:rsidRPr="00256C9D">
        <w:rPr>
          <w:rFonts w:ascii="Times New Roman" w:hAnsi="Times New Roman" w:cs="Times New Roman"/>
          <w:sz w:val="24"/>
          <w:szCs w:val="24"/>
        </w:rPr>
        <w:t>Un hallazgo notable es la mayor incidencia de COVID-19 entre los adultos jóvenes en las comunas del sur de CABA</w:t>
      </w:r>
      <w:r w:rsidR="004A33B9">
        <w:rPr>
          <w:rFonts w:ascii="Times New Roman" w:hAnsi="Times New Roman" w:cs="Times New Roman"/>
          <w:sz w:val="24"/>
          <w:szCs w:val="24"/>
        </w:rPr>
        <w:t xml:space="preserve"> en el primer sub periodo estudiado</w:t>
      </w:r>
      <w:r w:rsidRPr="00256C9D">
        <w:rPr>
          <w:rFonts w:ascii="Times New Roman" w:hAnsi="Times New Roman" w:cs="Times New Roman"/>
          <w:sz w:val="24"/>
          <w:szCs w:val="24"/>
        </w:rPr>
        <w:t xml:space="preserve">. Si bien el diseño de esta investigación no permite asociaciones a nivel individual, se podría plantear la hipótesis de que, como se describe a la población hispana de Chicago en el estudio de Kim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56C9D">
        <w:rPr>
          <w:rFonts w:ascii="Times New Roman" w:hAnsi="Times New Roman" w:cs="Times New Roman"/>
          <w:sz w:val="24"/>
          <w:szCs w:val="24"/>
        </w:rPr>
        <w:t xml:space="preserve">existen niveles más altos de exposición entre los trabajadores en áreas vulnerables debido a la mayor inserción (en términos relativos) en sectores vinculados a la economía informal (con menor cumplimiento de protocolos) y a tareas esenciales (seguridad, limpieza, enfermería). </w:t>
      </w:r>
      <w:r w:rsidR="004A33B9">
        <w:rPr>
          <w:rFonts w:ascii="Times New Roman" w:hAnsi="Times New Roman" w:cs="Times New Roman"/>
          <w:sz w:val="24"/>
          <w:szCs w:val="24"/>
        </w:rPr>
        <w:t>Por otro lado, el cambio de patrón en la incidencia</w:t>
      </w:r>
      <w:r w:rsidR="006D0323">
        <w:rPr>
          <w:rFonts w:ascii="Times New Roman" w:hAnsi="Times New Roman" w:cs="Times New Roman"/>
          <w:sz w:val="24"/>
          <w:szCs w:val="24"/>
        </w:rPr>
        <w:t xml:space="preserve"> entre comunas y grupos de edad</w:t>
      </w:r>
      <w:r w:rsidR="004A33B9">
        <w:rPr>
          <w:rFonts w:ascii="Times New Roman" w:hAnsi="Times New Roman" w:cs="Times New Roman"/>
          <w:sz w:val="24"/>
          <w:szCs w:val="24"/>
        </w:rPr>
        <w:t xml:space="preserve"> observado en el segundo sub </w:t>
      </w:r>
      <w:r w:rsidR="006D0323">
        <w:rPr>
          <w:rFonts w:ascii="Times New Roman" w:hAnsi="Times New Roman" w:cs="Times New Roman"/>
          <w:sz w:val="24"/>
          <w:szCs w:val="24"/>
        </w:rPr>
        <w:t xml:space="preserve">periodo, </w:t>
      </w:r>
      <w:r w:rsidR="00C96D26">
        <w:rPr>
          <w:rFonts w:ascii="Times New Roman" w:hAnsi="Times New Roman" w:cs="Times New Roman"/>
          <w:sz w:val="24"/>
          <w:szCs w:val="24"/>
        </w:rPr>
        <w:t>se puede relacionas</w:t>
      </w:r>
      <w:r w:rsidR="004A33B9">
        <w:rPr>
          <w:rFonts w:ascii="Times New Roman" w:hAnsi="Times New Roman" w:cs="Times New Roman"/>
          <w:sz w:val="24"/>
          <w:szCs w:val="24"/>
        </w:rPr>
        <w:t xml:space="preserve"> </w:t>
      </w:r>
      <w:r w:rsidR="00C96D26">
        <w:rPr>
          <w:rFonts w:ascii="Times New Roman" w:hAnsi="Times New Roman" w:cs="Times New Roman"/>
          <w:sz w:val="24"/>
          <w:szCs w:val="24"/>
        </w:rPr>
        <w:t>a la</w:t>
      </w:r>
      <w:r w:rsidR="006D0323">
        <w:rPr>
          <w:rFonts w:ascii="Times New Roman" w:hAnsi="Times New Roman" w:cs="Times New Roman"/>
          <w:sz w:val="24"/>
          <w:szCs w:val="24"/>
        </w:rPr>
        <w:t xml:space="preserve"> mayor exposición de sectores que en el primer</w:t>
      </w:r>
      <w:r w:rsidR="00C96D26">
        <w:rPr>
          <w:rFonts w:ascii="Times New Roman" w:hAnsi="Times New Roman" w:cs="Times New Roman"/>
          <w:sz w:val="24"/>
          <w:szCs w:val="24"/>
        </w:rPr>
        <w:t xml:space="preserve"> sub</w:t>
      </w:r>
      <w:r w:rsidR="006D0323">
        <w:rPr>
          <w:rFonts w:ascii="Times New Roman" w:hAnsi="Times New Roman" w:cs="Times New Roman"/>
          <w:sz w:val="24"/>
          <w:szCs w:val="24"/>
        </w:rPr>
        <w:t xml:space="preserve"> periodo de la pandemia habían estado menos expuestos</w:t>
      </w:r>
      <w:r w:rsidR="00C96D26">
        <w:rPr>
          <w:rFonts w:ascii="Times New Roman" w:hAnsi="Times New Roman" w:cs="Times New Roman"/>
          <w:sz w:val="24"/>
          <w:szCs w:val="24"/>
        </w:rPr>
        <w:t xml:space="preserve"> debido a la obligatoriedad del</w:t>
      </w:r>
      <w:r w:rsidR="006D0323">
        <w:rPr>
          <w:rFonts w:ascii="Times New Roman" w:hAnsi="Times New Roman" w:cs="Times New Roman"/>
          <w:sz w:val="24"/>
          <w:szCs w:val="24"/>
        </w:rPr>
        <w:t xml:space="preserve"> trabajo remoto y las clases no presenciales implementadas por </w:t>
      </w:r>
      <w:r w:rsidR="00C96D26">
        <w:rPr>
          <w:rFonts w:ascii="Times New Roman" w:hAnsi="Times New Roman" w:cs="Times New Roman"/>
          <w:sz w:val="24"/>
          <w:szCs w:val="24"/>
        </w:rPr>
        <w:t>decreto</w:t>
      </w:r>
      <w:r w:rsidR="006D0323">
        <w:rPr>
          <w:rFonts w:ascii="Times New Roman" w:hAnsi="Times New Roman" w:cs="Times New Roman"/>
          <w:sz w:val="24"/>
          <w:szCs w:val="24"/>
        </w:rPr>
        <w:t xml:space="preserve">. Además, el segundo sub periodo coincide con la salida de vacaciones de verano (enero y febrero) mayormente a otras provincias del país y los testeos obligatorios para turistas que implementó </w:t>
      </w:r>
      <w:r w:rsidR="00C96D26">
        <w:rPr>
          <w:rFonts w:ascii="Times New Roman" w:hAnsi="Times New Roman" w:cs="Times New Roman"/>
          <w:sz w:val="24"/>
          <w:szCs w:val="24"/>
        </w:rPr>
        <w:t xml:space="preserve">la CABA al ingresar a la ciudad, aumentando la exposición sobre todo en jóvenes y población económicamente activa, pero </w:t>
      </w:r>
      <w:proofErr w:type="gramStart"/>
      <w:r w:rsidR="00C96D26">
        <w:rPr>
          <w:rFonts w:ascii="Times New Roman" w:hAnsi="Times New Roman" w:cs="Times New Roman"/>
          <w:sz w:val="24"/>
          <w:szCs w:val="24"/>
        </w:rPr>
        <w:t>también  aumentando</w:t>
      </w:r>
      <w:proofErr w:type="gramEnd"/>
      <w:r w:rsidR="00C96D26">
        <w:rPr>
          <w:rFonts w:ascii="Times New Roman" w:hAnsi="Times New Roman" w:cs="Times New Roman"/>
          <w:sz w:val="24"/>
          <w:szCs w:val="24"/>
        </w:rPr>
        <w:t xml:space="preserve"> la sensibilidad de los testeos.</w:t>
      </w:r>
    </w:p>
    <w:p w14:paraId="18D7F4B3" w14:textId="77777777" w:rsidR="00C96D26" w:rsidRDefault="00C96D26" w:rsidP="001C6486">
      <w:pPr>
        <w:spacing w:after="0" w:line="480" w:lineRule="auto"/>
        <w:contextualSpacing/>
        <w:jc w:val="both"/>
        <w:rPr>
          <w:rFonts w:ascii="Times New Roman" w:hAnsi="Times New Roman" w:cs="Times New Roman"/>
          <w:sz w:val="24"/>
          <w:szCs w:val="24"/>
        </w:rPr>
      </w:pPr>
    </w:p>
    <w:p w14:paraId="062FC73A" w14:textId="7037936B" w:rsidR="004A33B9" w:rsidRDefault="006D0323" w:rsidP="001C6486">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Se destaca que este cambio de patrón en la incidencia, siendo la más alta en la zona de </w:t>
      </w:r>
      <w:r w:rsidR="00C96D26">
        <w:rPr>
          <w:rFonts w:ascii="Times New Roman" w:hAnsi="Times New Roman" w:cs="Times New Roman"/>
          <w:sz w:val="24"/>
          <w:szCs w:val="24"/>
        </w:rPr>
        <w:t>mayores recursos</w:t>
      </w:r>
      <w:r>
        <w:rPr>
          <w:rFonts w:ascii="Times New Roman" w:hAnsi="Times New Roman" w:cs="Times New Roman"/>
          <w:sz w:val="24"/>
          <w:szCs w:val="24"/>
        </w:rPr>
        <w:t>, no se observó en la mortalidad para el mismo periodo</w:t>
      </w:r>
      <w:r w:rsidR="00C96D26">
        <w:rPr>
          <w:rFonts w:ascii="Times New Roman" w:hAnsi="Times New Roman" w:cs="Times New Roman"/>
          <w:sz w:val="24"/>
          <w:szCs w:val="24"/>
        </w:rPr>
        <w:t>. Es decir que, en el segundo sub periodo, las mayores tasas de incidencia se asociar</w:t>
      </w:r>
      <w:r w:rsidR="004D6B44">
        <w:rPr>
          <w:rFonts w:ascii="Times New Roman" w:hAnsi="Times New Roman" w:cs="Times New Roman"/>
          <w:sz w:val="24"/>
          <w:szCs w:val="24"/>
        </w:rPr>
        <w:t xml:space="preserve">on con </w:t>
      </w:r>
      <w:proofErr w:type="spellStart"/>
      <w:r w:rsidR="004D6B44">
        <w:rPr>
          <w:rFonts w:ascii="Times New Roman" w:hAnsi="Times New Roman" w:cs="Times New Roman"/>
          <w:sz w:val="24"/>
          <w:szCs w:val="24"/>
        </w:rPr>
        <w:t>indicadocadores</w:t>
      </w:r>
      <w:proofErr w:type="spellEnd"/>
      <w:r w:rsidR="004D6B44">
        <w:rPr>
          <w:rFonts w:ascii="Times New Roman" w:hAnsi="Times New Roman" w:cs="Times New Roman"/>
          <w:sz w:val="24"/>
          <w:szCs w:val="24"/>
        </w:rPr>
        <w:t xml:space="preserve"> de mortalidad ajustados por edad </w:t>
      </w:r>
      <w:proofErr w:type="spellStart"/>
      <w:r w:rsidR="004D6B44">
        <w:rPr>
          <w:rFonts w:ascii="Times New Roman" w:hAnsi="Times New Roman" w:cs="Times New Roman"/>
          <w:sz w:val="24"/>
          <w:szCs w:val="24"/>
        </w:rPr>
        <w:t>mas</w:t>
      </w:r>
      <w:proofErr w:type="spellEnd"/>
      <w:r w:rsidR="004D6B44">
        <w:rPr>
          <w:rFonts w:ascii="Times New Roman" w:hAnsi="Times New Roman" w:cs="Times New Roman"/>
          <w:sz w:val="24"/>
          <w:szCs w:val="24"/>
        </w:rPr>
        <w:t xml:space="preserve"> bajos</w:t>
      </w:r>
      <w:r w:rsidR="00C96D26">
        <w:rPr>
          <w:rFonts w:ascii="Times New Roman" w:hAnsi="Times New Roman" w:cs="Times New Roman"/>
          <w:sz w:val="24"/>
          <w:szCs w:val="24"/>
        </w:rPr>
        <w:t>. Esta situación agudiza aún más la</w:t>
      </w:r>
      <w:r w:rsidR="004D6B44">
        <w:rPr>
          <w:rFonts w:ascii="Times New Roman" w:hAnsi="Times New Roman" w:cs="Times New Roman"/>
          <w:sz w:val="24"/>
          <w:szCs w:val="24"/>
        </w:rPr>
        <w:t xml:space="preserve"> situación de</w:t>
      </w:r>
      <w:r w:rsidR="00C96D26">
        <w:rPr>
          <w:rFonts w:ascii="Times New Roman" w:hAnsi="Times New Roman" w:cs="Times New Roman"/>
          <w:sz w:val="24"/>
          <w:szCs w:val="24"/>
        </w:rPr>
        <w:t xml:space="preserve"> vulnerabilidad </w:t>
      </w:r>
      <w:r w:rsidR="004D6B44">
        <w:rPr>
          <w:rFonts w:ascii="Times New Roman" w:hAnsi="Times New Roman" w:cs="Times New Roman"/>
          <w:sz w:val="24"/>
          <w:szCs w:val="24"/>
        </w:rPr>
        <w:t>observada en</w:t>
      </w:r>
      <w:r w:rsidR="00C96D26">
        <w:rPr>
          <w:rFonts w:ascii="Times New Roman" w:hAnsi="Times New Roman" w:cs="Times New Roman"/>
          <w:sz w:val="24"/>
          <w:szCs w:val="24"/>
        </w:rPr>
        <w:t xml:space="preserve"> las comunas con peores condiciones socioeconómicas, ya que nos conduce a pensar en dos </w:t>
      </w:r>
      <w:r w:rsidR="004D6B44">
        <w:rPr>
          <w:rFonts w:ascii="Times New Roman" w:hAnsi="Times New Roman" w:cs="Times New Roman"/>
          <w:sz w:val="24"/>
          <w:szCs w:val="24"/>
        </w:rPr>
        <w:t xml:space="preserve">posibles hipótesis: Hubo </w:t>
      </w:r>
      <w:r w:rsidR="00C96D26">
        <w:rPr>
          <w:rFonts w:ascii="Times New Roman" w:hAnsi="Times New Roman" w:cs="Times New Roman"/>
          <w:sz w:val="24"/>
          <w:szCs w:val="24"/>
        </w:rPr>
        <w:t>más casos que los detectados en la zona sur en el segundo sub periodo, en comparación con el primero, o efectivamente, aun con una incidencia menor, el riesgo de morir en la zona sur fue mayor que en la zona norte</w:t>
      </w:r>
      <w:r w:rsidR="004D6B44">
        <w:rPr>
          <w:rFonts w:ascii="Times New Roman" w:hAnsi="Times New Roman" w:cs="Times New Roman"/>
          <w:sz w:val="24"/>
          <w:szCs w:val="24"/>
        </w:rPr>
        <w:t xml:space="preserve"> en el segundo sub periodo</w:t>
      </w:r>
      <w:r w:rsidR="00C96D26">
        <w:rPr>
          <w:rFonts w:ascii="Times New Roman" w:hAnsi="Times New Roman" w:cs="Times New Roman"/>
          <w:sz w:val="24"/>
          <w:szCs w:val="24"/>
        </w:rPr>
        <w:t xml:space="preserve">. </w:t>
      </w:r>
    </w:p>
    <w:p w14:paraId="3B18E96B" w14:textId="77777777" w:rsidR="004A33B9" w:rsidRDefault="004A33B9" w:rsidP="001C6486">
      <w:pPr>
        <w:spacing w:after="0" w:line="480" w:lineRule="auto"/>
        <w:contextualSpacing/>
        <w:jc w:val="both"/>
        <w:rPr>
          <w:rFonts w:ascii="Times New Roman" w:hAnsi="Times New Roman" w:cs="Times New Roman"/>
          <w:sz w:val="24"/>
          <w:szCs w:val="24"/>
        </w:rPr>
      </w:pPr>
    </w:p>
    <w:p w14:paraId="6143EFA5" w14:textId="71FABC5B" w:rsidR="00E822AC" w:rsidRPr="00256C9D" w:rsidRDefault="00256C9D" w:rsidP="001C6486">
      <w:pPr>
        <w:spacing w:after="0" w:line="480" w:lineRule="auto"/>
        <w:contextualSpacing/>
        <w:jc w:val="both"/>
        <w:rPr>
          <w:rFonts w:ascii="Times New Roman" w:hAnsi="Times New Roman" w:cs="Times New Roman"/>
          <w:sz w:val="24"/>
          <w:szCs w:val="24"/>
        </w:rPr>
      </w:pPr>
      <w:r w:rsidRPr="00256C9D">
        <w:rPr>
          <w:rFonts w:ascii="Times New Roman" w:hAnsi="Times New Roman" w:cs="Times New Roman"/>
          <w:sz w:val="24"/>
          <w:szCs w:val="24"/>
        </w:rPr>
        <w:t xml:space="preserve">Otro elemento es la comorbilidad: las condiciones de vida desfavorables se asocian a una menor detección y mayor prevalencia de enfermedades crónicas no transmisibles que actúan como comorbilidades del COVID-19, empeorando el pronóstico en la evolución de la enfermedad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{"citationItems":[{"id":"ITEM-1","itemData":{"DOI":"10.18632/aging.103579","ISSN":"1945-4589 (Electronic)","PMID":"32658868","abstract":"A systematic review and meta-analysis was conducted in an attempt to systematically  collect and evaluate the associations of epidemiological, comorbidity factors with the severity and prognosis of coronavirus disease 2019 (COVID-19). The systematic review and meta-analysis was conducted according to the guidelines proposed by the Preferred Reporting Items for Systematic Reviews and Meta-Analyses (PRISMA). Sixty nine publications met our study criteria, and 61 studies with more than 10,000 COVID-19 cases were eligible for the quantitative synthesis. We found that the males had significantly higher disease severity (RR: 1.20, 95% CI: 1.13-1.27, P &lt;0.001) and more prognostic endpoints. Older age was found to be significantly associated with the disease severity and six prognostic endpoints. Chronic kidney disease contributed mostly for death (RR: 7.10, 95% CI: 3.14-16.02), chronic obstructive pulmonary disease (COPD) for disease severity (RR: 4.20, 95% CI: 2.82-6.25), admission to intensive care unit (ICU) (RR: 5.61, 95% CI: 2.68-11.76), the composite endpoin</w:instrText>
      </w:r>
      <w:r w:rsidRPr="004A33B9">
        <w:rPr>
          <w:rFonts w:ascii="Times New Roman" w:hAnsi="Times New Roman" w:cs="Times New Roman"/>
          <w:sz w:val="24"/>
          <w:szCs w:val="24"/>
        </w:rPr>
        <w:instrText>t (RR: 8.52, 95% CI:</w:instrText>
      </w:r>
      <w:r>
        <w:rPr>
          <w:rFonts w:ascii="Times New Roman" w:hAnsi="Times New Roman" w:cs="Times New Roman"/>
          <w:sz w:val="24"/>
          <w:szCs w:val="24"/>
        </w:rPr>
        <w:instrText xml:space="preserve"> 4.36-16.65,), invasive ventilation (RR: 6.53, 95% CI: 2.70-15.84), and disease progression (RR: 7.48, 95% CI: 1.60-35.05), cerebrovascular disease for acute respiratory distress syndrome (ARDS) (RR: 3.15, 95% CI: 1.23-8.04), coronary heart disease for cardiac abnormality (RR: 5.37, 95% CI: 1.74-16.54). Our study highlighted that the male gender, older age and comorbidities owned strong epidemiological evidence of associations with the severity and prognosis of COVID-19.","author":[{"dropping-particle":"","family":"Fang","given":"Xiaoyu","non-dropping-particle":"","parse-names":false,"suffix":""},{"dropping-particle":"","family":"Li","given":"Shen","non-dropping-particle":"","parse-names":false,"suffix":""},{"dropping-particle":"","family":"Yu","given":"Hao","non-dropping-particle":"","parse-names":false,"suffix":""},{"dropping-particle":"","family":"Wang","given"</w:instrText>
      </w:r>
      <w:r w:rsidRPr="00256C9D">
        <w:rPr>
          <w:rFonts w:ascii="Times New Roman" w:hAnsi="Times New Roman" w:cs="Times New Roman"/>
          <w:sz w:val="24"/>
          <w:szCs w:val="24"/>
        </w:rPr>
        <w:instrText>:"Penghao","non-dropping-particle":"","parse-names":false,"suffix":""},{"dropping-particle":"","family":"Zhang","given":"Yao","non-dropping-particle":"","parse-names":false,"suffix":""},{"dropping-particle":"","family":"Chen","given":"Zheng","non-dropping-particle":"","parse-names":false,"suffix":""},{"dropping-particle":"","family":"Li","given":"Yang","non-dropping-particle":"","parse-names":false,"suffix":""},{"dropping-particle":"","family":"Cheng","given":"Liqing","non-dropping-particle":"","parse-names":false,"suffix":""},{"dropping-particle":"","family":"Li","given":"Wenbin","non-dropping-particle":"","parse-names":false,"suffix":""},{"dropping-particle":"","family":"Jia","given":"Hong","non-dropping-particle":"","parse-names":false,"suffix":""},{"dropping-particle":"","family":"Ma","given":"Xiangyu","non-dropping-particle":"","parse-names":false,"suffix":""}],"container-title":"Aging","id":"ITEM-1","issue":"13","issued":{"date-parts":[["2020","7"]]},"language":"eng","page":"12493-12503","title":"Epidemiological, comorbidity factors with severity and prognosis of COVID-19: a  systematic review and meta-analysis.","type":"article-journal","volume":"12"},"uris":["http://www.mendeley.com/documents/?uuid=8c42cf6f-7426-486a-a407-7c57fc37d0ea"]}],"mendeley":{"formattedCitation":"(23)","plainTextFormattedCitation":"(23)","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(23)</w:t>
      </w:r>
      <w:r>
        <w:rPr>
          <w:rFonts w:ascii="Times New Roman" w:hAnsi="Times New Roman" w:cs="Times New Roman"/>
          <w:sz w:val="24"/>
          <w:szCs w:val="24"/>
        </w:rPr>
        <w:fldChar w:fldCharType="end"/>
      </w:r>
      <w:r w:rsidRPr="00256C9D">
        <w:rPr>
          <w:rFonts w:ascii="Times New Roman" w:hAnsi="Times New Roman" w:cs="Times New Roman"/>
          <w:sz w:val="24"/>
          <w:szCs w:val="24"/>
        </w:rPr>
        <w:t>.</w:t>
      </w:r>
    </w:p>
    <w:p w14:paraId="63EE06FF" w14:textId="657CEA4E" w:rsidR="00E822AC" w:rsidRPr="00256C9D" w:rsidRDefault="00256C9D" w:rsidP="001C6486">
      <w:pPr>
        <w:spacing w:after="0" w:line="480" w:lineRule="auto"/>
        <w:contextualSpacing/>
        <w:jc w:val="both"/>
        <w:rPr>
          <w:rFonts w:ascii="Times New Roman" w:hAnsi="Times New Roman" w:cs="Times New Roman"/>
          <w:sz w:val="24"/>
          <w:szCs w:val="24"/>
          <w:lang w:val="en-US"/>
        </w:rPr>
      </w:pPr>
      <w:r w:rsidRPr="00256C9D">
        <w:rPr>
          <w:rFonts w:ascii="Times New Roman" w:hAnsi="Times New Roman" w:cs="Times New Roman"/>
          <w:sz w:val="24"/>
          <w:szCs w:val="24"/>
        </w:rPr>
        <w:t xml:space="preserve">Los resultados de este estudio cuestionan algunas de las lógicas subyacentes de los discursos gubernamentales y de los medios de comunicación sobre el impacto transversal de la epidemia en todos los niveles de vulnerabilidad social. Como se argumentó anteriormente, la idea de que la epidemia impacta por igual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56C9D">
        <w:rPr>
          <w:rFonts w:ascii="Times New Roman" w:hAnsi="Times New Roman" w:cs="Times New Roman"/>
          <w:sz w:val="24"/>
          <w:szCs w:val="24"/>
        </w:rPr>
        <w:t xml:space="preserve">es difícil de respaldar empíricamente en el caso de CABA. La principal ventaja de este estudio, entonces, radica en la posibilidad de visibilizar las desigualdades y orientar la ponderación del impacto de la pandemia en la CABA hacia la complejidad de su determinación, encaminándola hacia las condiciones sociales de existencia </w:t>
      </w:r>
      <w:proofErr w:type="spellStart"/>
      <w:r w:rsidRPr="00256C9D">
        <w:rPr>
          <w:rFonts w:ascii="Times New Roman" w:hAnsi="Times New Roman" w:cs="Times New Roman"/>
          <w:sz w:val="24"/>
          <w:szCs w:val="24"/>
        </w:rPr>
        <w:t>invisibilizadas</w:t>
      </w:r>
      <w:proofErr w:type="spellEnd"/>
      <w:r w:rsidRPr="00256C9D">
        <w:rPr>
          <w:rFonts w:ascii="Times New Roman" w:hAnsi="Times New Roman" w:cs="Times New Roman"/>
          <w:sz w:val="24"/>
          <w:szCs w:val="24"/>
        </w:rPr>
        <w:t xml:space="preserve"> por los discursos basados ​​en la humanización del virus, metáforas del miedo y de la guerra, por ejemplo. Por otro lado, la descripción de la mortalidad a través de indicadores ajustados por edad, permitió superar el enfoque basado en indicadores per cápita, vulnerables a las estructuras demográficas como factores de confusión, como advierten </w:t>
      </w:r>
      <w:proofErr w:type="spellStart"/>
      <w:r w:rsidRPr="00256C9D">
        <w:rPr>
          <w:rFonts w:ascii="Times New Roman" w:hAnsi="Times New Roman" w:cs="Times New Roman"/>
          <w:sz w:val="24"/>
          <w:szCs w:val="24"/>
        </w:rPr>
        <w:t>Heuveline</w:t>
      </w:r>
      <w:proofErr w:type="spellEnd"/>
      <w:r w:rsidRPr="00256C9D">
        <w:rPr>
          <w:rFonts w:ascii="Times New Roman" w:hAnsi="Times New Roman" w:cs="Times New Roman"/>
          <w:sz w:val="24"/>
          <w:szCs w:val="24"/>
        </w:rPr>
        <w:t xml:space="preserve"> y </w:t>
      </w:r>
      <w:proofErr w:type="spellStart"/>
      <w:r w:rsidRPr="00256C9D">
        <w:rPr>
          <w:rFonts w:ascii="Times New Roman" w:hAnsi="Times New Roman" w:cs="Times New Roman"/>
          <w:sz w:val="24"/>
          <w:szCs w:val="24"/>
        </w:rPr>
        <w:t>Tzen</w:t>
      </w:r>
      <w:proofErr w:type="spellEnd"/>
      <w:r w:rsidRPr="00256C9D">
        <w:rPr>
          <w:rFonts w:ascii="Times New Roman" w:hAnsi="Times New Roman" w:cs="Times New Roman"/>
          <w:sz w:val="24"/>
          <w:szCs w:val="24"/>
        </w:rPr>
        <w:t xml:space="preserve"> </w:t>
      </w:r>
      <w:r w:rsidRPr="00EE0CA3">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 xml:space="preserve">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w:instrText>
      </w:r>
      <w:r>
        <w:rPr>
          <w:rFonts w:ascii="Times New Roman" w:hAnsi="Times New Roman" w:cs="Times New Roman"/>
          <w:sz w:val="24"/>
          <w:szCs w:val="24"/>
        </w:rPr>
        <w:instrText>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w:instrText>
      </w:r>
      <w:r w:rsidRPr="001C6486">
        <w:rPr>
          <w:rFonts w:ascii="Times New Roman" w:hAnsi="Times New Roman" w:cs="Times New Roman"/>
          <w:sz w:val="24"/>
          <w:szCs w:val="24"/>
          <w:lang w:val="en-US"/>
        </w:rPr>
        <w:instrText>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sidRPr="00EE0CA3">
        <w:rPr>
          <w:rFonts w:ascii="Times New Roman" w:hAnsi="Times New Roman" w:cs="Times New Roman"/>
          <w:sz w:val="24"/>
          <w:szCs w:val="24"/>
        </w:rPr>
        <w:fldChar w:fldCharType="separate"/>
      </w:r>
      <w:r w:rsidRPr="001C6486">
        <w:rPr>
          <w:rFonts w:ascii="Times New Roman" w:hAnsi="Times New Roman" w:cs="Times New Roman"/>
          <w:noProof/>
          <w:sz w:val="24"/>
          <w:szCs w:val="24"/>
          <w:lang w:val="en-US"/>
        </w:rPr>
        <w:t>(16)</w:t>
      </w:r>
      <w:r w:rsidRPr="00EE0CA3">
        <w:rPr>
          <w:rFonts w:ascii="Times New Roman" w:hAnsi="Times New Roman" w:cs="Times New Roman"/>
          <w:sz w:val="24"/>
          <w:szCs w:val="24"/>
        </w:rPr>
        <w:fldChar w:fldCharType="end"/>
      </w:r>
      <w:r w:rsidRPr="004A33B9">
        <w:rPr>
          <w:rFonts w:ascii="Times New Roman" w:hAnsi="Times New Roman" w:cs="Times New Roman"/>
          <w:sz w:val="24"/>
          <w:szCs w:val="24"/>
          <w:lang w:val="en-US"/>
        </w:rPr>
        <w:t>.</w:t>
      </w:r>
    </w:p>
    <w:p w14:paraId="3EC678AD" w14:textId="21ACC986" w:rsidR="00E822AC" w:rsidRDefault="004E6D27" w:rsidP="001C6486">
      <w:pPr>
        <w:spacing w:after="0" w:line="480" w:lineRule="auto"/>
        <w:contextualSpacing/>
        <w:jc w:val="both"/>
        <w:rPr>
          <w:rFonts w:ascii="Times New Roman" w:hAnsi="Times New Roman" w:cs="Times New Roman"/>
          <w:sz w:val="24"/>
          <w:szCs w:val="24"/>
        </w:rPr>
      </w:pPr>
      <w:r w:rsidRPr="004E6D27">
        <w:rPr>
          <w:rFonts w:ascii="Times New Roman" w:hAnsi="Times New Roman" w:cs="Times New Roman"/>
          <w:sz w:val="24"/>
          <w:szCs w:val="24"/>
        </w:rPr>
        <w:lastRenderedPageBreak/>
        <w:t xml:space="preserve">La debilidad fundamental de este estudio radica en las limitaciones de su metodología. Los estudios agregados permiten el establecimiento de hipótesis correlacionales, pero no miden factores de riesgo o causalidades a nivel individual. Entonces, los resultados son de alcance descriptivo, lo que es una limitación a la </w:t>
      </w:r>
      <w:commentRangeStart w:id="15"/>
      <w:r w:rsidRPr="004E6D27">
        <w:rPr>
          <w:rFonts w:ascii="Times New Roman" w:hAnsi="Times New Roman" w:cs="Times New Roman"/>
          <w:sz w:val="24"/>
          <w:szCs w:val="24"/>
        </w:rPr>
        <w:t xml:space="preserve">hora de diseñar intervenciones. </w:t>
      </w:r>
      <w:commentRangeEnd w:id="15"/>
      <w:r>
        <w:rPr>
          <w:rStyle w:val="Refdecomentario"/>
        </w:rPr>
        <w:commentReference w:id="15"/>
      </w:r>
      <w:r w:rsidRPr="004E6D27">
        <w:rPr>
          <w:rFonts w:ascii="Times New Roman" w:hAnsi="Times New Roman" w:cs="Times New Roman"/>
          <w:sz w:val="24"/>
          <w:szCs w:val="24"/>
        </w:rPr>
        <w:t xml:space="preserve">En este sentido, es necesario resaltar una limitación general anclada en las características de los sistemas de información en salud: los enfoques cuantitativos de la evolución de la epidemia se basan en sistemas de vigilancia epidemiológica que en muchos casos presentan problemas de cobertura </w:t>
      </w:r>
      <w:commentRangeStart w:id="16"/>
      <w:r w:rsidRPr="004E6D27">
        <w:rPr>
          <w:rFonts w:ascii="Times New Roman" w:hAnsi="Times New Roman" w:cs="Times New Roman"/>
          <w:sz w:val="24"/>
          <w:szCs w:val="24"/>
        </w:rPr>
        <w:t>e integridad</w:t>
      </w:r>
      <w:commentRangeEnd w:id="16"/>
      <w:r>
        <w:rPr>
          <w:rStyle w:val="Refdecomentario"/>
        </w:rPr>
        <w:commentReference w:id="16"/>
      </w:r>
      <w:r w:rsidRPr="004E6D27">
        <w:rPr>
          <w:rFonts w:ascii="Times New Roman" w:hAnsi="Times New Roman" w:cs="Times New Roman"/>
          <w:sz w:val="24"/>
          <w:szCs w:val="24"/>
        </w:rPr>
        <w:t xml:space="preserve">. Por otro lado, se debe tomar en cuenta </w:t>
      </w:r>
      <w:proofErr w:type="gramStart"/>
      <w:r w:rsidRPr="004E6D27">
        <w:rPr>
          <w:rFonts w:ascii="Times New Roman" w:hAnsi="Times New Roman" w:cs="Times New Roman"/>
          <w:sz w:val="24"/>
          <w:szCs w:val="24"/>
        </w:rPr>
        <w:t>que</w:t>
      </w:r>
      <w:proofErr w:type="gramEnd"/>
      <w:r w:rsidRPr="004E6D27">
        <w:rPr>
          <w:rFonts w:ascii="Times New Roman" w:hAnsi="Times New Roman" w:cs="Times New Roman"/>
          <w:sz w:val="24"/>
          <w:szCs w:val="24"/>
        </w:rPr>
        <w:t xml:space="preserve"> a lo largo de la pandemia, los estados nacionales han ido modificando las definiciones de "caso probable" y "caso confirmado", lo que impacta la capacidad de detección de los sistemas de vigilancia. Tampoco se puede ignorar que la finalidad de generar estados de datos no es la investigación, sino la vigilancia, por lo que muchas veces existen procedimientos que no están lo suficientemente depurados, como los de determinación de la causa básica de muerte o la existencia de comorbilidades.</w:t>
      </w:r>
    </w:p>
    <w:p w14:paraId="7CBBDAA4" w14:textId="77777777" w:rsidR="004E6D27" w:rsidRDefault="004E6D27" w:rsidP="001C6486">
      <w:pPr>
        <w:spacing w:after="0" w:line="480" w:lineRule="auto"/>
        <w:contextualSpacing/>
        <w:jc w:val="both"/>
        <w:rPr>
          <w:rFonts w:ascii="Times New Roman" w:hAnsi="Times New Roman" w:cs="Times New Roman"/>
          <w:sz w:val="24"/>
          <w:szCs w:val="24"/>
        </w:rPr>
      </w:pPr>
    </w:p>
    <w:p w14:paraId="75439454" w14:textId="7BA0B3C4" w:rsidR="004E6D27" w:rsidRDefault="004E6D27" w:rsidP="001C6486">
      <w:pPr>
        <w:spacing w:after="0" w:line="480" w:lineRule="auto"/>
        <w:contextualSpacing/>
        <w:jc w:val="both"/>
        <w:rPr>
          <w:rFonts w:ascii="Times New Roman" w:hAnsi="Times New Roman" w:cs="Times New Roman"/>
          <w:sz w:val="24"/>
          <w:szCs w:val="24"/>
        </w:rPr>
      </w:pPr>
      <w:commentRangeStart w:id="17"/>
      <w:r w:rsidRPr="004E6D27">
        <w:rPr>
          <w:rFonts w:ascii="Times New Roman" w:hAnsi="Times New Roman" w:cs="Times New Roman"/>
          <w:sz w:val="24"/>
          <w:szCs w:val="24"/>
        </w:rPr>
        <w:t>A XX días del inicio de la epidemia en CABA, la descripción de morbimortalidad por COVID-19 valida la idea de reforzar drásticamente las políticas públicas orientadas a garantizar el acceso a los servicios de salud, profundizando la detección, las pruebas, la asistencia y el</w:t>
      </w:r>
      <w:r>
        <w:rPr>
          <w:rFonts w:ascii="Times New Roman" w:hAnsi="Times New Roman" w:cs="Times New Roman"/>
          <w:sz w:val="24"/>
          <w:szCs w:val="24"/>
        </w:rPr>
        <w:t xml:space="preserve"> aislamiento en poblaciones que presentan </w:t>
      </w:r>
      <w:r w:rsidRPr="004E6D27">
        <w:rPr>
          <w:rFonts w:ascii="Times New Roman" w:hAnsi="Times New Roman" w:cs="Times New Roman"/>
          <w:sz w:val="24"/>
          <w:szCs w:val="24"/>
        </w:rPr>
        <w:t xml:space="preserve">condiciones </w:t>
      </w:r>
      <w:r>
        <w:rPr>
          <w:rFonts w:ascii="Times New Roman" w:hAnsi="Times New Roman" w:cs="Times New Roman"/>
          <w:sz w:val="24"/>
          <w:szCs w:val="24"/>
        </w:rPr>
        <w:t xml:space="preserve">materiales </w:t>
      </w:r>
      <w:r w:rsidRPr="004E6D27">
        <w:rPr>
          <w:rFonts w:ascii="Times New Roman" w:hAnsi="Times New Roman" w:cs="Times New Roman"/>
          <w:sz w:val="24"/>
          <w:szCs w:val="24"/>
        </w:rPr>
        <w:t>de vida</w:t>
      </w:r>
      <w:r>
        <w:rPr>
          <w:rFonts w:ascii="Times New Roman" w:hAnsi="Times New Roman" w:cs="Times New Roman"/>
          <w:sz w:val="24"/>
          <w:szCs w:val="24"/>
        </w:rPr>
        <w:t xml:space="preserve"> deficientes.</w:t>
      </w:r>
      <w:commentRangeEnd w:id="17"/>
      <w:r w:rsidR="004D6B44">
        <w:rPr>
          <w:rStyle w:val="Refdecomentario"/>
        </w:rPr>
        <w:commentReference w:id="17"/>
      </w:r>
    </w:p>
    <w:p w14:paraId="765B4AC5" w14:textId="27504F45" w:rsidR="004E6D27" w:rsidRDefault="004E6D27" w:rsidP="001C6486">
      <w:pPr>
        <w:spacing w:after="0" w:line="480" w:lineRule="auto"/>
        <w:contextualSpacing/>
        <w:jc w:val="both"/>
        <w:rPr>
          <w:rFonts w:ascii="Times New Roman" w:hAnsi="Times New Roman" w:cs="Times New Roman"/>
          <w:sz w:val="24"/>
          <w:szCs w:val="24"/>
        </w:rPr>
      </w:pPr>
    </w:p>
    <w:p w14:paraId="4EFDCC87" w14:textId="77777777" w:rsidR="004E6D27" w:rsidRPr="004E6D27" w:rsidRDefault="004E6D27" w:rsidP="001C6486">
      <w:pPr>
        <w:spacing w:after="0" w:line="480" w:lineRule="auto"/>
        <w:contextualSpacing/>
        <w:jc w:val="both"/>
        <w:rPr>
          <w:rFonts w:ascii="Times New Roman" w:hAnsi="Times New Roman" w:cs="Times New Roman"/>
          <w:sz w:val="24"/>
          <w:szCs w:val="24"/>
        </w:rPr>
      </w:pPr>
    </w:p>
    <w:p w14:paraId="5FA92679" w14:textId="5F1D66EE" w:rsidR="008C2083" w:rsidRPr="0097451B" w:rsidRDefault="008C2083" w:rsidP="001C6486">
      <w:pPr>
        <w:spacing w:after="0" w:line="480" w:lineRule="auto"/>
        <w:contextualSpacing/>
        <w:jc w:val="both"/>
        <w:rPr>
          <w:rFonts w:ascii="Times New Roman" w:hAnsi="Times New Roman" w:cs="Times New Roman"/>
          <w:b/>
          <w:sz w:val="24"/>
          <w:szCs w:val="24"/>
        </w:rPr>
      </w:pPr>
    </w:p>
    <w:sectPr w:rsidR="008C2083" w:rsidRPr="0097451B" w:rsidSect="0016684F">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elen pennini" w:date="2021-05-03T16:07:00Z" w:initials="vp">
    <w:p w14:paraId="1E4F0525" w14:textId="77777777" w:rsidR="00402F9A" w:rsidRDefault="00402F9A">
      <w:pPr>
        <w:pStyle w:val="Textocomentario"/>
      </w:pPr>
      <w:r>
        <w:rPr>
          <w:rStyle w:val="Refdecomentario"/>
        </w:rPr>
        <w:annotationRef/>
      </w:r>
      <w:r>
        <w:t xml:space="preserve">Ver si cambiar el concepto por </w:t>
      </w:r>
      <w:proofErr w:type="spellStart"/>
      <w:r>
        <w:t>mas</w:t>
      </w:r>
      <w:proofErr w:type="spellEnd"/>
      <w:r>
        <w:t xml:space="preserve"> pobres o </w:t>
      </w:r>
      <w:proofErr w:type="spellStart"/>
      <w:r>
        <w:t>mas</w:t>
      </w:r>
      <w:proofErr w:type="spellEnd"/>
      <w:r>
        <w:t xml:space="preserve"> vulnerables</w:t>
      </w:r>
    </w:p>
  </w:comment>
  <w:comment w:id="1" w:author="velen pennini" w:date="2021-05-03T16:16:00Z" w:initials="vp">
    <w:p w14:paraId="58851BE8" w14:textId="77777777" w:rsidR="00402F9A" w:rsidRDefault="00402F9A">
      <w:pPr>
        <w:pStyle w:val="Textocomentario"/>
      </w:pPr>
      <w:r>
        <w:rPr>
          <w:rStyle w:val="Refdecomentario"/>
        </w:rPr>
        <w:annotationRef/>
      </w:r>
      <w:r>
        <w:t>Chequear esto</w:t>
      </w:r>
    </w:p>
  </w:comment>
  <w:comment w:id="2" w:author="velen pennini" w:date="2021-05-03T20:51:00Z" w:initials="vp">
    <w:p w14:paraId="379943A2" w14:textId="77777777" w:rsidR="00402F9A" w:rsidRDefault="00402F9A" w:rsidP="00FF5ABB">
      <w:pPr>
        <w:pStyle w:val="Textocomentario"/>
      </w:pPr>
      <w:r>
        <w:rPr>
          <w:rStyle w:val="Refdecomentario"/>
        </w:rPr>
        <w:annotationRef/>
      </w:r>
      <w:r>
        <w:t>Generalmente fue un error en la carga del año</w:t>
      </w:r>
    </w:p>
  </w:comment>
  <w:comment w:id="3" w:author="velen pennini" w:date="2021-05-03T20:55:00Z" w:initials="vp">
    <w:p w14:paraId="0DC47599" w14:textId="77777777" w:rsidR="00402F9A" w:rsidRDefault="00402F9A">
      <w:pPr>
        <w:pStyle w:val="Textocomentario"/>
      </w:pPr>
      <w:r>
        <w:rPr>
          <w:rStyle w:val="Refdecomentario"/>
        </w:rPr>
        <w:annotationRef/>
      </w:r>
      <w:proofErr w:type="gramStart"/>
      <w:r>
        <w:t>Definirlos?</w:t>
      </w:r>
      <w:proofErr w:type="gramEnd"/>
    </w:p>
    <w:p w14:paraId="44E01698" w14:textId="77777777" w:rsidR="00402F9A" w:rsidRDefault="00402F9A">
      <w:pPr>
        <w:pStyle w:val="Textocomentario"/>
      </w:pPr>
    </w:p>
  </w:comment>
  <w:comment w:id="4" w:author="velen pennini" w:date="2021-05-03T21:44:00Z" w:initials="vp">
    <w:p w14:paraId="63CF9EE8" w14:textId="77777777" w:rsidR="00402F9A" w:rsidRDefault="00402F9A">
      <w:pPr>
        <w:pStyle w:val="Textocomentario"/>
      </w:pPr>
      <w:r>
        <w:rPr>
          <w:rStyle w:val="Refdecomentario"/>
        </w:rPr>
        <w:annotationRef/>
      </w:r>
      <w:r>
        <w:t>Ver sino poner la abreviatura del índice</w:t>
      </w:r>
    </w:p>
  </w:comment>
  <w:comment w:id="5" w:author="velen pennini" w:date="2021-05-04T00:19:00Z" w:initials="vp">
    <w:p w14:paraId="30495FF6" w14:textId="7EFC8F79" w:rsidR="00402F9A" w:rsidRDefault="00402F9A">
      <w:pPr>
        <w:pStyle w:val="Textocomentario"/>
      </w:pPr>
      <w:r>
        <w:rPr>
          <w:rStyle w:val="Refdecomentario"/>
        </w:rPr>
        <w:annotationRef/>
      </w:r>
      <w:r>
        <w:t>Esto es lo viejo, ver si poner razón de tasas.</w:t>
      </w:r>
    </w:p>
  </w:comment>
  <w:comment w:id="6" w:author="velen pennini" w:date="2021-05-04T00:46:00Z" w:initials="vp">
    <w:p w14:paraId="1ED9BAA7" w14:textId="7059A32C" w:rsidR="00402F9A" w:rsidRDefault="00402F9A">
      <w:pPr>
        <w:pStyle w:val="Textocomentario"/>
      </w:pPr>
      <w:r>
        <w:rPr>
          <w:rStyle w:val="Refdecomentario"/>
        </w:rPr>
        <w:annotationRef/>
      </w:r>
      <w:r>
        <w:t>Esto hay que actualizar</w:t>
      </w:r>
    </w:p>
  </w:comment>
  <w:comment w:id="7" w:author="velen pennini" w:date="2021-05-04T00:55:00Z" w:initials="vp">
    <w:p w14:paraId="5143F279" w14:textId="4716A335" w:rsidR="00402F9A" w:rsidRDefault="00402F9A">
      <w:pPr>
        <w:pStyle w:val="Textocomentario"/>
      </w:pPr>
      <w:r>
        <w:rPr>
          <w:rStyle w:val="Refdecomentario"/>
        </w:rPr>
        <w:annotationRef/>
      </w:r>
      <w:r>
        <w:t xml:space="preserve">No entiendo si esto es </w:t>
      </w:r>
      <w:proofErr w:type="spellStart"/>
      <w:r>
        <w:t>rme</w:t>
      </w:r>
      <w:proofErr w:type="spellEnd"/>
    </w:p>
    <w:p w14:paraId="4A801007" w14:textId="77777777" w:rsidR="00E36720" w:rsidRDefault="00E36720">
      <w:pPr>
        <w:pStyle w:val="Textocomentario"/>
      </w:pPr>
    </w:p>
    <w:p w14:paraId="392113EB" w14:textId="2DF3CC56" w:rsidR="00E36720" w:rsidRDefault="00E36720">
      <w:pPr>
        <w:pStyle w:val="Textocomentario"/>
      </w:pPr>
      <w:r w:rsidRPr="00E36720">
        <w:rPr>
          <w:highlight w:val="yellow"/>
        </w:rPr>
        <w:t xml:space="preserve">DEBE HABLAR DE LA </w:t>
      </w:r>
      <w:proofErr w:type="gramStart"/>
      <w:r w:rsidRPr="00E36720">
        <w:rPr>
          <w:highlight w:val="yellow"/>
        </w:rPr>
        <w:t>LETALIDAD</w:t>
      </w:r>
      <w:proofErr w:type="gramEnd"/>
      <w:r w:rsidRPr="00E36720">
        <w:rPr>
          <w:highlight w:val="yellow"/>
        </w:rPr>
        <w:t xml:space="preserve"> PERO EN EL PASAJE ESPAÑOL – INGLES – ESPAÑOL SE CONFUNDIO</w:t>
      </w:r>
    </w:p>
    <w:p w14:paraId="7CF2D961" w14:textId="77777777" w:rsidR="00E36720" w:rsidRDefault="00E36720">
      <w:pPr>
        <w:pStyle w:val="Textocomentario"/>
      </w:pPr>
    </w:p>
  </w:comment>
  <w:comment w:id="8" w:author="velen pennini" w:date="2021-05-04T00:54:00Z" w:initials="vp">
    <w:p w14:paraId="54D75C64" w14:textId="0B8A4BC9" w:rsidR="00402F9A" w:rsidRDefault="00402F9A">
      <w:pPr>
        <w:pStyle w:val="Textocomentario"/>
      </w:pPr>
      <w:r>
        <w:rPr>
          <w:rStyle w:val="Refdecomentario"/>
        </w:rPr>
        <w:annotationRef/>
      </w:r>
      <w:r>
        <w:t xml:space="preserve">Ver esto. Yo pondría que no se observó un patrón en relación a las zonas y a los ingresos medios por hogar. Posiblemente la baja letalidad observada en algunos distritos de menores ingresos en la zona Sur se relacione a diferentes estrategias de testeos implementadas en la ciudad según la situación epidemiológica. Un aumento en la capacidad de testeo, permite una mayor detección de casos y por tanto un descenso en la letalidad. </w:t>
      </w:r>
    </w:p>
    <w:p w14:paraId="538A2713" w14:textId="7609E18F" w:rsidR="00E36720" w:rsidRDefault="00E36720">
      <w:pPr>
        <w:pStyle w:val="Textocomentario"/>
      </w:pPr>
    </w:p>
    <w:p w14:paraId="741F2D19" w14:textId="142ACEE3" w:rsidR="00E36720" w:rsidRDefault="00E36720">
      <w:pPr>
        <w:pStyle w:val="Textocomentario"/>
      </w:pPr>
      <w:r w:rsidRPr="00E36720">
        <w:rPr>
          <w:highlight w:val="yellow"/>
        </w:rPr>
        <w:t>DEJARIA LO QUE DECIS EN LA PRIMERA ORACION DEL COMENTARIO MAS UNA PEQUEÑA DESCRIPCION DE LOS VALORES Y LA SEGUNDA ORACION (“POSIBLEMENTE…”) LA PASARIA A LA DISCUSIÓN.</w:t>
      </w:r>
    </w:p>
  </w:comment>
  <w:comment w:id="9" w:author="velen pennini" w:date="2021-05-04T01:08:00Z" w:initials="vp">
    <w:p w14:paraId="5DF85C93" w14:textId="494F88FF" w:rsidR="00402F9A" w:rsidRDefault="00402F9A">
      <w:pPr>
        <w:pStyle w:val="Textocomentario"/>
      </w:pPr>
      <w:r>
        <w:rPr>
          <w:rStyle w:val="Refdecomentario"/>
        </w:rPr>
        <w:annotationRef/>
      </w:r>
      <w:r>
        <w:t>Pensaba hacerlo por zona en lugar de por comuna a este cuadro.</w:t>
      </w:r>
    </w:p>
    <w:p w14:paraId="0B4770C3" w14:textId="4EBD9F50" w:rsidR="00E36720" w:rsidRDefault="00E36720">
      <w:pPr>
        <w:pStyle w:val="Textocomentario"/>
      </w:pPr>
    </w:p>
    <w:p w14:paraId="5B959BEC" w14:textId="198D9927" w:rsidR="00E36720" w:rsidRDefault="00E36720">
      <w:pPr>
        <w:pStyle w:val="Textocomentario"/>
      </w:pPr>
      <w:r w:rsidRPr="00E36720">
        <w:rPr>
          <w:color w:val="FF0000"/>
          <w:highlight w:val="yellow"/>
        </w:rPr>
        <w:t>LO DEJARIA POR ZONA EN UN CUADRITO Y VEMOS QUE DA, CON LOS INTERVALOS, PARA VER SI LO DEJAMOS Y COMO LO MOSTRAMOS</w:t>
      </w:r>
    </w:p>
  </w:comment>
  <w:comment w:id="11" w:author="velen pennini" w:date="2021-05-09T03:28:00Z" w:initials="vp">
    <w:p w14:paraId="649A9CA5" w14:textId="19896E9C" w:rsidR="00DF5264" w:rsidRDefault="00DF5264">
      <w:pPr>
        <w:pStyle w:val="Textocomentario"/>
      </w:pPr>
      <w:r>
        <w:rPr>
          <w:rStyle w:val="Refdecomentario"/>
        </w:rPr>
        <w:annotationRef/>
      </w:r>
      <w:r>
        <w:t>Ver cual poner</w:t>
      </w:r>
    </w:p>
  </w:comment>
  <w:comment w:id="12" w:author="velen pennini" w:date="2021-05-04T01:31:00Z" w:initials="vp">
    <w:p w14:paraId="4E9EBCBA" w14:textId="0E760F2A" w:rsidR="00402F9A" w:rsidRDefault="00402F9A">
      <w:pPr>
        <w:pStyle w:val="Textocomentario"/>
      </w:pPr>
      <w:r>
        <w:rPr>
          <w:rStyle w:val="Refdecomentario"/>
        </w:rPr>
        <w:annotationRef/>
      </w:r>
      <w:r>
        <w:t>Agregar interpretación a este grafico</w:t>
      </w:r>
    </w:p>
  </w:comment>
  <w:comment w:id="13" w:author="velen pennini" w:date="2021-05-04T01:22:00Z" w:initials="vp">
    <w:p w14:paraId="78BA9B02" w14:textId="78FCCF01" w:rsidR="00402F9A" w:rsidRDefault="00402F9A">
      <w:pPr>
        <w:pStyle w:val="Textocomentario"/>
      </w:pPr>
      <w:r>
        <w:rPr>
          <w:rStyle w:val="Refdecomentario"/>
        </w:rPr>
        <w:annotationRef/>
      </w:r>
      <w:r>
        <w:t>actualizar</w:t>
      </w:r>
    </w:p>
  </w:comment>
  <w:comment w:id="14" w:author="velen pennini" w:date="2021-05-04T01:23:00Z" w:initials="vp">
    <w:p w14:paraId="159E5A2B" w14:textId="2339B702" w:rsidR="00402F9A" w:rsidRDefault="00402F9A">
      <w:pPr>
        <w:pStyle w:val="Textocomentario"/>
      </w:pPr>
      <w:r>
        <w:rPr>
          <w:rStyle w:val="Refdecomentario"/>
        </w:rPr>
        <w:annotationRef/>
      </w:r>
      <w:r>
        <w:t>Actualizar esto con las tablas del periodo completo</w:t>
      </w:r>
    </w:p>
  </w:comment>
  <w:comment w:id="15" w:author="velen pennini" w:date="2021-05-08T22:36:00Z" w:initials="vp">
    <w:p w14:paraId="69470A02" w14:textId="1DEE30F4" w:rsidR="00402F9A" w:rsidRDefault="00402F9A">
      <w:pPr>
        <w:pStyle w:val="Textocomentario"/>
      </w:pPr>
      <w:r>
        <w:rPr>
          <w:rStyle w:val="Refdecomentario"/>
        </w:rPr>
        <w:annotationRef/>
      </w:r>
      <w:r>
        <w:t xml:space="preserve">Esto me da dudas </w:t>
      </w:r>
      <w:proofErr w:type="spellStart"/>
      <w:r>
        <w:t>porq</w:t>
      </w:r>
      <w:proofErr w:type="spellEnd"/>
      <w:r>
        <w:t xml:space="preserve"> si la intervención es poblacional </w:t>
      </w:r>
      <w:proofErr w:type="gramStart"/>
      <w:r>
        <w:t>tu objetivos</w:t>
      </w:r>
      <w:proofErr w:type="gramEnd"/>
      <w:r>
        <w:t xml:space="preserve"> puede </w:t>
      </w:r>
      <w:proofErr w:type="spellStart"/>
      <w:r>
        <w:t>se</w:t>
      </w:r>
      <w:proofErr w:type="spellEnd"/>
      <w:r>
        <w:t xml:space="preserve"> poblacional y no es un limitación,</w:t>
      </w:r>
    </w:p>
  </w:comment>
  <w:comment w:id="16" w:author="velen pennini" w:date="2021-05-08T22:38:00Z" w:initials="vp">
    <w:p w14:paraId="55D8D263" w14:textId="26A08651" w:rsidR="00402F9A" w:rsidRDefault="00402F9A">
      <w:pPr>
        <w:pStyle w:val="Textocomentario"/>
      </w:pPr>
      <w:r>
        <w:rPr>
          <w:rStyle w:val="Refdecomentario"/>
        </w:rPr>
        <w:annotationRef/>
      </w:r>
      <w:r>
        <w:t xml:space="preserve">Ver traducción. Completitud? </w:t>
      </w:r>
      <w:proofErr w:type="gramStart"/>
      <w:r>
        <w:t>Oportunidad?</w:t>
      </w:r>
      <w:proofErr w:type="gramEnd"/>
    </w:p>
  </w:comment>
  <w:comment w:id="17" w:author="velen pennini" w:date="2021-05-08T22:48:00Z" w:initials="vp">
    <w:p w14:paraId="4791CCC3" w14:textId="0B0EA0E8" w:rsidR="00402F9A" w:rsidRDefault="00402F9A">
      <w:pPr>
        <w:pStyle w:val="Textocomentario"/>
      </w:pPr>
      <w:r>
        <w:rPr>
          <w:rStyle w:val="Refdecomentario"/>
        </w:rPr>
        <w:annotationRef/>
      </w:r>
      <w:r>
        <w:t>Yo sacaría este párrafo por una cuestión de espacio, pondría las limitaciones más arriba y terminaría la discusión con el párrafo que termina con la cita 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4F0525" w15:done="0"/>
  <w15:commentEx w15:paraId="58851BE8" w15:done="0"/>
  <w15:commentEx w15:paraId="379943A2" w15:done="0"/>
  <w15:commentEx w15:paraId="44E01698" w15:done="0"/>
  <w15:commentEx w15:paraId="63CF9EE8" w15:done="0"/>
  <w15:commentEx w15:paraId="30495FF6" w15:done="0"/>
  <w15:commentEx w15:paraId="1ED9BAA7" w15:done="0"/>
  <w15:commentEx w15:paraId="7CF2D961" w15:done="0"/>
  <w15:commentEx w15:paraId="741F2D19" w15:done="0"/>
  <w15:commentEx w15:paraId="5B959BEC" w15:done="0"/>
  <w15:commentEx w15:paraId="649A9CA5" w15:done="0"/>
  <w15:commentEx w15:paraId="4E9EBCBA" w15:done="0"/>
  <w15:commentEx w15:paraId="78BA9B02" w15:done="0"/>
  <w15:commentEx w15:paraId="159E5A2B" w15:done="0"/>
  <w15:commentEx w15:paraId="69470A02" w15:done="0"/>
  <w15:commentEx w15:paraId="55D8D263" w15:done="0"/>
  <w15:commentEx w15:paraId="4791CC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elen pennini">
    <w15:presenceInfo w15:providerId="Windows Live" w15:userId="3a02ed8b2024ea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AE"/>
    <w:rsid w:val="00012ECE"/>
    <w:rsid w:val="00022331"/>
    <w:rsid w:val="00035090"/>
    <w:rsid w:val="000535B4"/>
    <w:rsid w:val="0008236E"/>
    <w:rsid w:val="00091BF9"/>
    <w:rsid w:val="0009618E"/>
    <w:rsid w:val="000B09AA"/>
    <w:rsid w:val="000E556B"/>
    <w:rsid w:val="000F093C"/>
    <w:rsid w:val="00116F68"/>
    <w:rsid w:val="0015734E"/>
    <w:rsid w:val="0016684F"/>
    <w:rsid w:val="00177BF9"/>
    <w:rsid w:val="00183AD3"/>
    <w:rsid w:val="00192B6D"/>
    <w:rsid w:val="001A23A1"/>
    <w:rsid w:val="001B0CCE"/>
    <w:rsid w:val="001C00FB"/>
    <w:rsid w:val="001C1E69"/>
    <w:rsid w:val="001C5E82"/>
    <w:rsid w:val="001C6486"/>
    <w:rsid w:val="001E7090"/>
    <w:rsid w:val="001F579D"/>
    <w:rsid w:val="002031D9"/>
    <w:rsid w:val="0021474A"/>
    <w:rsid w:val="00223AF7"/>
    <w:rsid w:val="00225DD9"/>
    <w:rsid w:val="002338BD"/>
    <w:rsid w:val="00234F1C"/>
    <w:rsid w:val="00245277"/>
    <w:rsid w:val="002476B5"/>
    <w:rsid w:val="00253AD9"/>
    <w:rsid w:val="00256C9D"/>
    <w:rsid w:val="00263576"/>
    <w:rsid w:val="00266441"/>
    <w:rsid w:val="00277F77"/>
    <w:rsid w:val="002837CC"/>
    <w:rsid w:val="00287CB8"/>
    <w:rsid w:val="00296331"/>
    <w:rsid w:val="002B7E89"/>
    <w:rsid w:val="002C273B"/>
    <w:rsid w:val="002C3BF8"/>
    <w:rsid w:val="002D0C55"/>
    <w:rsid w:val="002E77A3"/>
    <w:rsid w:val="00314B54"/>
    <w:rsid w:val="00317155"/>
    <w:rsid w:val="003212B6"/>
    <w:rsid w:val="00346BD3"/>
    <w:rsid w:val="003538C9"/>
    <w:rsid w:val="00384A8F"/>
    <w:rsid w:val="00387843"/>
    <w:rsid w:val="003A09B7"/>
    <w:rsid w:val="003A0EA5"/>
    <w:rsid w:val="003D313E"/>
    <w:rsid w:val="00402F9A"/>
    <w:rsid w:val="00405EFF"/>
    <w:rsid w:val="00450930"/>
    <w:rsid w:val="00460688"/>
    <w:rsid w:val="0047445C"/>
    <w:rsid w:val="004A0373"/>
    <w:rsid w:val="004A33B9"/>
    <w:rsid w:val="004B5A0A"/>
    <w:rsid w:val="004C307B"/>
    <w:rsid w:val="004D66F7"/>
    <w:rsid w:val="004D6B44"/>
    <w:rsid w:val="004E6D27"/>
    <w:rsid w:val="004F29CE"/>
    <w:rsid w:val="004F5494"/>
    <w:rsid w:val="005067ED"/>
    <w:rsid w:val="00511FDA"/>
    <w:rsid w:val="00530EC0"/>
    <w:rsid w:val="00534EB2"/>
    <w:rsid w:val="005640CF"/>
    <w:rsid w:val="00591312"/>
    <w:rsid w:val="005938C1"/>
    <w:rsid w:val="0059740D"/>
    <w:rsid w:val="00597760"/>
    <w:rsid w:val="005A13EF"/>
    <w:rsid w:val="005C36FF"/>
    <w:rsid w:val="00604D56"/>
    <w:rsid w:val="00613314"/>
    <w:rsid w:val="00620FDF"/>
    <w:rsid w:val="00623FAD"/>
    <w:rsid w:val="00624D5A"/>
    <w:rsid w:val="00625B25"/>
    <w:rsid w:val="0063065E"/>
    <w:rsid w:val="006413AE"/>
    <w:rsid w:val="00642538"/>
    <w:rsid w:val="006667C1"/>
    <w:rsid w:val="006A0045"/>
    <w:rsid w:val="006B4853"/>
    <w:rsid w:val="006D0323"/>
    <w:rsid w:val="006D3722"/>
    <w:rsid w:val="006D6DC4"/>
    <w:rsid w:val="006E368F"/>
    <w:rsid w:val="006F5DB8"/>
    <w:rsid w:val="00706CCD"/>
    <w:rsid w:val="00726E11"/>
    <w:rsid w:val="00737A37"/>
    <w:rsid w:val="0076493B"/>
    <w:rsid w:val="007905F6"/>
    <w:rsid w:val="00791F2D"/>
    <w:rsid w:val="007927B0"/>
    <w:rsid w:val="007A69FA"/>
    <w:rsid w:val="007A7EEE"/>
    <w:rsid w:val="008005A0"/>
    <w:rsid w:val="008207A5"/>
    <w:rsid w:val="0083747C"/>
    <w:rsid w:val="00837D3B"/>
    <w:rsid w:val="00842BAA"/>
    <w:rsid w:val="00844E03"/>
    <w:rsid w:val="008533FA"/>
    <w:rsid w:val="0086600D"/>
    <w:rsid w:val="008748ED"/>
    <w:rsid w:val="008A48B8"/>
    <w:rsid w:val="008C2083"/>
    <w:rsid w:val="008D1911"/>
    <w:rsid w:val="008F0A49"/>
    <w:rsid w:val="0094227B"/>
    <w:rsid w:val="0097451B"/>
    <w:rsid w:val="009A0571"/>
    <w:rsid w:val="009A11C8"/>
    <w:rsid w:val="009D1D54"/>
    <w:rsid w:val="009D32F7"/>
    <w:rsid w:val="009F3E07"/>
    <w:rsid w:val="00A00385"/>
    <w:rsid w:val="00A306DB"/>
    <w:rsid w:val="00A463E3"/>
    <w:rsid w:val="00A53250"/>
    <w:rsid w:val="00A82D02"/>
    <w:rsid w:val="00A92254"/>
    <w:rsid w:val="00A92FDD"/>
    <w:rsid w:val="00AA2A3F"/>
    <w:rsid w:val="00AA54C9"/>
    <w:rsid w:val="00AA6101"/>
    <w:rsid w:val="00AC5E4E"/>
    <w:rsid w:val="00AD2E4B"/>
    <w:rsid w:val="00AF4DEB"/>
    <w:rsid w:val="00B045C6"/>
    <w:rsid w:val="00B04F32"/>
    <w:rsid w:val="00B066BE"/>
    <w:rsid w:val="00B22020"/>
    <w:rsid w:val="00B3511A"/>
    <w:rsid w:val="00B43A3F"/>
    <w:rsid w:val="00B44245"/>
    <w:rsid w:val="00B53C63"/>
    <w:rsid w:val="00B66534"/>
    <w:rsid w:val="00B66F20"/>
    <w:rsid w:val="00B67051"/>
    <w:rsid w:val="00B76043"/>
    <w:rsid w:val="00B7671A"/>
    <w:rsid w:val="00B831B9"/>
    <w:rsid w:val="00B86978"/>
    <w:rsid w:val="00BA5397"/>
    <w:rsid w:val="00BC62E4"/>
    <w:rsid w:val="00C22846"/>
    <w:rsid w:val="00C27F56"/>
    <w:rsid w:val="00C375D7"/>
    <w:rsid w:val="00C43D50"/>
    <w:rsid w:val="00C62971"/>
    <w:rsid w:val="00C907FC"/>
    <w:rsid w:val="00C96D26"/>
    <w:rsid w:val="00CC68D8"/>
    <w:rsid w:val="00CD6A34"/>
    <w:rsid w:val="00CE656D"/>
    <w:rsid w:val="00CE7BAA"/>
    <w:rsid w:val="00CF09FC"/>
    <w:rsid w:val="00CF34EC"/>
    <w:rsid w:val="00CF6871"/>
    <w:rsid w:val="00D11846"/>
    <w:rsid w:val="00D15315"/>
    <w:rsid w:val="00D262C9"/>
    <w:rsid w:val="00D510C0"/>
    <w:rsid w:val="00D51DF5"/>
    <w:rsid w:val="00D53805"/>
    <w:rsid w:val="00D57FBD"/>
    <w:rsid w:val="00D66AFE"/>
    <w:rsid w:val="00D7685A"/>
    <w:rsid w:val="00D93573"/>
    <w:rsid w:val="00DB620B"/>
    <w:rsid w:val="00DD6046"/>
    <w:rsid w:val="00DE13F5"/>
    <w:rsid w:val="00DE3FAB"/>
    <w:rsid w:val="00DF0D82"/>
    <w:rsid w:val="00DF13D6"/>
    <w:rsid w:val="00DF5264"/>
    <w:rsid w:val="00E0436D"/>
    <w:rsid w:val="00E17D1B"/>
    <w:rsid w:val="00E334CD"/>
    <w:rsid w:val="00E36720"/>
    <w:rsid w:val="00E6015C"/>
    <w:rsid w:val="00E75EC3"/>
    <w:rsid w:val="00E8197C"/>
    <w:rsid w:val="00E822AC"/>
    <w:rsid w:val="00E86067"/>
    <w:rsid w:val="00EB6BA4"/>
    <w:rsid w:val="00EE0CA3"/>
    <w:rsid w:val="00EE64E1"/>
    <w:rsid w:val="00EF1DA0"/>
    <w:rsid w:val="00EF2B6B"/>
    <w:rsid w:val="00EF4196"/>
    <w:rsid w:val="00F138DB"/>
    <w:rsid w:val="00F35E47"/>
    <w:rsid w:val="00F53972"/>
    <w:rsid w:val="00F71983"/>
    <w:rsid w:val="00F952D7"/>
    <w:rsid w:val="00F95E60"/>
    <w:rsid w:val="00FD1227"/>
    <w:rsid w:val="00FD1870"/>
    <w:rsid w:val="00FD22CD"/>
    <w:rsid w:val="00FD4BEA"/>
    <w:rsid w:val="00FD537F"/>
    <w:rsid w:val="00FF1032"/>
    <w:rsid w:val="00FF5A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EE40"/>
  <w15:docId w15:val="{4CB4051C-7EA2-4DA2-ADDD-9D4C5E2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22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254"/>
    <w:rPr>
      <w:rFonts w:ascii="Tahoma" w:hAnsi="Tahoma" w:cs="Tahoma"/>
      <w:sz w:val="16"/>
      <w:szCs w:val="16"/>
    </w:rPr>
  </w:style>
  <w:style w:type="character" w:styleId="Refdecomentario">
    <w:name w:val="annotation reference"/>
    <w:basedOn w:val="Fuentedeprrafopredeter"/>
    <w:uiPriority w:val="99"/>
    <w:semiHidden/>
    <w:unhideWhenUsed/>
    <w:rsid w:val="00EF4196"/>
    <w:rPr>
      <w:sz w:val="16"/>
      <w:szCs w:val="16"/>
    </w:rPr>
  </w:style>
  <w:style w:type="paragraph" w:styleId="Textocomentario">
    <w:name w:val="annotation text"/>
    <w:basedOn w:val="Normal"/>
    <w:link w:val="TextocomentarioCar"/>
    <w:uiPriority w:val="99"/>
    <w:semiHidden/>
    <w:unhideWhenUsed/>
    <w:rsid w:val="00EF41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4196"/>
    <w:rPr>
      <w:sz w:val="20"/>
      <w:szCs w:val="20"/>
    </w:rPr>
  </w:style>
  <w:style w:type="paragraph" w:styleId="Asuntodelcomentario">
    <w:name w:val="annotation subject"/>
    <w:basedOn w:val="Textocomentario"/>
    <w:next w:val="Textocomentario"/>
    <w:link w:val="AsuntodelcomentarioCar"/>
    <w:uiPriority w:val="99"/>
    <w:semiHidden/>
    <w:unhideWhenUsed/>
    <w:rsid w:val="00EF4196"/>
    <w:rPr>
      <w:b/>
      <w:bCs/>
    </w:rPr>
  </w:style>
  <w:style w:type="character" w:customStyle="1" w:styleId="AsuntodelcomentarioCar">
    <w:name w:val="Asunto del comentario Car"/>
    <w:basedOn w:val="TextocomentarioCar"/>
    <w:link w:val="Asuntodelcomentario"/>
    <w:uiPriority w:val="99"/>
    <w:semiHidden/>
    <w:rsid w:val="00EF41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218">
      <w:marLeft w:val="0"/>
      <w:marRight w:val="136"/>
      <w:marTop w:val="0"/>
      <w:marBottom w:val="0"/>
      <w:divBdr>
        <w:top w:val="none" w:sz="0" w:space="0" w:color="auto"/>
        <w:left w:val="none" w:sz="0" w:space="0" w:color="auto"/>
        <w:bottom w:val="none" w:sz="0" w:space="0" w:color="auto"/>
        <w:right w:val="none" w:sz="0" w:space="0" w:color="auto"/>
      </w:divBdr>
    </w:div>
    <w:div w:id="5518021">
      <w:marLeft w:val="0"/>
      <w:marRight w:val="136"/>
      <w:marTop w:val="0"/>
      <w:marBottom w:val="0"/>
      <w:divBdr>
        <w:top w:val="none" w:sz="0" w:space="0" w:color="auto"/>
        <w:left w:val="none" w:sz="0" w:space="0" w:color="auto"/>
        <w:bottom w:val="none" w:sz="0" w:space="0" w:color="auto"/>
        <w:right w:val="none" w:sz="0" w:space="0" w:color="auto"/>
      </w:divBdr>
      <w:divsChild>
        <w:div w:id="114755257">
          <w:marLeft w:val="0"/>
          <w:marRight w:val="136"/>
          <w:marTop w:val="0"/>
          <w:marBottom w:val="0"/>
          <w:divBdr>
            <w:top w:val="none" w:sz="0" w:space="0" w:color="auto"/>
            <w:left w:val="none" w:sz="0" w:space="0" w:color="auto"/>
            <w:bottom w:val="none" w:sz="0" w:space="0" w:color="auto"/>
            <w:right w:val="none" w:sz="0" w:space="0" w:color="auto"/>
          </w:divBdr>
        </w:div>
      </w:divsChild>
    </w:div>
    <w:div w:id="37900600">
      <w:marLeft w:val="0"/>
      <w:marRight w:val="136"/>
      <w:marTop w:val="0"/>
      <w:marBottom w:val="0"/>
      <w:divBdr>
        <w:top w:val="none" w:sz="0" w:space="0" w:color="auto"/>
        <w:left w:val="none" w:sz="0" w:space="0" w:color="auto"/>
        <w:bottom w:val="none" w:sz="0" w:space="0" w:color="auto"/>
        <w:right w:val="none" w:sz="0" w:space="0" w:color="auto"/>
      </w:divBdr>
      <w:divsChild>
        <w:div w:id="1385133341">
          <w:marLeft w:val="0"/>
          <w:marRight w:val="136"/>
          <w:marTop w:val="0"/>
          <w:marBottom w:val="0"/>
          <w:divBdr>
            <w:top w:val="none" w:sz="0" w:space="0" w:color="auto"/>
            <w:left w:val="none" w:sz="0" w:space="0" w:color="auto"/>
            <w:bottom w:val="none" w:sz="0" w:space="0" w:color="auto"/>
            <w:right w:val="none" w:sz="0" w:space="0" w:color="auto"/>
          </w:divBdr>
        </w:div>
      </w:divsChild>
    </w:div>
    <w:div w:id="45033446">
      <w:marLeft w:val="0"/>
      <w:marRight w:val="136"/>
      <w:marTop w:val="0"/>
      <w:marBottom w:val="0"/>
      <w:divBdr>
        <w:top w:val="none" w:sz="0" w:space="0" w:color="auto"/>
        <w:left w:val="none" w:sz="0" w:space="0" w:color="auto"/>
        <w:bottom w:val="none" w:sz="0" w:space="0" w:color="auto"/>
        <w:right w:val="none" w:sz="0" w:space="0" w:color="auto"/>
      </w:divBdr>
    </w:div>
    <w:div w:id="55864197">
      <w:bodyDiv w:val="1"/>
      <w:marLeft w:val="0"/>
      <w:marRight w:val="0"/>
      <w:marTop w:val="0"/>
      <w:marBottom w:val="0"/>
      <w:divBdr>
        <w:top w:val="none" w:sz="0" w:space="0" w:color="auto"/>
        <w:left w:val="none" w:sz="0" w:space="0" w:color="auto"/>
        <w:bottom w:val="none" w:sz="0" w:space="0" w:color="auto"/>
        <w:right w:val="none" w:sz="0" w:space="0" w:color="auto"/>
      </w:divBdr>
    </w:div>
    <w:div w:id="78916652">
      <w:marLeft w:val="0"/>
      <w:marRight w:val="136"/>
      <w:marTop w:val="0"/>
      <w:marBottom w:val="0"/>
      <w:divBdr>
        <w:top w:val="none" w:sz="0" w:space="0" w:color="auto"/>
        <w:left w:val="none" w:sz="0" w:space="0" w:color="auto"/>
        <w:bottom w:val="none" w:sz="0" w:space="0" w:color="auto"/>
        <w:right w:val="none" w:sz="0" w:space="0" w:color="auto"/>
      </w:divBdr>
      <w:divsChild>
        <w:div w:id="580215345">
          <w:marLeft w:val="0"/>
          <w:marRight w:val="136"/>
          <w:marTop w:val="0"/>
          <w:marBottom w:val="0"/>
          <w:divBdr>
            <w:top w:val="none" w:sz="0" w:space="0" w:color="auto"/>
            <w:left w:val="none" w:sz="0" w:space="0" w:color="auto"/>
            <w:bottom w:val="none" w:sz="0" w:space="0" w:color="auto"/>
            <w:right w:val="none" w:sz="0" w:space="0" w:color="auto"/>
          </w:divBdr>
        </w:div>
      </w:divsChild>
    </w:div>
    <w:div w:id="108204855">
      <w:marLeft w:val="0"/>
      <w:marRight w:val="136"/>
      <w:marTop w:val="0"/>
      <w:marBottom w:val="0"/>
      <w:divBdr>
        <w:top w:val="none" w:sz="0" w:space="0" w:color="auto"/>
        <w:left w:val="none" w:sz="0" w:space="0" w:color="auto"/>
        <w:bottom w:val="none" w:sz="0" w:space="0" w:color="auto"/>
        <w:right w:val="none" w:sz="0" w:space="0" w:color="auto"/>
      </w:divBdr>
    </w:div>
    <w:div w:id="264732586">
      <w:bodyDiv w:val="1"/>
      <w:marLeft w:val="0"/>
      <w:marRight w:val="0"/>
      <w:marTop w:val="0"/>
      <w:marBottom w:val="0"/>
      <w:divBdr>
        <w:top w:val="none" w:sz="0" w:space="0" w:color="auto"/>
        <w:left w:val="none" w:sz="0" w:space="0" w:color="auto"/>
        <w:bottom w:val="none" w:sz="0" w:space="0" w:color="auto"/>
        <w:right w:val="none" w:sz="0" w:space="0" w:color="auto"/>
      </w:divBdr>
    </w:div>
    <w:div w:id="293099494">
      <w:bodyDiv w:val="1"/>
      <w:marLeft w:val="0"/>
      <w:marRight w:val="0"/>
      <w:marTop w:val="0"/>
      <w:marBottom w:val="0"/>
      <w:divBdr>
        <w:top w:val="none" w:sz="0" w:space="0" w:color="auto"/>
        <w:left w:val="none" w:sz="0" w:space="0" w:color="auto"/>
        <w:bottom w:val="none" w:sz="0" w:space="0" w:color="auto"/>
        <w:right w:val="none" w:sz="0" w:space="0" w:color="auto"/>
      </w:divBdr>
    </w:div>
    <w:div w:id="335810894">
      <w:bodyDiv w:val="1"/>
      <w:marLeft w:val="0"/>
      <w:marRight w:val="0"/>
      <w:marTop w:val="0"/>
      <w:marBottom w:val="0"/>
      <w:divBdr>
        <w:top w:val="none" w:sz="0" w:space="0" w:color="auto"/>
        <w:left w:val="none" w:sz="0" w:space="0" w:color="auto"/>
        <w:bottom w:val="none" w:sz="0" w:space="0" w:color="auto"/>
        <w:right w:val="none" w:sz="0" w:space="0" w:color="auto"/>
      </w:divBdr>
    </w:div>
    <w:div w:id="386299928">
      <w:marLeft w:val="0"/>
      <w:marRight w:val="136"/>
      <w:marTop w:val="0"/>
      <w:marBottom w:val="0"/>
      <w:divBdr>
        <w:top w:val="none" w:sz="0" w:space="0" w:color="auto"/>
        <w:left w:val="none" w:sz="0" w:space="0" w:color="auto"/>
        <w:bottom w:val="none" w:sz="0" w:space="0" w:color="auto"/>
        <w:right w:val="none" w:sz="0" w:space="0" w:color="auto"/>
      </w:divBdr>
      <w:divsChild>
        <w:div w:id="1020275672">
          <w:marLeft w:val="0"/>
          <w:marRight w:val="136"/>
          <w:marTop w:val="0"/>
          <w:marBottom w:val="0"/>
          <w:divBdr>
            <w:top w:val="none" w:sz="0" w:space="0" w:color="auto"/>
            <w:left w:val="none" w:sz="0" w:space="0" w:color="auto"/>
            <w:bottom w:val="none" w:sz="0" w:space="0" w:color="auto"/>
            <w:right w:val="none" w:sz="0" w:space="0" w:color="auto"/>
          </w:divBdr>
        </w:div>
      </w:divsChild>
    </w:div>
    <w:div w:id="397242044">
      <w:marLeft w:val="0"/>
      <w:marRight w:val="136"/>
      <w:marTop w:val="0"/>
      <w:marBottom w:val="0"/>
      <w:divBdr>
        <w:top w:val="none" w:sz="0" w:space="0" w:color="auto"/>
        <w:left w:val="none" w:sz="0" w:space="0" w:color="auto"/>
        <w:bottom w:val="none" w:sz="0" w:space="0" w:color="auto"/>
        <w:right w:val="none" w:sz="0" w:space="0" w:color="auto"/>
      </w:divBdr>
      <w:divsChild>
        <w:div w:id="1803767027">
          <w:marLeft w:val="0"/>
          <w:marRight w:val="136"/>
          <w:marTop w:val="0"/>
          <w:marBottom w:val="0"/>
          <w:divBdr>
            <w:top w:val="none" w:sz="0" w:space="0" w:color="auto"/>
            <w:left w:val="none" w:sz="0" w:space="0" w:color="auto"/>
            <w:bottom w:val="none" w:sz="0" w:space="0" w:color="auto"/>
            <w:right w:val="none" w:sz="0" w:space="0" w:color="auto"/>
          </w:divBdr>
        </w:div>
      </w:divsChild>
    </w:div>
    <w:div w:id="404186922">
      <w:marLeft w:val="0"/>
      <w:marRight w:val="136"/>
      <w:marTop w:val="0"/>
      <w:marBottom w:val="0"/>
      <w:divBdr>
        <w:top w:val="none" w:sz="0" w:space="0" w:color="auto"/>
        <w:left w:val="none" w:sz="0" w:space="0" w:color="auto"/>
        <w:bottom w:val="none" w:sz="0" w:space="0" w:color="auto"/>
        <w:right w:val="none" w:sz="0" w:space="0" w:color="auto"/>
      </w:divBdr>
      <w:divsChild>
        <w:div w:id="2141412569">
          <w:marLeft w:val="0"/>
          <w:marRight w:val="136"/>
          <w:marTop w:val="0"/>
          <w:marBottom w:val="0"/>
          <w:divBdr>
            <w:top w:val="none" w:sz="0" w:space="0" w:color="auto"/>
            <w:left w:val="none" w:sz="0" w:space="0" w:color="auto"/>
            <w:bottom w:val="none" w:sz="0" w:space="0" w:color="auto"/>
            <w:right w:val="none" w:sz="0" w:space="0" w:color="auto"/>
          </w:divBdr>
        </w:div>
      </w:divsChild>
    </w:div>
    <w:div w:id="409470716">
      <w:marLeft w:val="0"/>
      <w:marRight w:val="136"/>
      <w:marTop w:val="0"/>
      <w:marBottom w:val="0"/>
      <w:divBdr>
        <w:top w:val="none" w:sz="0" w:space="0" w:color="auto"/>
        <w:left w:val="none" w:sz="0" w:space="0" w:color="auto"/>
        <w:bottom w:val="none" w:sz="0" w:space="0" w:color="auto"/>
        <w:right w:val="none" w:sz="0" w:space="0" w:color="auto"/>
      </w:divBdr>
    </w:div>
    <w:div w:id="470950862">
      <w:marLeft w:val="0"/>
      <w:marRight w:val="136"/>
      <w:marTop w:val="0"/>
      <w:marBottom w:val="0"/>
      <w:divBdr>
        <w:top w:val="none" w:sz="0" w:space="0" w:color="auto"/>
        <w:left w:val="none" w:sz="0" w:space="0" w:color="auto"/>
        <w:bottom w:val="none" w:sz="0" w:space="0" w:color="auto"/>
        <w:right w:val="none" w:sz="0" w:space="0" w:color="auto"/>
      </w:divBdr>
      <w:divsChild>
        <w:div w:id="1801072530">
          <w:marLeft w:val="0"/>
          <w:marRight w:val="136"/>
          <w:marTop w:val="0"/>
          <w:marBottom w:val="0"/>
          <w:divBdr>
            <w:top w:val="none" w:sz="0" w:space="0" w:color="auto"/>
            <w:left w:val="none" w:sz="0" w:space="0" w:color="auto"/>
            <w:bottom w:val="none" w:sz="0" w:space="0" w:color="auto"/>
            <w:right w:val="none" w:sz="0" w:space="0" w:color="auto"/>
          </w:divBdr>
        </w:div>
      </w:divsChild>
    </w:div>
    <w:div w:id="494340592">
      <w:marLeft w:val="0"/>
      <w:marRight w:val="136"/>
      <w:marTop w:val="0"/>
      <w:marBottom w:val="0"/>
      <w:divBdr>
        <w:top w:val="none" w:sz="0" w:space="0" w:color="auto"/>
        <w:left w:val="none" w:sz="0" w:space="0" w:color="auto"/>
        <w:bottom w:val="none" w:sz="0" w:space="0" w:color="auto"/>
        <w:right w:val="none" w:sz="0" w:space="0" w:color="auto"/>
      </w:divBdr>
      <w:divsChild>
        <w:div w:id="1335454575">
          <w:marLeft w:val="0"/>
          <w:marRight w:val="136"/>
          <w:marTop w:val="0"/>
          <w:marBottom w:val="0"/>
          <w:divBdr>
            <w:top w:val="none" w:sz="0" w:space="0" w:color="auto"/>
            <w:left w:val="none" w:sz="0" w:space="0" w:color="auto"/>
            <w:bottom w:val="none" w:sz="0" w:space="0" w:color="auto"/>
            <w:right w:val="none" w:sz="0" w:space="0" w:color="auto"/>
          </w:divBdr>
        </w:div>
      </w:divsChild>
    </w:div>
    <w:div w:id="498471681">
      <w:bodyDiv w:val="1"/>
      <w:marLeft w:val="0"/>
      <w:marRight w:val="0"/>
      <w:marTop w:val="0"/>
      <w:marBottom w:val="0"/>
      <w:divBdr>
        <w:top w:val="none" w:sz="0" w:space="0" w:color="auto"/>
        <w:left w:val="none" w:sz="0" w:space="0" w:color="auto"/>
        <w:bottom w:val="none" w:sz="0" w:space="0" w:color="auto"/>
        <w:right w:val="none" w:sz="0" w:space="0" w:color="auto"/>
      </w:divBdr>
    </w:div>
    <w:div w:id="517233920">
      <w:marLeft w:val="0"/>
      <w:marRight w:val="136"/>
      <w:marTop w:val="0"/>
      <w:marBottom w:val="0"/>
      <w:divBdr>
        <w:top w:val="none" w:sz="0" w:space="0" w:color="auto"/>
        <w:left w:val="none" w:sz="0" w:space="0" w:color="auto"/>
        <w:bottom w:val="none" w:sz="0" w:space="0" w:color="auto"/>
        <w:right w:val="none" w:sz="0" w:space="0" w:color="auto"/>
      </w:divBdr>
      <w:divsChild>
        <w:div w:id="1447037506">
          <w:marLeft w:val="0"/>
          <w:marRight w:val="136"/>
          <w:marTop w:val="0"/>
          <w:marBottom w:val="0"/>
          <w:divBdr>
            <w:top w:val="none" w:sz="0" w:space="0" w:color="auto"/>
            <w:left w:val="none" w:sz="0" w:space="0" w:color="auto"/>
            <w:bottom w:val="none" w:sz="0" w:space="0" w:color="auto"/>
            <w:right w:val="none" w:sz="0" w:space="0" w:color="auto"/>
          </w:divBdr>
        </w:div>
      </w:divsChild>
    </w:div>
    <w:div w:id="563878143">
      <w:bodyDiv w:val="1"/>
      <w:marLeft w:val="0"/>
      <w:marRight w:val="0"/>
      <w:marTop w:val="0"/>
      <w:marBottom w:val="0"/>
      <w:divBdr>
        <w:top w:val="none" w:sz="0" w:space="0" w:color="auto"/>
        <w:left w:val="none" w:sz="0" w:space="0" w:color="auto"/>
        <w:bottom w:val="none" w:sz="0" w:space="0" w:color="auto"/>
        <w:right w:val="none" w:sz="0" w:space="0" w:color="auto"/>
      </w:divBdr>
    </w:div>
    <w:div w:id="578172435">
      <w:marLeft w:val="0"/>
      <w:marRight w:val="136"/>
      <w:marTop w:val="0"/>
      <w:marBottom w:val="0"/>
      <w:divBdr>
        <w:top w:val="none" w:sz="0" w:space="0" w:color="auto"/>
        <w:left w:val="none" w:sz="0" w:space="0" w:color="auto"/>
        <w:bottom w:val="none" w:sz="0" w:space="0" w:color="auto"/>
        <w:right w:val="none" w:sz="0" w:space="0" w:color="auto"/>
      </w:divBdr>
      <w:divsChild>
        <w:div w:id="1658143736">
          <w:marLeft w:val="0"/>
          <w:marRight w:val="136"/>
          <w:marTop w:val="0"/>
          <w:marBottom w:val="0"/>
          <w:divBdr>
            <w:top w:val="none" w:sz="0" w:space="0" w:color="auto"/>
            <w:left w:val="none" w:sz="0" w:space="0" w:color="auto"/>
            <w:bottom w:val="none" w:sz="0" w:space="0" w:color="auto"/>
            <w:right w:val="none" w:sz="0" w:space="0" w:color="auto"/>
          </w:divBdr>
        </w:div>
      </w:divsChild>
    </w:div>
    <w:div w:id="585924028">
      <w:bodyDiv w:val="1"/>
      <w:marLeft w:val="0"/>
      <w:marRight w:val="0"/>
      <w:marTop w:val="0"/>
      <w:marBottom w:val="0"/>
      <w:divBdr>
        <w:top w:val="none" w:sz="0" w:space="0" w:color="auto"/>
        <w:left w:val="none" w:sz="0" w:space="0" w:color="auto"/>
        <w:bottom w:val="none" w:sz="0" w:space="0" w:color="auto"/>
        <w:right w:val="none" w:sz="0" w:space="0" w:color="auto"/>
      </w:divBdr>
    </w:div>
    <w:div w:id="608317937">
      <w:bodyDiv w:val="1"/>
      <w:marLeft w:val="0"/>
      <w:marRight w:val="0"/>
      <w:marTop w:val="0"/>
      <w:marBottom w:val="0"/>
      <w:divBdr>
        <w:top w:val="none" w:sz="0" w:space="0" w:color="auto"/>
        <w:left w:val="none" w:sz="0" w:space="0" w:color="auto"/>
        <w:bottom w:val="none" w:sz="0" w:space="0" w:color="auto"/>
        <w:right w:val="none" w:sz="0" w:space="0" w:color="auto"/>
      </w:divBdr>
    </w:div>
    <w:div w:id="616105063">
      <w:marLeft w:val="0"/>
      <w:marRight w:val="136"/>
      <w:marTop w:val="0"/>
      <w:marBottom w:val="0"/>
      <w:divBdr>
        <w:top w:val="none" w:sz="0" w:space="0" w:color="auto"/>
        <w:left w:val="none" w:sz="0" w:space="0" w:color="auto"/>
        <w:bottom w:val="none" w:sz="0" w:space="0" w:color="auto"/>
        <w:right w:val="none" w:sz="0" w:space="0" w:color="auto"/>
      </w:divBdr>
    </w:div>
    <w:div w:id="641663128">
      <w:bodyDiv w:val="1"/>
      <w:marLeft w:val="0"/>
      <w:marRight w:val="0"/>
      <w:marTop w:val="0"/>
      <w:marBottom w:val="0"/>
      <w:divBdr>
        <w:top w:val="none" w:sz="0" w:space="0" w:color="auto"/>
        <w:left w:val="none" w:sz="0" w:space="0" w:color="auto"/>
        <w:bottom w:val="none" w:sz="0" w:space="0" w:color="auto"/>
        <w:right w:val="none" w:sz="0" w:space="0" w:color="auto"/>
      </w:divBdr>
    </w:div>
    <w:div w:id="642202592">
      <w:bodyDiv w:val="1"/>
      <w:marLeft w:val="0"/>
      <w:marRight w:val="0"/>
      <w:marTop w:val="0"/>
      <w:marBottom w:val="0"/>
      <w:divBdr>
        <w:top w:val="none" w:sz="0" w:space="0" w:color="auto"/>
        <w:left w:val="none" w:sz="0" w:space="0" w:color="auto"/>
        <w:bottom w:val="none" w:sz="0" w:space="0" w:color="auto"/>
        <w:right w:val="none" w:sz="0" w:space="0" w:color="auto"/>
      </w:divBdr>
    </w:div>
    <w:div w:id="656803559">
      <w:marLeft w:val="0"/>
      <w:marRight w:val="136"/>
      <w:marTop w:val="0"/>
      <w:marBottom w:val="0"/>
      <w:divBdr>
        <w:top w:val="none" w:sz="0" w:space="0" w:color="auto"/>
        <w:left w:val="none" w:sz="0" w:space="0" w:color="auto"/>
        <w:bottom w:val="none" w:sz="0" w:space="0" w:color="auto"/>
        <w:right w:val="none" w:sz="0" w:space="0" w:color="auto"/>
      </w:divBdr>
      <w:divsChild>
        <w:div w:id="1985886533">
          <w:marLeft w:val="0"/>
          <w:marRight w:val="136"/>
          <w:marTop w:val="0"/>
          <w:marBottom w:val="0"/>
          <w:divBdr>
            <w:top w:val="none" w:sz="0" w:space="0" w:color="auto"/>
            <w:left w:val="none" w:sz="0" w:space="0" w:color="auto"/>
            <w:bottom w:val="none" w:sz="0" w:space="0" w:color="auto"/>
            <w:right w:val="none" w:sz="0" w:space="0" w:color="auto"/>
          </w:divBdr>
        </w:div>
      </w:divsChild>
    </w:div>
    <w:div w:id="657420308">
      <w:marLeft w:val="0"/>
      <w:marRight w:val="136"/>
      <w:marTop w:val="0"/>
      <w:marBottom w:val="0"/>
      <w:divBdr>
        <w:top w:val="none" w:sz="0" w:space="0" w:color="auto"/>
        <w:left w:val="none" w:sz="0" w:space="0" w:color="auto"/>
        <w:bottom w:val="none" w:sz="0" w:space="0" w:color="auto"/>
        <w:right w:val="none" w:sz="0" w:space="0" w:color="auto"/>
      </w:divBdr>
    </w:div>
    <w:div w:id="663778684">
      <w:bodyDiv w:val="1"/>
      <w:marLeft w:val="0"/>
      <w:marRight w:val="0"/>
      <w:marTop w:val="0"/>
      <w:marBottom w:val="0"/>
      <w:divBdr>
        <w:top w:val="none" w:sz="0" w:space="0" w:color="auto"/>
        <w:left w:val="none" w:sz="0" w:space="0" w:color="auto"/>
        <w:bottom w:val="none" w:sz="0" w:space="0" w:color="auto"/>
        <w:right w:val="none" w:sz="0" w:space="0" w:color="auto"/>
      </w:divBdr>
    </w:div>
    <w:div w:id="664017327">
      <w:marLeft w:val="0"/>
      <w:marRight w:val="136"/>
      <w:marTop w:val="0"/>
      <w:marBottom w:val="0"/>
      <w:divBdr>
        <w:top w:val="none" w:sz="0" w:space="0" w:color="auto"/>
        <w:left w:val="none" w:sz="0" w:space="0" w:color="auto"/>
        <w:bottom w:val="none" w:sz="0" w:space="0" w:color="auto"/>
        <w:right w:val="none" w:sz="0" w:space="0" w:color="auto"/>
      </w:divBdr>
    </w:div>
    <w:div w:id="691536581">
      <w:marLeft w:val="0"/>
      <w:marRight w:val="136"/>
      <w:marTop w:val="0"/>
      <w:marBottom w:val="0"/>
      <w:divBdr>
        <w:top w:val="none" w:sz="0" w:space="0" w:color="auto"/>
        <w:left w:val="none" w:sz="0" w:space="0" w:color="auto"/>
        <w:bottom w:val="none" w:sz="0" w:space="0" w:color="auto"/>
        <w:right w:val="none" w:sz="0" w:space="0" w:color="auto"/>
      </w:divBdr>
    </w:div>
    <w:div w:id="713624370">
      <w:marLeft w:val="0"/>
      <w:marRight w:val="136"/>
      <w:marTop w:val="0"/>
      <w:marBottom w:val="0"/>
      <w:divBdr>
        <w:top w:val="none" w:sz="0" w:space="0" w:color="auto"/>
        <w:left w:val="none" w:sz="0" w:space="0" w:color="auto"/>
        <w:bottom w:val="none" w:sz="0" w:space="0" w:color="auto"/>
        <w:right w:val="none" w:sz="0" w:space="0" w:color="auto"/>
      </w:divBdr>
    </w:div>
    <w:div w:id="761098681">
      <w:marLeft w:val="0"/>
      <w:marRight w:val="136"/>
      <w:marTop w:val="0"/>
      <w:marBottom w:val="0"/>
      <w:divBdr>
        <w:top w:val="none" w:sz="0" w:space="0" w:color="auto"/>
        <w:left w:val="none" w:sz="0" w:space="0" w:color="auto"/>
        <w:bottom w:val="none" w:sz="0" w:space="0" w:color="auto"/>
        <w:right w:val="none" w:sz="0" w:space="0" w:color="auto"/>
      </w:divBdr>
    </w:div>
    <w:div w:id="871184019">
      <w:marLeft w:val="0"/>
      <w:marRight w:val="136"/>
      <w:marTop w:val="0"/>
      <w:marBottom w:val="0"/>
      <w:divBdr>
        <w:top w:val="none" w:sz="0" w:space="0" w:color="auto"/>
        <w:left w:val="none" w:sz="0" w:space="0" w:color="auto"/>
        <w:bottom w:val="none" w:sz="0" w:space="0" w:color="auto"/>
        <w:right w:val="none" w:sz="0" w:space="0" w:color="auto"/>
      </w:divBdr>
      <w:divsChild>
        <w:div w:id="2039499219">
          <w:marLeft w:val="0"/>
          <w:marRight w:val="136"/>
          <w:marTop w:val="0"/>
          <w:marBottom w:val="0"/>
          <w:divBdr>
            <w:top w:val="none" w:sz="0" w:space="0" w:color="auto"/>
            <w:left w:val="none" w:sz="0" w:space="0" w:color="auto"/>
            <w:bottom w:val="none" w:sz="0" w:space="0" w:color="auto"/>
            <w:right w:val="none" w:sz="0" w:space="0" w:color="auto"/>
          </w:divBdr>
        </w:div>
      </w:divsChild>
    </w:div>
    <w:div w:id="896625502">
      <w:bodyDiv w:val="1"/>
      <w:marLeft w:val="0"/>
      <w:marRight w:val="0"/>
      <w:marTop w:val="0"/>
      <w:marBottom w:val="0"/>
      <w:divBdr>
        <w:top w:val="none" w:sz="0" w:space="0" w:color="auto"/>
        <w:left w:val="none" w:sz="0" w:space="0" w:color="auto"/>
        <w:bottom w:val="none" w:sz="0" w:space="0" w:color="auto"/>
        <w:right w:val="none" w:sz="0" w:space="0" w:color="auto"/>
      </w:divBdr>
    </w:div>
    <w:div w:id="906450494">
      <w:marLeft w:val="0"/>
      <w:marRight w:val="136"/>
      <w:marTop w:val="0"/>
      <w:marBottom w:val="0"/>
      <w:divBdr>
        <w:top w:val="none" w:sz="0" w:space="0" w:color="auto"/>
        <w:left w:val="none" w:sz="0" w:space="0" w:color="auto"/>
        <w:bottom w:val="none" w:sz="0" w:space="0" w:color="auto"/>
        <w:right w:val="none" w:sz="0" w:space="0" w:color="auto"/>
      </w:divBdr>
    </w:div>
    <w:div w:id="962537503">
      <w:bodyDiv w:val="1"/>
      <w:marLeft w:val="0"/>
      <w:marRight w:val="0"/>
      <w:marTop w:val="0"/>
      <w:marBottom w:val="0"/>
      <w:divBdr>
        <w:top w:val="none" w:sz="0" w:space="0" w:color="auto"/>
        <w:left w:val="none" w:sz="0" w:space="0" w:color="auto"/>
        <w:bottom w:val="none" w:sz="0" w:space="0" w:color="auto"/>
        <w:right w:val="none" w:sz="0" w:space="0" w:color="auto"/>
      </w:divBdr>
    </w:div>
    <w:div w:id="980695310">
      <w:marLeft w:val="0"/>
      <w:marRight w:val="136"/>
      <w:marTop w:val="0"/>
      <w:marBottom w:val="0"/>
      <w:divBdr>
        <w:top w:val="none" w:sz="0" w:space="0" w:color="auto"/>
        <w:left w:val="none" w:sz="0" w:space="0" w:color="auto"/>
        <w:bottom w:val="none" w:sz="0" w:space="0" w:color="auto"/>
        <w:right w:val="none" w:sz="0" w:space="0" w:color="auto"/>
      </w:divBdr>
    </w:div>
    <w:div w:id="1025592285">
      <w:bodyDiv w:val="1"/>
      <w:marLeft w:val="0"/>
      <w:marRight w:val="0"/>
      <w:marTop w:val="0"/>
      <w:marBottom w:val="0"/>
      <w:divBdr>
        <w:top w:val="none" w:sz="0" w:space="0" w:color="auto"/>
        <w:left w:val="none" w:sz="0" w:space="0" w:color="auto"/>
        <w:bottom w:val="none" w:sz="0" w:space="0" w:color="auto"/>
        <w:right w:val="none" w:sz="0" w:space="0" w:color="auto"/>
      </w:divBdr>
    </w:div>
    <w:div w:id="1112437160">
      <w:marLeft w:val="0"/>
      <w:marRight w:val="136"/>
      <w:marTop w:val="0"/>
      <w:marBottom w:val="0"/>
      <w:divBdr>
        <w:top w:val="none" w:sz="0" w:space="0" w:color="auto"/>
        <w:left w:val="none" w:sz="0" w:space="0" w:color="auto"/>
        <w:bottom w:val="none" w:sz="0" w:space="0" w:color="auto"/>
        <w:right w:val="none" w:sz="0" w:space="0" w:color="auto"/>
      </w:divBdr>
    </w:div>
    <w:div w:id="1126585555">
      <w:marLeft w:val="0"/>
      <w:marRight w:val="136"/>
      <w:marTop w:val="0"/>
      <w:marBottom w:val="0"/>
      <w:divBdr>
        <w:top w:val="none" w:sz="0" w:space="0" w:color="auto"/>
        <w:left w:val="none" w:sz="0" w:space="0" w:color="auto"/>
        <w:bottom w:val="none" w:sz="0" w:space="0" w:color="auto"/>
        <w:right w:val="none" w:sz="0" w:space="0" w:color="auto"/>
      </w:divBdr>
    </w:div>
    <w:div w:id="1127310374">
      <w:bodyDiv w:val="1"/>
      <w:marLeft w:val="0"/>
      <w:marRight w:val="0"/>
      <w:marTop w:val="0"/>
      <w:marBottom w:val="0"/>
      <w:divBdr>
        <w:top w:val="none" w:sz="0" w:space="0" w:color="auto"/>
        <w:left w:val="none" w:sz="0" w:space="0" w:color="auto"/>
        <w:bottom w:val="none" w:sz="0" w:space="0" w:color="auto"/>
        <w:right w:val="none" w:sz="0" w:space="0" w:color="auto"/>
      </w:divBdr>
    </w:div>
    <w:div w:id="1146818138">
      <w:marLeft w:val="0"/>
      <w:marRight w:val="136"/>
      <w:marTop w:val="0"/>
      <w:marBottom w:val="0"/>
      <w:divBdr>
        <w:top w:val="none" w:sz="0" w:space="0" w:color="auto"/>
        <w:left w:val="none" w:sz="0" w:space="0" w:color="auto"/>
        <w:bottom w:val="none" w:sz="0" w:space="0" w:color="auto"/>
        <w:right w:val="none" w:sz="0" w:space="0" w:color="auto"/>
      </w:divBdr>
    </w:div>
    <w:div w:id="1154028192">
      <w:marLeft w:val="0"/>
      <w:marRight w:val="136"/>
      <w:marTop w:val="0"/>
      <w:marBottom w:val="0"/>
      <w:divBdr>
        <w:top w:val="none" w:sz="0" w:space="0" w:color="auto"/>
        <w:left w:val="none" w:sz="0" w:space="0" w:color="auto"/>
        <w:bottom w:val="none" w:sz="0" w:space="0" w:color="auto"/>
        <w:right w:val="none" w:sz="0" w:space="0" w:color="auto"/>
      </w:divBdr>
      <w:divsChild>
        <w:div w:id="2043046324">
          <w:marLeft w:val="0"/>
          <w:marRight w:val="136"/>
          <w:marTop w:val="0"/>
          <w:marBottom w:val="0"/>
          <w:divBdr>
            <w:top w:val="none" w:sz="0" w:space="0" w:color="auto"/>
            <w:left w:val="none" w:sz="0" w:space="0" w:color="auto"/>
            <w:bottom w:val="none" w:sz="0" w:space="0" w:color="auto"/>
            <w:right w:val="none" w:sz="0" w:space="0" w:color="auto"/>
          </w:divBdr>
        </w:div>
      </w:divsChild>
    </w:div>
    <w:div w:id="1170214547">
      <w:marLeft w:val="0"/>
      <w:marRight w:val="136"/>
      <w:marTop w:val="0"/>
      <w:marBottom w:val="0"/>
      <w:divBdr>
        <w:top w:val="none" w:sz="0" w:space="0" w:color="auto"/>
        <w:left w:val="none" w:sz="0" w:space="0" w:color="auto"/>
        <w:bottom w:val="none" w:sz="0" w:space="0" w:color="auto"/>
        <w:right w:val="none" w:sz="0" w:space="0" w:color="auto"/>
      </w:divBdr>
    </w:div>
    <w:div w:id="1222643863">
      <w:bodyDiv w:val="1"/>
      <w:marLeft w:val="0"/>
      <w:marRight w:val="0"/>
      <w:marTop w:val="0"/>
      <w:marBottom w:val="0"/>
      <w:divBdr>
        <w:top w:val="none" w:sz="0" w:space="0" w:color="auto"/>
        <w:left w:val="none" w:sz="0" w:space="0" w:color="auto"/>
        <w:bottom w:val="none" w:sz="0" w:space="0" w:color="auto"/>
        <w:right w:val="none" w:sz="0" w:space="0" w:color="auto"/>
      </w:divBdr>
    </w:div>
    <w:div w:id="1229265952">
      <w:marLeft w:val="0"/>
      <w:marRight w:val="136"/>
      <w:marTop w:val="0"/>
      <w:marBottom w:val="0"/>
      <w:divBdr>
        <w:top w:val="none" w:sz="0" w:space="0" w:color="auto"/>
        <w:left w:val="none" w:sz="0" w:space="0" w:color="auto"/>
        <w:bottom w:val="none" w:sz="0" w:space="0" w:color="auto"/>
        <w:right w:val="none" w:sz="0" w:space="0" w:color="auto"/>
      </w:divBdr>
    </w:div>
    <w:div w:id="1261723612">
      <w:marLeft w:val="0"/>
      <w:marRight w:val="136"/>
      <w:marTop w:val="0"/>
      <w:marBottom w:val="0"/>
      <w:divBdr>
        <w:top w:val="none" w:sz="0" w:space="0" w:color="auto"/>
        <w:left w:val="none" w:sz="0" w:space="0" w:color="auto"/>
        <w:bottom w:val="none" w:sz="0" w:space="0" w:color="auto"/>
        <w:right w:val="none" w:sz="0" w:space="0" w:color="auto"/>
      </w:divBdr>
    </w:div>
    <w:div w:id="1268729717">
      <w:marLeft w:val="0"/>
      <w:marRight w:val="136"/>
      <w:marTop w:val="0"/>
      <w:marBottom w:val="0"/>
      <w:divBdr>
        <w:top w:val="none" w:sz="0" w:space="0" w:color="auto"/>
        <w:left w:val="none" w:sz="0" w:space="0" w:color="auto"/>
        <w:bottom w:val="none" w:sz="0" w:space="0" w:color="auto"/>
        <w:right w:val="none" w:sz="0" w:space="0" w:color="auto"/>
      </w:divBdr>
    </w:div>
    <w:div w:id="1357266915">
      <w:marLeft w:val="0"/>
      <w:marRight w:val="136"/>
      <w:marTop w:val="0"/>
      <w:marBottom w:val="0"/>
      <w:divBdr>
        <w:top w:val="none" w:sz="0" w:space="0" w:color="auto"/>
        <w:left w:val="none" w:sz="0" w:space="0" w:color="auto"/>
        <w:bottom w:val="none" w:sz="0" w:space="0" w:color="auto"/>
        <w:right w:val="none" w:sz="0" w:space="0" w:color="auto"/>
      </w:divBdr>
    </w:div>
    <w:div w:id="1380786262">
      <w:marLeft w:val="0"/>
      <w:marRight w:val="136"/>
      <w:marTop w:val="0"/>
      <w:marBottom w:val="0"/>
      <w:divBdr>
        <w:top w:val="none" w:sz="0" w:space="0" w:color="auto"/>
        <w:left w:val="none" w:sz="0" w:space="0" w:color="auto"/>
        <w:bottom w:val="none" w:sz="0" w:space="0" w:color="auto"/>
        <w:right w:val="none" w:sz="0" w:space="0" w:color="auto"/>
      </w:divBdr>
    </w:div>
    <w:div w:id="1399474899">
      <w:marLeft w:val="0"/>
      <w:marRight w:val="136"/>
      <w:marTop w:val="0"/>
      <w:marBottom w:val="0"/>
      <w:divBdr>
        <w:top w:val="none" w:sz="0" w:space="0" w:color="auto"/>
        <w:left w:val="none" w:sz="0" w:space="0" w:color="auto"/>
        <w:bottom w:val="none" w:sz="0" w:space="0" w:color="auto"/>
        <w:right w:val="none" w:sz="0" w:space="0" w:color="auto"/>
      </w:divBdr>
    </w:div>
    <w:div w:id="1458068022">
      <w:marLeft w:val="0"/>
      <w:marRight w:val="136"/>
      <w:marTop w:val="0"/>
      <w:marBottom w:val="0"/>
      <w:divBdr>
        <w:top w:val="none" w:sz="0" w:space="0" w:color="auto"/>
        <w:left w:val="none" w:sz="0" w:space="0" w:color="auto"/>
        <w:bottom w:val="none" w:sz="0" w:space="0" w:color="auto"/>
        <w:right w:val="none" w:sz="0" w:space="0" w:color="auto"/>
      </w:divBdr>
    </w:div>
    <w:div w:id="1477213366">
      <w:marLeft w:val="0"/>
      <w:marRight w:val="136"/>
      <w:marTop w:val="0"/>
      <w:marBottom w:val="0"/>
      <w:divBdr>
        <w:top w:val="none" w:sz="0" w:space="0" w:color="auto"/>
        <w:left w:val="none" w:sz="0" w:space="0" w:color="auto"/>
        <w:bottom w:val="none" w:sz="0" w:space="0" w:color="auto"/>
        <w:right w:val="none" w:sz="0" w:space="0" w:color="auto"/>
      </w:divBdr>
    </w:div>
    <w:div w:id="1514569023">
      <w:bodyDiv w:val="1"/>
      <w:marLeft w:val="0"/>
      <w:marRight w:val="0"/>
      <w:marTop w:val="0"/>
      <w:marBottom w:val="0"/>
      <w:divBdr>
        <w:top w:val="none" w:sz="0" w:space="0" w:color="auto"/>
        <w:left w:val="none" w:sz="0" w:space="0" w:color="auto"/>
        <w:bottom w:val="none" w:sz="0" w:space="0" w:color="auto"/>
        <w:right w:val="none" w:sz="0" w:space="0" w:color="auto"/>
      </w:divBdr>
    </w:div>
    <w:div w:id="1515340444">
      <w:bodyDiv w:val="1"/>
      <w:marLeft w:val="0"/>
      <w:marRight w:val="0"/>
      <w:marTop w:val="0"/>
      <w:marBottom w:val="0"/>
      <w:divBdr>
        <w:top w:val="none" w:sz="0" w:space="0" w:color="auto"/>
        <w:left w:val="none" w:sz="0" w:space="0" w:color="auto"/>
        <w:bottom w:val="none" w:sz="0" w:space="0" w:color="auto"/>
        <w:right w:val="none" w:sz="0" w:space="0" w:color="auto"/>
      </w:divBdr>
    </w:div>
    <w:div w:id="1546330303">
      <w:marLeft w:val="0"/>
      <w:marRight w:val="136"/>
      <w:marTop w:val="0"/>
      <w:marBottom w:val="0"/>
      <w:divBdr>
        <w:top w:val="none" w:sz="0" w:space="0" w:color="auto"/>
        <w:left w:val="none" w:sz="0" w:space="0" w:color="auto"/>
        <w:bottom w:val="none" w:sz="0" w:space="0" w:color="auto"/>
        <w:right w:val="none" w:sz="0" w:space="0" w:color="auto"/>
      </w:divBdr>
    </w:div>
    <w:div w:id="1555849596">
      <w:bodyDiv w:val="1"/>
      <w:marLeft w:val="0"/>
      <w:marRight w:val="0"/>
      <w:marTop w:val="0"/>
      <w:marBottom w:val="0"/>
      <w:divBdr>
        <w:top w:val="none" w:sz="0" w:space="0" w:color="auto"/>
        <w:left w:val="none" w:sz="0" w:space="0" w:color="auto"/>
        <w:bottom w:val="none" w:sz="0" w:space="0" w:color="auto"/>
        <w:right w:val="none" w:sz="0" w:space="0" w:color="auto"/>
      </w:divBdr>
    </w:div>
    <w:div w:id="1563907845">
      <w:marLeft w:val="0"/>
      <w:marRight w:val="136"/>
      <w:marTop w:val="0"/>
      <w:marBottom w:val="0"/>
      <w:divBdr>
        <w:top w:val="none" w:sz="0" w:space="0" w:color="auto"/>
        <w:left w:val="none" w:sz="0" w:space="0" w:color="auto"/>
        <w:bottom w:val="none" w:sz="0" w:space="0" w:color="auto"/>
        <w:right w:val="none" w:sz="0" w:space="0" w:color="auto"/>
      </w:divBdr>
    </w:div>
    <w:div w:id="1594900477">
      <w:marLeft w:val="0"/>
      <w:marRight w:val="136"/>
      <w:marTop w:val="0"/>
      <w:marBottom w:val="0"/>
      <w:divBdr>
        <w:top w:val="none" w:sz="0" w:space="0" w:color="auto"/>
        <w:left w:val="none" w:sz="0" w:space="0" w:color="auto"/>
        <w:bottom w:val="none" w:sz="0" w:space="0" w:color="auto"/>
        <w:right w:val="none" w:sz="0" w:space="0" w:color="auto"/>
      </w:divBdr>
    </w:div>
    <w:div w:id="1635523033">
      <w:marLeft w:val="0"/>
      <w:marRight w:val="136"/>
      <w:marTop w:val="0"/>
      <w:marBottom w:val="0"/>
      <w:divBdr>
        <w:top w:val="none" w:sz="0" w:space="0" w:color="auto"/>
        <w:left w:val="none" w:sz="0" w:space="0" w:color="auto"/>
        <w:bottom w:val="none" w:sz="0" w:space="0" w:color="auto"/>
        <w:right w:val="none" w:sz="0" w:space="0" w:color="auto"/>
      </w:divBdr>
    </w:div>
    <w:div w:id="1659963491">
      <w:marLeft w:val="0"/>
      <w:marRight w:val="136"/>
      <w:marTop w:val="0"/>
      <w:marBottom w:val="0"/>
      <w:divBdr>
        <w:top w:val="none" w:sz="0" w:space="0" w:color="auto"/>
        <w:left w:val="none" w:sz="0" w:space="0" w:color="auto"/>
        <w:bottom w:val="none" w:sz="0" w:space="0" w:color="auto"/>
        <w:right w:val="none" w:sz="0" w:space="0" w:color="auto"/>
      </w:divBdr>
    </w:div>
    <w:div w:id="1696152859">
      <w:marLeft w:val="0"/>
      <w:marRight w:val="136"/>
      <w:marTop w:val="0"/>
      <w:marBottom w:val="0"/>
      <w:divBdr>
        <w:top w:val="none" w:sz="0" w:space="0" w:color="auto"/>
        <w:left w:val="none" w:sz="0" w:space="0" w:color="auto"/>
        <w:bottom w:val="none" w:sz="0" w:space="0" w:color="auto"/>
        <w:right w:val="none" w:sz="0" w:space="0" w:color="auto"/>
      </w:divBdr>
    </w:div>
    <w:div w:id="1702977661">
      <w:bodyDiv w:val="1"/>
      <w:marLeft w:val="0"/>
      <w:marRight w:val="0"/>
      <w:marTop w:val="0"/>
      <w:marBottom w:val="0"/>
      <w:divBdr>
        <w:top w:val="none" w:sz="0" w:space="0" w:color="auto"/>
        <w:left w:val="none" w:sz="0" w:space="0" w:color="auto"/>
        <w:bottom w:val="none" w:sz="0" w:space="0" w:color="auto"/>
        <w:right w:val="none" w:sz="0" w:space="0" w:color="auto"/>
      </w:divBdr>
    </w:div>
    <w:div w:id="1726097010">
      <w:marLeft w:val="0"/>
      <w:marRight w:val="136"/>
      <w:marTop w:val="0"/>
      <w:marBottom w:val="0"/>
      <w:divBdr>
        <w:top w:val="none" w:sz="0" w:space="0" w:color="auto"/>
        <w:left w:val="none" w:sz="0" w:space="0" w:color="auto"/>
        <w:bottom w:val="none" w:sz="0" w:space="0" w:color="auto"/>
        <w:right w:val="none" w:sz="0" w:space="0" w:color="auto"/>
      </w:divBdr>
      <w:divsChild>
        <w:div w:id="1038706224">
          <w:marLeft w:val="0"/>
          <w:marRight w:val="136"/>
          <w:marTop w:val="0"/>
          <w:marBottom w:val="0"/>
          <w:divBdr>
            <w:top w:val="none" w:sz="0" w:space="0" w:color="auto"/>
            <w:left w:val="none" w:sz="0" w:space="0" w:color="auto"/>
            <w:bottom w:val="none" w:sz="0" w:space="0" w:color="auto"/>
            <w:right w:val="none" w:sz="0" w:space="0" w:color="auto"/>
          </w:divBdr>
        </w:div>
      </w:divsChild>
    </w:div>
    <w:div w:id="1777168757">
      <w:marLeft w:val="0"/>
      <w:marRight w:val="136"/>
      <w:marTop w:val="0"/>
      <w:marBottom w:val="0"/>
      <w:divBdr>
        <w:top w:val="none" w:sz="0" w:space="0" w:color="auto"/>
        <w:left w:val="none" w:sz="0" w:space="0" w:color="auto"/>
        <w:bottom w:val="none" w:sz="0" w:space="0" w:color="auto"/>
        <w:right w:val="none" w:sz="0" w:space="0" w:color="auto"/>
      </w:divBdr>
    </w:div>
    <w:div w:id="1822765969">
      <w:marLeft w:val="0"/>
      <w:marRight w:val="136"/>
      <w:marTop w:val="0"/>
      <w:marBottom w:val="0"/>
      <w:divBdr>
        <w:top w:val="none" w:sz="0" w:space="0" w:color="auto"/>
        <w:left w:val="none" w:sz="0" w:space="0" w:color="auto"/>
        <w:bottom w:val="none" w:sz="0" w:space="0" w:color="auto"/>
        <w:right w:val="none" w:sz="0" w:space="0" w:color="auto"/>
      </w:divBdr>
    </w:div>
    <w:div w:id="1935548442">
      <w:marLeft w:val="0"/>
      <w:marRight w:val="136"/>
      <w:marTop w:val="0"/>
      <w:marBottom w:val="0"/>
      <w:divBdr>
        <w:top w:val="none" w:sz="0" w:space="0" w:color="auto"/>
        <w:left w:val="none" w:sz="0" w:space="0" w:color="auto"/>
        <w:bottom w:val="none" w:sz="0" w:space="0" w:color="auto"/>
        <w:right w:val="none" w:sz="0" w:space="0" w:color="auto"/>
      </w:divBdr>
      <w:divsChild>
        <w:div w:id="1327169862">
          <w:marLeft w:val="0"/>
          <w:marRight w:val="136"/>
          <w:marTop w:val="0"/>
          <w:marBottom w:val="0"/>
          <w:divBdr>
            <w:top w:val="none" w:sz="0" w:space="0" w:color="auto"/>
            <w:left w:val="none" w:sz="0" w:space="0" w:color="auto"/>
            <w:bottom w:val="none" w:sz="0" w:space="0" w:color="auto"/>
            <w:right w:val="none" w:sz="0" w:space="0" w:color="auto"/>
          </w:divBdr>
        </w:div>
      </w:divsChild>
    </w:div>
    <w:div w:id="2019697914">
      <w:marLeft w:val="0"/>
      <w:marRight w:val="136"/>
      <w:marTop w:val="0"/>
      <w:marBottom w:val="0"/>
      <w:divBdr>
        <w:top w:val="none" w:sz="0" w:space="0" w:color="auto"/>
        <w:left w:val="none" w:sz="0" w:space="0" w:color="auto"/>
        <w:bottom w:val="none" w:sz="0" w:space="0" w:color="auto"/>
        <w:right w:val="none" w:sz="0" w:space="0" w:color="auto"/>
      </w:divBdr>
    </w:div>
    <w:div w:id="2020426813">
      <w:bodyDiv w:val="1"/>
      <w:marLeft w:val="0"/>
      <w:marRight w:val="0"/>
      <w:marTop w:val="0"/>
      <w:marBottom w:val="0"/>
      <w:divBdr>
        <w:top w:val="none" w:sz="0" w:space="0" w:color="auto"/>
        <w:left w:val="none" w:sz="0" w:space="0" w:color="auto"/>
        <w:bottom w:val="none" w:sz="0" w:space="0" w:color="auto"/>
        <w:right w:val="none" w:sz="0" w:space="0" w:color="auto"/>
      </w:divBdr>
    </w:div>
    <w:div w:id="2030596213">
      <w:marLeft w:val="0"/>
      <w:marRight w:val="136"/>
      <w:marTop w:val="0"/>
      <w:marBottom w:val="0"/>
      <w:divBdr>
        <w:top w:val="none" w:sz="0" w:space="0" w:color="auto"/>
        <w:left w:val="none" w:sz="0" w:space="0" w:color="auto"/>
        <w:bottom w:val="none" w:sz="0" w:space="0" w:color="auto"/>
        <w:right w:val="none" w:sz="0" w:space="0" w:color="auto"/>
      </w:divBdr>
    </w:div>
    <w:div w:id="2059670678">
      <w:marLeft w:val="0"/>
      <w:marRight w:val="136"/>
      <w:marTop w:val="0"/>
      <w:marBottom w:val="0"/>
      <w:divBdr>
        <w:top w:val="none" w:sz="0" w:space="0" w:color="auto"/>
        <w:left w:val="none" w:sz="0" w:space="0" w:color="auto"/>
        <w:bottom w:val="none" w:sz="0" w:space="0" w:color="auto"/>
        <w:right w:val="none" w:sz="0" w:space="0" w:color="auto"/>
      </w:divBdr>
      <w:divsChild>
        <w:div w:id="1797872062">
          <w:marLeft w:val="0"/>
          <w:marRight w:val="136"/>
          <w:marTop w:val="0"/>
          <w:marBottom w:val="0"/>
          <w:divBdr>
            <w:top w:val="none" w:sz="0" w:space="0" w:color="auto"/>
            <w:left w:val="none" w:sz="0" w:space="0" w:color="auto"/>
            <w:bottom w:val="none" w:sz="0" w:space="0" w:color="auto"/>
            <w:right w:val="none" w:sz="0" w:space="0" w:color="auto"/>
          </w:divBdr>
        </w:div>
      </w:divsChild>
    </w:div>
    <w:div w:id="2078742422">
      <w:bodyDiv w:val="1"/>
      <w:marLeft w:val="0"/>
      <w:marRight w:val="0"/>
      <w:marTop w:val="0"/>
      <w:marBottom w:val="0"/>
      <w:divBdr>
        <w:top w:val="none" w:sz="0" w:space="0" w:color="auto"/>
        <w:left w:val="none" w:sz="0" w:space="0" w:color="auto"/>
        <w:bottom w:val="none" w:sz="0" w:space="0" w:color="auto"/>
        <w:right w:val="none" w:sz="0" w:space="0" w:color="auto"/>
      </w:divBdr>
    </w:div>
    <w:div w:id="2103212116">
      <w:marLeft w:val="0"/>
      <w:marRight w:val="136"/>
      <w:marTop w:val="0"/>
      <w:marBottom w:val="0"/>
      <w:divBdr>
        <w:top w:val="none" w:sz="0" w:space="0" w:color="auto"/>
        <w:left w:val="none" w:sz="0" w:space="0" w:color="auto"/>
        <w:bottom w:val="none" w:sz="0" w:space="0" w:color="auto"/>
        <w:right w:val="none" w:sz="0" w:space="0" w:color="auto"/>
      </w:divBdr>
    </w:div>
    <w:div w:id="2130852938">
      <w:marLeft w:val="0"/>
      <w:marRight w:val="136"/>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F0EE7-2298-4AAD-8ABE-FD623BE6F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2271</TotalTime>
  <Pages>17</Pages>
  <Words>11184</Words>
  <Characters>63752</Characters>
  <Application>Microsoft Office Word</Application>
  <DocSecurity>0</DocSecurity>
  <Lines>531</Lines>
  <Paragraphs>149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adriansantoro@hotmail.com</dc:creator>
  <cp:lastModifiedBy>Adrian</cp:lastModifiedBy>
  <cp:revision>7</cp:revision>
  <dcterms:created xsi:type="dcterms:W3CDTF">2021-05-04T04:32:00Z</dcterms:created>
  <dcterms:modified xsi:type="dcterms:W3CDTF">2021-05-10T00:45:00Z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59ece590-5d05-3ccb-ae3e-84b34cf80b8e</vt:lpwstr>
  </property>
  <property fmtid="{D5CDD505-2E9C-101B-9397-08002B2CF9AE}" pid="24" name="Mendeley Citation Style_1">
    <vt:lpwstr>http://www.zotero.org/styles/vancouver</vt:lpwstr>
  </property>
</Properties>
</file>