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CB077" w14:textId="77777777" w:rsidR="004B5A0A" w:rsidRPr="00245277" w:rsidRDefault="004B5A0A" w:rsidP="0016684F">
      <w:pPr>
        <w:spacing w:after="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Desigualdades en morbimortalidad por COVID-19 en la Ciudad Autónoma de Buenos Aires</w:t>
      </w:r>
    </w:p>
    <w:p w14:paraId="34FA8AD7" w14:textId="77777777" w:rsidR="001A23A1" w:rsidRPr="00245277" w:rsidRDefault="001A23A1" w:rsidP="0016684F">
      <w:pPr>
        <w:spacing w:after="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Adrián Santoro</w:t>
      </w:r>
    </w:p>
    <w:p w14:paraId="0AAD2A22" w14:textId="77777777" w:rsidR="00D57FBD" w:rsidRPr="00245277" w:rsidRDefault="00D57FBD" w:rsidP="00AD2E4B">
      <w:pPr>
        <w:spacing w:before="240" w:line="480" w:lineRule="auto"/>
        <w:contextualSpacing/>
        <w:jc w:val="both"/>
        <w:rPr>
          <w:rFonts w:ascii="Times New Roman" w:hAnsi="Times New Roman" w:cs="Times New Roman"/>
          <w:b/>
          <w:sz w:val="24"/>
          <w:szCs w:val="24"/>
        </w:rPr>
      </w:pPr>
    </w:p>
    <w:p w14:paraId="30360D87" w14:textId="77777777" w:rsidR="00A82D02" w:rsidRPr="00245277" w:rsidRDefault="004B5A0A" w:rsidP="00AD2E4B">
      <w:pPr>
        <w:spacing w:before="24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INTRODUCCIÓN</w:t>
      </w:r>
    </w:p>
    <w:p w14:paraId="24B1D035" w14:textId="12470A38" w:rsidR="001C5E82" w:rsidRPr="00245277"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Los primeros casos de SARS-CoV-2 en Argentina se registraron en la Ciudad Autónoma de Buenos Aires (CABA) a principios de marzo de 2020 en turistas que retornaban de ciudades europeas que en ese momento presentaban altos niveles de incidencia de la enfermedad. Rápidamente, el virus comenzó rápidamente a circular en la comunidad y a dispersarse a otras jurisdicciones. Sin embargo, hasta septiembre de 2020, la CABA y los 40 distritos de Provincia de Buenos Aires que la rodean (el agregado geográfico denominado “Á</w:t>
      </w:r>
      <w:r w:rsidR="00E8197C">
        <w:rPr>
          <w:rFonts w:ascii="Times New Roman" w:hAnsi="Times New Roman" w:cs="Times New Roman"/>
          <w:sz w:val="24"/>
          <w:szCs w:val="24"/>
        </w:rPr>
        <w:t>rea</w:t>
      </w:r>
      <w:r w:rsidRPr="00245277">
        <w:rPr>
          <w:rFonts w:ascii="Times New Roman" w:hAnsi="Times New Roman" w:cs="Times New Roman"/>
          <w:sz w:val="24"/>
          <w:szCs w:val="24"/>
        </w:rPr>
        <w:t xml:space="preserve"> Metropolitano de Buenos Aires” –AMBA-) acumulaban aun cerca del 95% de los casos y muertes registrados.</w:t>
      </w:r>
    </w:p>
    <w:p w14:paraId="548D44C3" w14:textId="77777777" w:rsidR="00C62971" w:rsidRPr="00245277" w:rsidRDefault="00C62971" w:rsidP="00AD2E4B">
      <w:pPr>
        <w:spacing w:before="240" w:line="480" w:lineRule="auto"/>
        <w:contextualSpacing/>
        <w:jc w:val="both"/>
        <w:rPr>
          <w:rFonts w:ascii="Times New Roman" w:hAnsi="Times New Roman" w:cs="Times New Roman"/>
          <w:sz w:val="24"/>
          <w:szCs w:val="24"/>
        </w:rPr>
      </w:pPr>
    </w:p>
    <w:p w14:paraId="4A93DFEE" w14:textId="568D9801" w:rsidR="0015734E"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principal política adoptada por el gobierno argentino al comienzo de la epidemia fue la adopción temprana de</w:t>
      </w:r>
      <w:r w:rsidR="00C62971" w:rsidRPr="00245277">
        <w:rPr>
          <w:rFonts w:ascii="Times New Roman" w:hAnsi="Times New Roman" w:cs="Times New Roman"/>
          <w:sz w:val="24"/>
          <w:szCs w:val="24"/>
        </w:rPr>
        <w:t xml:space="preserve"> medidas restrictivas. Con 128 casos confirmados y 3</w:t>
      </w:r>
      <w:r w:rsidR="00EF4196" w:rsidRPr="00245277">
        <w:rPr>
          <w:rFonts w:ascii="Times New Roman" w:hAnsi="Times New Roman" w:cs="Times New Roman"/>
          <w:sz w:val="24"/>
          <w:szCs w:val="24"/>
        </w:rPr>
        <w:t xml:space="preserve"> muertes</w:t>
      </w:r>
      <w:r w:rsidR="00C62971" w:rsidRPr="00245277">
        <w:rPr>
          <w:rFonts w:ascii="Times New Roman" w:hAnsi="Times New Roman" w:cs="Times New Roman"/>
          <w:sz w:val="24"/>
          <w:szCs w:val="24"/>
        </w:rPr>
        <w:t xml:space="preserve"> en el país, el 20 de marzo de 2020 se decretó el “Aislamiento Social Preventivo y Obligatorio” (</w:t>
      </w:r>
      <w:r w:rsidR="003212B6" w:rsidRPr="00245277">
        <w:rPr>
          <w:rFonts w:ascii="Times New Roman" w:hAnsi="Times New Roman" w:cs="Times New Roman"/>
          <w:sz w:val="24"/>
          <w:szCs w:val="24"/>
        </w:rPr>
        <w:t>ASPO).</w:t>
      </w:r>
    </w:p>
    <w:p w14:paraId="110D4099"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2602874D" w14:textId="77777777" w:rsidR="00597760" w:rsidRPr="00245277" w:rsidRDefault="00597760"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Fue determinante, entre otras medidas, el cierre de las escuelas, el cierre de las fronteras, la limitación de la circulación inter e </w:t>
      </w:r>
      <w:proofErr w:type="spellStart"/>
      <w:r w:rsidRPr="00245277">
        <w:rPr>
          <w:rFonts w:ascii="Times New Roman" w:hAnsi="Times New Roman" w:cs="Times New Roman"/>
          <w:sz w:val="24"/>
          <w:szCs w:val="24"/>
        </w:rPr>
        <w:t>intra</w:t>
      </w:r>
      <w:proofErr w:type="spellEnd"/>
      <w:r w:rsidRPr="00245277">
        <w:rPr>
          <w:rFonts w:ascii="Times New Roman" w:hAnsi="Times New Roman" w:cs="Times New Roman"/>
          <w:sz w:val="24"/>
          <w:szCs w:val="24"/>
        </w:rPr>
        <w:t xml:space="preserve"> jurisdiccional, el trabajo remoto para trabajadores no esenciales, la limitación del transporte público y la prohibición de eventos sociales y actividades que generan aglomeraciones de población (bares, restaurantes, discotecas, cines y teatros, etc.) y la protocolización de las medidas de distanciamiento físico (1).  </w:t>
      </w:r>
    </w:p>
    <w:p w14:paraId="4A0D66A5" w14:textId="77777777" w:rsidR="00460688" w:rsidRPr="00245277" w:rsidRDefault="00460688" w:rsidP="00AD2E4B">
      <w:pPr>
        <w:spacing w:before="240" w:line="480" w:lineRule="auto"/>
        <w:contextualSpacing/>
        <w:jc w:val="both"/>
        <w:rPr>
          <w:rFonts w:ascii="Times New Roman" w:hAnsi="Times New Roman" w:cs="Times New Roman"/>
          <w:sz w:val="24"/>
          <w:szCs w:val="24"/>
        </w:rPr>
      </w:pPr>
    </w:p>
    <w:p w14:paraId="7F27A154" w14:textId="4473E614" w:rsidR="0047445C"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El principal objetivo de las regulaciones implementadas fue retrasar la maduración de la epidemia, dando tiempo para la preparación del sistema de salud y para fortalecer la estructura que debe dar </w:t>
      </w:r>
      <w:r w:rsidRPr="00245277">
        <w:rPr>
          <w:rFonts w:ascii="Times New Roman" w:hAnsi="Times New Roman" w:cs="Times New Roman"/>
          <w:sz w:val="24"/>
          <w:szCs w:val="24"/>
        </w:rPr>
        <w:lastRenderedPageBreak/>
        <w:t xml:space="preserve">respuestas a las demandas de la nueva situación, dada la elevada </w:t>
      </w:r>
      <w:r w:rsidRPr="00245277">
        <w:rPr>
          <w:rFonts w:ascii="Times New Roman" w:hAnsi="Times New Roman" w:cs="Times New Roman"/>
          <w:sz w:val="24"/>
          <w:szCs w:val="24"/>
          <w:highlight w:val="yellow"/>
        </w:rPr>
        <w:t xml:space="preserve">tasa de reproducción del virus y </w:t>
      </w:r>
      <w:r w:rsidR="003212B6" w:rsidRPr="00245277">
        <w:rPr>
          <w:rFonts w:ascii="Times New Roman" w:hAnsi="Times New Roman" w:cs="Times New Roman"/>
          <w:sz w:val="24"/>
          <w:szCs w:val="24"/>
          <w:highlight w:val="yellow"/>
        </w:rPr>
        <w:t>el alta</w:t>
      </w:r>
      <w:r w:rsidRPr="00245277">
        <w:rPr>
          <w:rFonts w:ascii="Times New Roman" w:hAnsi="Times New Roman" w:cs="Times New Roman"/>
          <w:sz w:val="24"/>
          <w:szCs w:val="24"/>
          <w:highlight w:val="yellow"/>
        </w:rPr>
        <w:t xml:space="preserve"> potencial demanda de recursos que requerirá su atención.</w:t>
      </w:r>
      <w:r w:rsidRPr="00245277">
        <w:rPr>
          <w:rFonts w:ascii="Times New Roman" w:hAnsi="Times New Roman" w:cs="Times New Roman"/>
          <w:sz w:val="24"/>
          <w:szCs w:val="24"/>
        </w:rPr>
        <w:t xml:space="preserve"> </w:t>
      </w:r>
    </w:p>
    <w:p w14:paraId="2D4E6575"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2E65081B" w14:textId="77777777" w:rsidR="00D66AFE" w:rsidRPr="00245277"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CABA es un distrito federal de Argentina</w:t>
      </w:r>
      <w:r w:rsidR="00844E03" w:rsidRPr="00245277">
        <w:rPr>
          <w:rFonts w:ascii="Times New Roman" w:hAnsi="Times New Roman" w:cs="Times New Roman"/>
          <w:sz w:val="24"/>
          <w:szCs w:val="24"/>
        </w:rPr>
        <w:t xml:space="preserve"> </w:t>
      </w:r>
      <w:r w:rsidRPr="00245277">
        <w:rPr>
          <w:rFonts w:ascii="Times New Roman" w:hAnsi="Times New Roman" w:cs="Times New Roman"/>
          <w:sz w:val="24"/>
          <w:szCs w:val="24"/>
        </w:rPr>
        <w:t xml:space="preserve">y adopta las </w:t>
      </w:r>
      <w:r w:rsidRPr="00245277">
        <w:rPr>
          <w:rFonts w:ascii="Times New Roman" w:hAnsi="Times New Roman" w:cs="Times New Roman"/>
          <w:sz w:val="24"/>
          <w:szCs w:val="24"/>
          <w:highlight w:val="yellow"/>
        </w:rPr>
        <w:t>regulaciones establecidas por el gobierno nacional</w:t>
      </w:r>
      <w:r w:rsidRPr="00245277">
        <w:rPr>
          <w:rFonts w:ascii="Times New Roman" w:hAnsi="Times New Roman" w:cs="Times New Roman"/>
          <w:sz w:val="24"/>
          <w:szCs w:val="24"/>
        </w:rPr>
        <w:t xml:space="preserve">. La implementación de estas regulaciones </w:t>
      </w:r>
      <w:r w:rsidR="00E75EC3" w:rsidRPr="00245277">
        <w:rPr>
          <w:rFonts w:ascii="Times New Roman" w:hAnsi="Times New Roman" w:cs="Times New Roman"/>
          <w:sz w:val="24"/>
          <w:szCs w:val="24"/>
        </w:rPr>
        <w:t xml:space="preserve">tuvo un alto nivel de adhesión los primeros días. </w:t>
      </w:r>
      <w:r w:rsidR="00E334CD" w:rsidRPr="00245277">
        <w:rPr>
          <w:rFonts w:ascii="Times New Roman" w:hAnsi="Times New Roman" w:cs="Times New Roman"/>
          <w:sz w:val="24"/>
          <w:szCs w:val="24"/>
        </w:rPr>
        <w:t>Según</w:t>
      </w:r>
      <w:r w:rsidR="00E75EC3" w:rsidRPr="00245277">
        <w:rPr>
          <w:rFonts w:ascii="Times New Roman" w:hAnsi="Times New Roman" w:cs="Times New Roman"/>
          <w:sz w:val="24"/>
          <w:szCs w:val="24"/>
        </w:rPr>
        <w:t xml:space="preserve"> el </w:t>
      </w:r>
      <w:r w:rsidR="00E334CD" w:rsidRPr="00245277">
        <w:rPr>
          <w:rFonts w:ascii="Times New Roman" w:hAnsi="Times New Roman" w:cs="Times New Roman"/>
          <w:sz w:val="24"/>
          <w:szCs w:val="24"/>
        </w:rPr>
        <w:t>Índice</w:t>
      </w:r>
      <w:r w:rsidR="00E75EC3" w:rsidRPr="00245277">
        <w:rPr>
          <w:rFonts w:ascii="Times New Roman" w:hAnsi="Times New Roman" w:cs="Times New Roman"/>
          <w:sz w:val="24"/>
          <w:szCs w:val="24"/>
        </w:rPr>
        <w:t xml:space="preserve"> de Movilidad de Google (2), al décimo día de implementado el ASPO</w:t>
      </w:r>
      <w:r w:rsidR="00E334CD" w:rsidRPr="00245277">
        <w:rPr>
          <w:rFonts w:ascii="Times New Roman" w:hAnsi="Times New Roman" w:cs="Times New Roman"/>
          <w:sz w:val="24"/>
          <w:szCs w:val="24"/>
        </w:rPr>
        <w:t xml:space="preserve">, la movilidad en lugares de trabajo se redujo en </w:t>
      </w:r>
      <w:proofErr w:type="spellStart"/>
      <w:r w:rsidR="00E334CD" w:rsidRPr="00245277">
        <w:rPr>
          <w:rFonts w:ascii="Times New Roman" w:hAnsi="Times New Roman" w:cs="Times New Roman"/>
          <w:sz w:val="24"/>
          <w:szCs w:val="24"/>
        </w:rPr>
        <w:t>mas</w:t>
      </w:r>
      <w:proofErr w:type="spellEnd"/>
      <w:r w:rsidR="00E334CD" w:rsidRPr="00245277">
        <w:rPr>
          <w:rFonts w:ascii="Times New Roman" w:hAnsi="Times New Roman" w:cs="Times New Roman"/>
          <w:sz w:val="24"/>
          <w:szCs w:val="24"/>
        </w:rPr>
        <w:t xml:space="preserve"> de 80% comparado con el valor de refe</w:t>
      </w:r>
      <w:r w:rsidR="00E334CD" w:rsidRPr="00245277">
        <w:rPr>
          <w:rFonts w:ascii="Times New Roman" w:hAnsi="Times New Roman" w:cs="Times New Roman"/>
          <w:sz w:val="24"/>
          <w:szCs w:val="24"/>
          <w:highlight w:val="yellow"/>
        </w:rPr>
        <w:t>rencia “normal”.</w:t>
      </w:r>
      <w:r w:rsidR="00E334CD" w:rsidRPr="00245277">
        <w:rPr>
          <w:rFonts w:ascii="Times New Roman" w:hAnsi="Times New Roman" w:cs="Times New Roman"/>
          <w:sz w:val="24"/>
          <w:szCs w:val="24"/>
        </w:rPr>
        <w:t xml:space="preserve"> </w:t>
      </w:r>
      <w:r w:rsidR="00E75EC3" w:rsidRPr="00245277">
        <w:rPr>
          <w:rFonts w:ascii="Times New Roman" w:hAnsi="Times New Roman" w:cs="Times New Roman"/>
          <w:sz w:val="24"/>
          <w:szCs w:val="24"/>
        </w:rPr>
        <w:t xml:space="preserve"> </w:t>
      </w:r>
      <w:r w:rsidR="00EF1DA0" w:rsidRPr="00245277">
        <w:rPr>
          <w:rFonts w:ascii="Times New Roman" w:hAnsi="Times New Roman" w:cs="Times New Roman"/>
          <w:sz w:val="24"/>
          <w:szCs w:val="24"/>
        </w:rPr>
        <w:tab/>
      </w:r>
      <w:r w:rsidR="00E334CD" w:rsidRPr="00245277">
        <w:rPr>
          <w:rFonts w:ascii="Times New Roman" w:hAnsi="Times New Roman" w:cs="Times New Roman"/>
          <w:sz w:val="24"/>
          <w:szCs w:val="24"/>
        </w:rPr>
        <w:t xml:space="preserve">Lo mismo sucedió con la movilidad en parques y en el tráfico vehicular. </w:t>
      </w:r>
    </w:p>
    <w:p w14:paraId="74F4BF8F" w14:textId="77AAFB43" w:rsidR="00E334CD" w:rsidRDefault="00E334CD"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Aunque resulta imposible conocer el impacto de la pandemia en CABA en comparación con el resto de las jurisdicciones, debemos destacar que el distrito </w:t>
      </w:r>
      <w:r w:rsidR="00E8197C" w:rsidRPr="00245277">
        <w:rPr>
          <w:rFonts w:ascii="Times New Roman" w:hAnsi="Times New Roman" w:cs="Times New Roman"/>
          <w:sz w:val="24"/>
          <w:szCs w:val="24"/>
        </w:rPr>
        <w:t>federal</w:t>
      </w:r>
      <w:r w:rsidRPr="00245277">
        <w:rPr>
          <w:rFonts w:ascii="Times New Roman" w:hAnsi="Times New Roman" w:cs="Times New Roman"/>
          <w:sz w:val="24"/>
          <w:szCs w:val="24"/>
        </w:rPr>
        <w:t xml:space="preserve"> de Argentina es un área </w:t>
      </w:r>
      <w:r w:rsidR="00E8197C" w:rsidRPr="00245277">
        <w:rPr>
          <w:rFonts w:ascii="Times New Roman" w:hAnsi="Times New Roman" w:cs="Times New Roman"/>
          <w:sz w:val="24"/>
          <w:szCs w:val="24"/>
        </w:rPr>
        <w:t>particularmente</w:t>
      </w:r>
      <w:r w:rsidRPr="00245277">
        <w:rPr>
          <w:rFonts w:ascii="Times New Roman" w:hAnsi="Times New Roman" w:cs="Times New Roman"/>
          <w:sz w:val="24"/>
          <w:szCs w:val="24"/>
        </w:rPr>
        <w:t xml:space="preserve"> desigual, donde viven 3075646 personas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(3)</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w:t>
      </w:r>
      <w:r w:rsidR="00B76043" w:rsidRPr="00245277">
        <w:rPr>
          <w:rFonts w:ascii="Times New Roman" w:hAnsi="Times New Roman" w:cs="Times New Roman"/>
          <w:sz w:val="24"/>
          <w:szCs w:val="24"/>
        </w:rPr>
        <w:t xml:space="preserve">La distribución desigual de los recursos en la CABA ha sido demostrada en numerosos estudios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(4–7)</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Todos ellos acuerdan en identificar la zona sur de la ciudad con la que presenta las peores condiciones de vida. En particular, el trabajo de Santoro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(8)</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estudió las desigualdades en relación a </w:t>
      </w:r>
      <w:r w:rsidR="00FD22CD" w:rsidRPr="00245277">
        <w:rPr>
          <w:rFonts w:ascii="Times New Roman" w:hAnsi="Times New Roman" w:cs="Times New Roman"/>
          <w:sz w:val="24"/>
          <w:szCs w:val="24"/>
        </w:rPr>
        <w:t>aspectos de la</w:t>
      </w:r>
      <w:r w:rsidR="00B76043" w:rsidRPr="00245277">
        <w:rPr>
          <w:rFonts w:ascii="Times New Roman" w:hAnsi="Times New Roman" w:cs="Times New Roman"/>
          <w:sz w:val="24"/>
          <w:szCs w:val="24"/>
        </w:rPr>
        <w:t xml:space="preserve"> salud de la población y encontró </w:t>
      </w:r>
      <w:r w:rsidR="00FD22CD" w:rsidRPr="00245277">
        <w:rPr>
          <w:rFonts w:ascii="Times New Roman" w:hAnsi="Times New Roman" w:cs="Times New Roman"/>
          <w:sz w:val="24"/>
          <w:szCs w:val="24"/>
        </w:rPr>
        <w:t>diferencias</w:t>
      </w:r>
      <w:r w:rsidR="00B76043" w:rsidRPr="00245277">
        <w:rPr>
          <w:rFonts w:ascii="Times New Roman" w:hAnsi="Times New Roman" w:cs="Times New Roman"/>
          <w:sz w:val="24"/>
          <w:szCs w:val="24"/>
        </w:rPr>
        <w:t xml:space="preserve"> significativas en la estruct</w:t>
      </w:r>
      <w:r w:rsidR="00FD22CD" w:rsidRPr="00245277">
        <w:rPr>
          <w:rFonts w:ascii="Times New Roman" w:hAnsi="Times New Roman" w:cs="Times New Roman"/>
          <w:sz w:val="24"/>
          <w:szCs w:val="24"/>
        </w:rPr>
        <w:t xml:space="preserve">ura de las causas de mortalidad, esperanza de vida, y fertilidad entre </w:t>
      </w:r>
      <w:r w:rsidR="00FD22CD" w:rsidRPr="00245277">
        <w:rPr>
          <w:rFonts w:ascii="Times New Roman" w:hAnsi="Times New Roman" w:cs="Times New Roman"/>
          <w:sz w:val="24"/>
          <w:szCs w:val="24"/>
          <w:highlight w:val="yellow"/>
        </w:rPr>
        <w:t>zonas</w:t>
      </w:r>
      <w:r w:rsidR="00FD22CD" w:rsidRPr="00245277">
        <w:rPr>
          <w:rFonts w:ascii="Times New Roman" w:hAnsi="Times New Roman" w:cs="Times New Roman"/>
          <w:sz w:val="24"/>
          <w:szCs w:val="24"/>
        </w:rPr>
        <w:t xml:space="preserve"> de la ciudad.</w:t>
      </w:r>
      <w:r w:rsidR="00B76043" w:rsidRPr="00245277">
        <w:rPr>
          <w:rFonts w:ascii="Times New Roman" w:hAnsi="Times New Roman" w:cs="Times New Roman"/>
          <w:sz w:val="24"/>
          <w:szCs w:val="24"/>
        </w:rPr>
        <w:t xml:space="preserve"> </w:t>
      </w:r>
    </w:p>
    <w:p w14:paraId="449A567A"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6C65C34A" w14:textId="076CCC2B" w:rsidR="00D15315" w:rsidRDefault="00FD22CD" w:rsidP="00AD2E4B">
      <w:pPr>
        <w:spacing w:before="240" w:line="480" w:lineRule="auto"/>
        <w:contextualSpacing/>
        <w:jc w:val="both"/>
        <w:rPr>
          <w:rFonts w:ascii="Times New Roman" w:hAnsi="Times New Roman" w:cs="Times New Roman"/>
          <w:sz w:val="24"/>
          <w:szCs w:val="24"/>
          <w:lang w:val="en-US"/>
        </w:rPr>
      </w:pPr>
      <w:r w:rsidRPr="00245277">
        <w:rPr>
          <w:rFonts w:ascii="Times New Roman" w:hAnsi="Times New Roman" w:cs="Times New Roman"/>
          <w:sz w:val="24"/>
          <w:szCs w:val="24"/>
        </w:rPr>
        <w:t xml:space="preserve">Hay estudios que describieron el impacto diferencial de la pandemia en distintas metrópolis del mundo, coincidiendo en que en áreas de población con mayor vulnerabilidad social el impacto es </w:t>
      </w:r>
      <w:r w:rsidR="002D0C55" w:rsidRPr="00245277">
        <w:rPr>
          <w:rFonts w:ascii="Times New Roman" w:hAnsi="Times New Roman" w:cs="Times New Roman"/>
          <w:sz w:val="24"/>
          <w:szCs w:val="24"/>
        </w:rPr>
        <w:t>más</w:t>
      </w:r>
      <w:r w:rsidRPr="00245277">
        <w:rPr>
          <w:rFonts w:ascii="Times New Roman" w:hAnsi="Times New Roman" w:cs="Times New Roman"/>
          <w:sz w:val="24"/>
          <w:szCs w:val="24"/>
        </w:rPr>
        <w:t xml:space="preserve"> dañino. Van </w:t>
      </w:r>
      <w:proofErr w:type="spellStart"/>
      <w:r w:rsidRPr="00245277">
        <w:rPr>
          <w:rFonts w:ascii="Times New Roman" w:hAnsi="Times New Roman" w:cs="Times New Roman"/>
          <w:sz w:val="24"/>
          <w:szCs w:val="24"/>
        </w:rPr>
        <w:t>Dorm</w:t>
      </w:r>
      <w:proofErr w:type="spellEnd"/>
      <w:r w:rsidRPr="00245277">
        <w:rPr>
          <w:rFonts w:ascii="Times New Roman" w:hAnsi="Times New Roman" w:cs="Times New Roman"/>
          <w:sz w:val="24"/>
          <w:szCs w:val="24"/>
        </w:rPr>
        <w:t xml:space="preserve">, </w:t>
      </w:r>
      <w:proofErr w:type="spellStart"/>
      <w:r w:rsidRPr="00245277">
        <w:rPr>
          <w:rFonts w:ascii="Times New Roman" w:hAnsi="Times New Roman" w:cs="Times New Roman"/>
          <w:sz w:val="24"/>
          <w:szCs w:val="24"/>
        </w:rPr>
        <w:t>Cooney</w:t>
      </w:r>
      <w:proofErr w:type="spellEnd"/>
      <w:r w:rsidRPr="00245277">
        <w:rPr>
          <w:rFonts w:ascii="Times New Roman" w:hAnsi="Times New Roman" w:cs="Times New Roman"/>
          <w:sz w:val="24"/>
          <w:szCs w:val="24"/>
        </w:rPr>
        <w:t xml:space="preserve"> y Sabin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(9)</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acuerdan que en ciudades como Nueva York, los llamados “trabajadores esenciales” </w:t>
      </w:r>
      <w:r w:rsidR="002D0C55" w:rsidRPr="00245277">
        <w:rPr>
          <w:rFonts w:ascii="Times New Roman" w:hAnsi="Times New Roman" w:cs="Times New Roman"/>
          <w:sz w:val="24"/>
          <w:szCs w:val="24"/>
        </w:rPr>
        <w:t>constituyen</w:t>
      </w:r>
      <w:r w:rsidRPr="00245277">
        <w:rPr>
          <w:rFonts w:ascii="Times New Roman" w:hAnsi="Times New Roman" w:cs="Times New Roman"/>
          <w:sz w:val="24"/>
          <w:szCs w:val="24"/>
        </w:rPr>
        <w:t xml:space="preserve"> una población conformada en su mayor parte por personas vulnerables, </w:t>
      </w:r>
      <w:r w:rsidR="002D0C55" w:rsidRPr="00245277">
        <w:rPr>
          <w:rFonts w:ascii="Times New Roman" w:hAnsi="Times New Roman" w:cs="Times New Roman"/>
          <w:sz w:val="24"/>
          <w:szCs w:val="24"/>
        </w:rPr>
        <w:t xml:space="preserve">principalmente afroamericanos e hispanos, por lo que la exposición de estas comunidades al virus, es </w:t>
      </w:r>
      <w:r w:rsidR="003538C9" w:rsidRPr="00245277">
        <w:rPr>
          <w:rFonts w:ascii="Times New Roman" w:hAnsi="Times New Roman" w:cs="Times New Roman"/>
          <w:sz w:val="24"/>
          <w:szCs w:val="24"/>
        </w:rPr>
        <w:t xml:space="preserve">aún </w:t>
      </w:r>
      <w:r w:rsidR="002D0C55" w:rsidRPr="00245277">
        <w:rPr>
          <w:rFonts w:ascii="Times New Roman" w:hAnsi="Times New Roman" w:cs="Times New Roman"/>
          <w:sz w:val="24"/>
          <w:szCs w:val="24"/>
        </w:rPr>
        <w:t>mayor</w:t>
      </w:r>
      <w:r w:rsidRPr="00245277">
        <w:rPr>
          <w:rFonts w:ascii="Times New Roman" w:hAnsi="Times New Roman" w:cs="Times New Roman"/>
          <w:sz w:val="24"/>
          <w:szCs w:val="24"/>
        </w:rPr>
        <w:t xml:space="preserve">. </w:t>
      </w:r>
      <w:r w:rsidR="003538C9" w:rsidRPr="00245277">
        <w:rPr>
          <w:rFonts w:ascii="Times New Roman" w:hAnsi="Times New Roman" w:cs="Times New Roman"/>
          <w:sz w:val="24"/>
          <w:szCs w:val="24"/>
        </w:rPr>
        <w:t xml:space="preserve">Otro trabajo en EE. UU, un estudio ecológico de la distribución de la mortalidad relacionado a COVID-19 en la ciudad de Chicago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(10)</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mostró co</w:t>
      </w:r>
      <w:r w:rsidR="003212B6">
        <w:rPr>
          <w:rFonts w:ascii="Times New Roman" w:hAnsi="Times New Roman" w:cs="Times New Roman"/>
          <w:sz w:val="24"/>
          <w:szCs w:val="24"/>
        </w:rPr>
        <w:t xml:space="preserve">mo </w:t>
      </w:r>
      <w:r w:rsidR="003212B6">
        <w:rPr>
          <w:rFonts w:ascii="Times New Roman" w:hAnsi="Times New Roman" w:cs="Times New Roman"/>
          <w:sz w:val="24"/>
          <w:szCs w:val="24"/>
        </w:rPr>
        <w:lastRenderedPageBreak/>
        <w:t xml:space="preserve">la mortalidad se </w:t>
      </w:r>
      <w:r w:rsidR="003212B6" w:rsidRPr="00245277">
        <w:rPr>
          <w:rFonts w:ascii="Times New Roman" w:hAnsi="Times New Roman" w:cs="Times New Roman"/>
          <w:sz w:val="24"/>
          <w:szCs w:val="24"/>
        </w:rPr>
        <w:t>concentraba</w:t>
      </w:r>
      <w:r w:rsidR="003538C9" w:rsidRPr="00245277">
        <w:rPr>
          <w:rFonts w:ascii="Times New Roman" w:hAnsi="Times New Roman" w:cs="Times New Roman"/>
          <w:sz w:val="24"/>
          <w:szCs w:val="24"/>
        </w:rPr>
        <w:t xml:space="preserve"> mayormente en </w:t>
      </w:r>
      <w:r w:rsidR="003212B6" w:rsidRPr="00245277">
        <w:rPr>
          <w:rFonts w:ascii="Times New Roman" w:hAnsi="Times New Roman" w:cs="Times New Roman"/>
          <w:sz w:val="24"/>
          <w:szCs w:val="24"/>
        </w:rPr>
        <w:t>áreas</w:t>
      </w:r>
      <w:r w:rsidR="003538C9" w:rsidRPr="00245277">
        <w:rPr>
          <w:rFonts w:ascii="Times New Roman" w:hAnsi="Times New Roman" w:cs="Times New Roman"/>
          <w:sz w:val="24"/>
          <w:szCs w:val="24"/>
        </w:rPr>
        <w:t xml:space="preserve"> predominaba las comunidades afroamericanas. Ellos propusieron, basados en los resultados de este estudio, la </w:t>
      </w:r>
      <w:r w:rsidR="003212B6" w:rsidRPr="00245277">
        <w:rPr>
          <w:rFonts w:ascii="Times New Roman" w:hAnsi="Times New Roman" w:cs="Times New Roman"/>
          <w:sz w:val="24"/>
          <w:szCs w:val="24"/>
        </w:rPr>
        <w:t>alta</w:t>
      </w:r>
      <w:r w:rsidR="003538C9" w:rsidRPr="00245277">
        <w:rPr>
          <w:rFonts w:ascii="Times New Roman" w:hAnsi="Times New Roman" w:cs="Times New Roman"/>
          <w:sz w:val="24"/>
          <w:szCs w:val="24"/>
        </w:rPr>
        <w:t xml:space="preserve"> prevalencia de enfermedades crónicas y desigualdades sociales persistentes como un </w:t>
      </w:r>
      <w:proofErr w:type="gramStart"/>
      <w:r w:rsidR="003538C9" w:rsidRPr="00245277">
        <w:rPr>
          <w:rFonts w:ascii="Times New Roman" w:hAnsi="Times New Roman" w:cs="Times New Roman"/>
          <w:sz w:val="24"/>
          <w:szCs w:val="24"/>
        </w:rPr>
        <w:t>posible factores</w:t>
      </w:r>
      <w:proofErr w:type="gramEnd"/>
      <w:r w:rsidR="003538C9" w:rsidRPr="00245277">
        <w:rPr>
          <w:rFonts w:ascii="Times New Roman" w:hAnsi="Times New Roman" w:cs="Times New Roman"/>
          <w:sz w:val="24"/>
          <w:szCs w:val="24"/>
        </w:rPr>
        <w:t xml:space="preserve"> que expliquen este fenómeno. En el mismo sentido, el estudio de </w:t>
      </w:r>
      <w:proofErr w:type="spellStart"/>
      <w:r w:rsidR="003538C9" w:rsidRPr="00245277">
        <w:rPr>
          <w:rFonts w:ascii="Times New Roman" w:hAnsi="Times New Roman" w:cs="Times New Roman"/>
          <w:sz w:val="24"/>
          <w:szCs w:val="24"/>
        </w:rPr>
        <w:t>Blundell</w:t>
      </w:r>
      <w:proofErr w:type="spellEnd"/>
      <w:r w:rsidR="003538C9" w:rsidRPr="00245277">
        <w:rPr>
          <w:rFonts w:ascii="Times New Roman" w:hAnsi="Times New Roman" w:cs="Times New Roman"/>
          <w:sz w:val="24"/>
          <w:szCs w:val="24"/>
        </w:rPr>
        <w:t xml:space="preserve"> et al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(11)</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xml:space="preserve"> en el Reino Unido mostr</w:t>
      </w:r>
      <w:r w:rsidR="00245277" w:rsidRPr="00245277">
        <w:rPr>
          <w:rFonts w:ascii="Times New Roman" w:hAnsi="Times New Roman" w:cs="Times New Roman"/>
          <w:sz w:val="24"/>
          <w:szCs w:val="24"/>
        </w:rPr>
        <w:t xml:space="preserve">ó que la mortalidad por COVID-19 en el 10% de las áreas más </w:t>
      </w:r>
      <w:commentRangeStart w:id="0"/>
      <w:r w:rsidR="00245277" w:rsidRPr="00245277">
        <w:rPr>
          <w:rFonts w:ascii="Times New Roman" w:hAnsi="Times New Roman" w:cs="Times New Roman"/>
          <w:sz w:val="24"/>
          <w:szCs w:val="24"/>
        </w:rPr>
        <w:t xml:space="preserve">necesitadas </w:t>
      </w:r>
      <w:commentRangeEnd w:id="0"/>
      <w:r w:rsidR="00245277">
        <w:rPr>
          <w:rStyle w:val="Refdecomentario"/>
        </w:rPr>
        <w:commentReference w:id="0"/>
      </w:r>
      <w:r w:rsidR="00245277" w:rsidRPr="00245277">
        <w:rPr>
          <w:rFonts w:ascii="Times New Roman" w:hAnsi="Times New Roman" w:cs="Times New Roman"/>
          <w:sz w:val="24"/>
          <w:szCs w:val="24"/>
        </w:rPr>
        <w:t xml:space="preserve">fue el doble que en el 10% más ricas. </w:t>
      </w:r>
      <w:commentRangeStart w:id="1"/>
      <w:proofErr w:type="spellStart"/>
      <w:r w:rsidR="00245277" w:rsidRPr="00511FDA">
        <w:rPr>
          <w:rFonts w:ascii="Times New Roman" w:hAnsi="Times New Roman" w:cs="Times New Roman"/>
          <w:sz w:val="24"/>
          <w:szCs w:val="24"/>
          <w:lang w:val="en-US"/>
        </w:rPr>
        <w:t>Además</w:t>
      </w:r>
      <w:proofErr w:type="spellEnd"/>
      <w:r w:rsidR="00245277" w:rsidRPr="00511FDA">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Moreover, for mortality from COVID-19 the inequality between these two extremes was even greater for overall mortality.</w:t>
      </w:r>
      <w:commentRangeEnd w:id="1"/>
      <w:r w:rsidR="00511FDA">
        <w:rPr>
          <w:rStyle w:val="Refdecomentario"/>
        </w:rPr>
        <w:commentReference w:id="1"/>
      </w:r>
      <w:r w:rsidR="00511FDA">
        <w:rPr>
          <w:rFonts w:ascii="Times New Roman" w:hAnsi="Times New Roman" w:cs="Times New Roman"/>
          <w:sz w:val="24"/>
          <w:szCs w:val="24"/>
          <w:lang w:val="en-US"/>
        </w:rPr>
        <w:t xml:space="preserve"> </w:t>
      </w:r>
    </w:p>
    <w:p w14:paraId="1701CEEB" w14:textId="77777777" w:rsidR="00AD2E4B" w:rsidRDefault="00511FDA" w:rsidP="00AD2E4B">
      <w:pPr>
        <w:spacing w:before="240" w:line="480" w:lineRule="auto"/>
        <w:contextualSpacing/>
        <w:jc w:val="both"/>
        <w:rPr>
          <w:rFonts w:ascii="Times New Roman" w:hAnsi="Times New Roman" w:cs="Times New Roman"/>
          <w:sz w:val="24"/>
          <w:szCs w:val="24"/>
        </w:rPr>
      </w:pPr>
      <w:r w:rsidRPr="00511FDA">
        <w:rPr>
          <w:rFonts w:ascii="Times New Roman" w:hAnsi="Times New Roman" w:cs="Times New Roman"/>
          <w:sz w:val="24"/>
          <w:szCs w:val="24"/>
        </w:rPr>
        <w:t xml:space="preserve">En Barcelona, un </w:t>
      </w:r>
      <w:r>
        <w:rPr>
          <w:rFonts w:ascii="Times New Roman" w:hAnsi="Times New Roman" w:cs="Times New Roman"/>
          <w:sz w:val="24"/>
          <w:szCs w:val="24"/>
        </w:rPr>
        <w:t>e</w:t>
      </w:r>
      <w:r w:rsidRPr="00511FDA">
        <w:rPr>
          <w:rFonts w:ascii="Times New Roman" w:hAnsi="Times New Roman" w:cs="Times New Roman"/>
          <w:sz w:val="24"/>
          <w:szCs w:val="24"/>
        </w:rPr>
        <w:t>studio por distritos mostró una alta asociación entre variables sociodemogr</w:t>
      </w:r>
      <w:r>
        <w:rPr>
          <w:rFonts w:ascii="Times New Roman" w:hAnsi="Times New Roman" w:cs="Times New Roman"/>
          <w:sz w:val="24"/>
          <w:szCs w:val="24"/>
        </w:rPr>
        <w:t xml:space="preserve">áficas y la incidencia por COVID-19. </w:t>
      </w:r>
      <w:r w:rsidR="00FD4BEA">
        <w:rPr>
          <w:rFonts w:ascii="Times New Roman" w:hAnsi="Times New Roman" w:cs="Times New Roman"/>
          <w:sz w:val="24"/>
          <w:szCs w:val="24"/>
        </w:rPr>
        <w:t>C</w:t>
      </w:r>
      <w:r w:rsidR="00FD4BEA" w:rsidRPr="00511FDA">
        <w:rPr>
          <w:rFonts w:ascii="Times New Roman" w:hAnsi="Times New Roman" w:cs="Times New Roman"/>
          <w:sz w:val="24"/>
          <w:szCs w:val="24"/>
        </w:rPr>
        <w:t xml:space="preserve">abe señalar que el estudio Baena-Díez </w:t>
      </w:r>
      <w:r w:rsidR="00FD4BEA">
        <w:rPr>
          <w:rFonts w:ascii="Times New Roman" w:hAnsi="Times New Roman" w:cs="Times New Roman"/>
          <w:sz w:val="24"/>
          <w:szCs w:val="24"/>
          <w:lang w:val="en-US"/>
        </w:rPr>
        <w:fldChar w:fldCharType="begin" w:fldLock="1"/>
      </w:r>
      <w:r w:rsidR="00FD4BEA" w:rsidRPr="00FD4BEA">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FD4BEA">
        <w:rPr>
          <w:rFonts w:ascii="Times New Roman" w:hAnsi="Times New Roman" w:cs="Times New Roman"/>
          <w:sz w:val="24"/>
          <w:szCs w:val="24"/>
          <w:lang w:val="en-US"/>
        </w:rPr>
        <w:fldChar w:fldCharType="separate"/>
      </w:r>
      <w:r w:rsidR="00FD4BEA" w:rsidRPr="00FD4BEA">
        <w:rPr>
          <w:rFonts w:ascii="Times New Roman" w:hAnsi="Times New Roman" w:cs="Times New Roman"/>
          <w:noProof/>
          <w:sz w:val="24"/>
          <w:szCs w:val="24"/>
        </w:rPr>
        <w:t>(12)</w:t>
      </w:r>
      <w:r w:rsidR="00FD4BEA">
        <w:rPr>
          <w:rFonts w:ascii="Times New Roman" w:hAnsi="Times New Roman" w:cs="Times New Roman"/>
          <w:sz w:val="24"/>
          <w:szCs w:val="24"/>
          <w:lang w:val="en-US"/>
        </w:rPr>
        <w:fldChar w:fldCharType="end"/>
      </w:r>
      <w:r w:rsidR="00FD4BEA" w:rsidRPr="00FD4BEA">
        <w:rPr>
          <w:rFonts w:ascii="Times New Roman" w:hAnsi="Times New Roman" w:cs="Times New Roman"/>
          <w:sz w:val="24"/>
          <w:szCs w:val="24"/>
        </w:rPr>
        <w:t xml:space="preserve"> </w:t>
      </w:r>
      <w:r w:rsidR="00FD4BEA" w:rsidRPr="00511FDA">
        <w:rPr>
          <w:rFonts w:ascii="Times New Roman" w:hAnsi="Times New Roman" w:cs="Times New Roman"/>
          <w:sz w:val="24"/>
          <w:szCs w:val="24"/>
        </w:rPr>
        <w:t xml:space="preserve">mostró una alta correlación entre la renta media de la comunidad y las tasas de incidencia (Rho de </w:t>
      </w:r>
      <w:proofErr w:type="spellStart"/>
      <w:r w:rsidR="00FD4BEA" w:rsidRPr="00511FDA">
        <w:rPr>
          <w:rFonts w:ascii="Times New Roman" w:hAnsi="Times New Roman" w:cs="Times New Roman"/>
          <w:sz w:val="24"/>
          <w:szCs w:val="24"/>
        </w:rPr>
        <w:t>Spearman</w:t>
      </w:r>
      <w:proofErr w:type="spellEnd"/>
      <w:r w:rsidR="00FD4BEA" w:rsidRPr="00511FDA">
        <w:rPr>
          <w:rFonts w:ascii="Times New Roman" w:hAnsi="Times New Roman" w:cs="Times New Roman"/>
          <w:sz w:val="24"/>
          <w:szCs w:val="24"/>
        </w:rPr>
        <w:t xml:space="preserve"> = 0,83). </w:t>
      </w:r>
      <w:r w:rsidR="00FD4BEA">
        <w:rPr>
          <w:rFonts w:ascii="Times New Roman" w:hAnsi="Times New Roman" w:cs="Times New Roman"/>
          <w:sz w:val="24"/>
          <w:szCs w:val="24"/>
        </w:rPr>
        <w:t xml:space="preserve"> </w:t>
      </w:r>
    </w:p>
    <w:p w14:paraId="3B6BC98A" w14:textId="77777777" w:rsidR="00AD2E4B" w:rsidRDefault="00AD2E4B" w:rsidP="00AD2E4B">
      <w:pPr>
        <w:spacing w:before="240" w:line="480" w:lineRule="auto"/>
        <w:contextualSpacing/>
        <w:jc w:val="both"/>
        <w:rPr>
          <w:rFonts w:ascii="Times New Roman" w:hAnsi="Times New Roman" w:cs="Times New Roman"/>
          <w:sz w:val="24"/>
          <w:szCs w:val="24"/>
        </w:rPr>
      </w:pPr>
    </w:p>
    <w:p w14:paraId="311F8781" w14:textId="77777777" w:rsidR="00C907FC" w:rsidRDefault="000E556B" w:rsidP="00AD2E4B">
      <w:pPr>
        <w:spacing w:before="240" w:line="480" w:lineRule="auto"/>
        <w:contextualSpacing/>
        <w:jc w:val="both"/>
        <w:rPr>
          <w:rFonts w:ascii="Times New Roman" w:hAnsi="Times New Roman" w:cs="Times New Roman"/>
          <w:sz w:val="24"/>
          <w:szCs w:val="24"/>
        </w:rPr>
      </w:pPr>
      <w:r w:rsidRPr="000E556B">
        <w:rPr>
          <w:rFonts w:ascii="Times New Roman" w:hAnsi="Times New Roman" w:cs="Times New Roman"/>
          <w:sz w:val="24"/>
          <w:szCs w:val="24"/>
        </w:rPr>
        <w:t>Si bien no se observaron estudios empíricos que cuantifiquen el impacto desigual de la morbilidad y mortalidad por COVID-19 en ciudades latinoamericanas, el potencial impacto diferencial de la pandemia en diferentes dimensiones de la vida social en las grandes ciudades latinoamericanas que anteriormente present</w:t>
      </w:r>
      <w:r>
        <w:rPr>
          <w:rFonts w:ascii="Times New Roman" w:hAnsi="Times New Roman" w:cs="Times New Roman"/>
          <w:sz w:val="24"/>
          <w:szCs w:val="24"/>
        </w:rPr>
        <w:t>aban altos grados de inequidad fue señalado</w:t>
      </w:r>
      <w:r w:rsidRPr="000E556B">
        <w:rPr>
          <w:rFonts w:ascii="Times New Roman" w:hAnsi="Times New Roman" w:cs="Times New Roman"/>
          <w:sz w:val="24"/>
          <w:szCs w:val="24"/>
        </w:rPr>
        <w:t xml:space="preserve"> en la literatura. </w:t>
      </w:r>
      <w:r w:rsidRPr="00D15315">
        <w:rPr>
          <w:rFonts w:ascii="Times New Roman" w:hAnsi="Times New Roman" w:cs="Times New Roman"/>
          <w:sz w:val="24"/>
          <w:szCs w:val="24"/>
        </w:rPr>
        <w:t>Diez-</w:t>
      </w:r>
      <w:proofErr w:type="spellStart"/>
      <w:r w:rsidRPr="00D15315">
        <w:rPr>
          <w:rFonts w:ascii="Times New Roman" w:hAnsi="Times New Roman" w:cs="Times New Roman"/>
          <w:sz w:val="24"/>
          <w:szCs w:val="24"/>
        </w:rPr>
        <w:t>Roux</w:t>
      </w:r>
      <w:proofErr w:type="spellEnd"/>
      <w:r w:rsidRPr="00D15315">
        <w:rPr>
          <w:rFonts w:ascii="Times New Roman" w:hAnsi="Times New Roman" w:cs="Times New Roman"/>
          <w:sz w:val="24"/>
          <w:szCs w:val="24"/>
        </w:rPr>
        <w:t xml:space="preserve"> et al. </w:t>
      </w:r>
      <w:r>
        <w:rPr>
          <w:rFonts w:ascii="Times New Roman" w:hAnsi="Times New Roman" w:cs="Times New Roman"/>
          <w:sz w:val="24"/>
          <w:szCs w:val="24"/>
          <w:lang w:val="en-US"/>
        </w:rPr>
        <w:fldChar w:fldCharType="begin" w:fldLock="1"/>
      </w:r>
      <w:r w:rsidRPr="00E8197C">
        <w:rPr>
          <w:rFonts w:ascii="Times New Roman" w:hAnsi="Times New Roman" w:cs="Times New Roman"/>
          <w:sz w:val="24"/>
          <w:szCs w:val="24"/>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(13)</w:t>
      </w:r>
      <w:r>
        <w:rPr>
          <w:rFonts w:ascii="Times New Roman" w:hAnsi="Times New Roman" w:cs="Times New Roman"/>
          <w:sz w:val="24"/>
          <w:szCs w:val="24"/>
          <w:lang w:val="en-US"/>
        </w:rPr>
        <w:fldChar w:fldCharType="end"/>
      </w:r>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rPr>
        <w:t xml:space="preserve">argumentó </w:t>
      </w:r>
      <w:r w:rsidR="00D15315" w:rsidRPr="00D15315">
        <w:rPr>
          <w:rFonts w:ascii="Times New Roman" w:hAnsi="Times New Roman" w:cs="Times New Roman"/>
          <w:sz w:val="24"/>
          <w:szCs w:val="24"/>
        </w:rPr>
        <w:t>que existen fenómenos cuyas consecuencias superan el impacto de las infecciones por COVID-19, superponiéndose con condiciones preexistentes de inequidad</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Así, además del impacto en la salud de las personas infectadas, existen consecuencias socioeconómicas de desempleo, pérdida de ingresos, retrasos en la atención de otras afecciones de salud, etc.</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En el mismo sentido, </w:t>
      </w:r>
      <w:proofErr w:type="spellStart"/>
      <w:r w:rsidR="00D15315" w:rsidRPr="00D15315">
        <w:rPr>
          <w:rFonts w:ascii="Times New Roman" w:hAnsi="Times New Roman" w:cs="Times New Roman"/>
          <w:sz w:val="24"/>
          <w:szCs w:val="24"/>
        </w:rPr>
        <w:t>Patel</w:t>
      </w:r>
      <w:proofErr w:type="spellEnd"/>
      <w:r w:rsidR="00D15315" w:rsidRPr="00D15315">
        <w:rPr>
          <w:rFonts w:ascii="Times New Roman" w:hAnsi="Times New Roman" w:cs="Times New Roman"/>
          <w:sz w:val="24"/>
          <w:szCs w:val="24"/>
        </w:rPr>
        <w:t xml:space="preserve"> </w:t>
      </w:r>
      <w:r w:rsidR="00D15315" w:rsidRPr="00D15315">
        <w:rPr>
          <w:rFonts w:ascii="Times New Roman" w:hAnsi="Times New Roman" w:cs="Times New Roman"/>
          <w:sz w:val="24"/>
          <w:szCs w:val="24"/>
          <w:highlight w:val="yellow"/>
        </w:rPr>
        <w:t xml:space="preserve">and </w:t>
      </w:r>
      <w:proofErr w:type="spellStart"/>
      <w:r w:rsidR="00D15315" w:rsidRPr="00D15315">
        <w:rPr>
          <w:rFonts w:ascii="Times New Roman" w:hAnsi="Times New Roman" w:cs="Times New Roman"/>
          <w:sz w:val="24"/>
          <w:szCs w:val="24"/>
          <w:highlight w:val="yellow"/>
        </w:rPr>
        <w:t>others</w:t>
      </w:r>
      <w:proofErr w:type="spellEnd"/>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lang w:val="en-US"/>
        </w:rPr>
        <w:fldChar w:fldCharType="begin" w:fldLock="1"/>
      </w:r>
      <w:r w:rsidR="00D15315"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D15315">
        <w:rPr>
          <w:rFonts w:ascii="Times New Roman" w:hAnsi="Times New Roman" w:cs="Times New Roman"/>
          <w:sz w:val="24"/>
          <w:szCs w:val="24"/>
          <w:lang w:val="en-US"/>
        </w:rPr>
        <w:fldChar w:fldCharType="separate"/>
      </w:r>
      <w:r w:rsidR="00D15315" w:rsidRPr="00D15315">
        <w:rPr>
          <w:rFonts w:ascii="Times New Roman" w:hAnsi="Times New Roman" w:cs="Times New Roman"/>
          <w:noProof/>
          <w:sz w:val="24"/>
          <w:szCs w:val="24"/>
        </w:rPr>
        <w:t>(14)</w:t>
      </w:r>
      <w:r w:rsidR="00D15315">
        <w:rPr>
          <w:rFonts w:ascii="Times New Roman" w:hAnsi="Times New Roman" w:cs="Times New Roman"/>
          <w:sz w:val="24"/>
          <w:szCs w:val="24"/>
          <w:lang w:val="en-US"/>
        </w:rPr>
        <w:fldChar w:fldCharType="end"/>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asociaron la frase  “el virus no discrimina”, repetida ocasionalmente por líderes políticos, expertos en salud pública y periodistas a una especie de "mito" que </w:t>
      </w:r>
      <w:proofErr w:type="spellStart"/>
      <w:r w:rsidR="00D15315" w:rsidRPr="00D15315">
        <w:rPr>
          <w:rFonts w:ascii="Times New Roman" w:hAnsi="Times New Roman" w:cs="Times New Roman"/>
          <w:sz w:val="24"/>
          <w:szCs w:val="24"/>
        </w:rPr>
        <w:t>invisibiliza</w:t>
      </w:r>
      <w:proofErr w:type="spellEnd"/>
      <w:r w:rsidR="00D15315" w:rsidRPr="00D15315">
        <w:rPr>
          <w:rFonts w:ascii="Times New Roman" w:hAnsi="Times New Roman" w:cs="Times New Roman"/>
          <w:sz w:val="24"/>
          <w:szCs w:val="24"/>
        </w:rPr>
        <w:t xml:space="preserve"> los diferentes grados de vulnerabilidad de las poblaciones.</w:t>
      </w:r>
    </w:p>
    <w:p w14:paraId="219E2792" w14:textId="77777777" w:rsidR="00AD2E4B" w:rsidRDefault="00AD2E4B" w:rsidP="00AD2E4B">
      <w:pPr>
        <w:spacing w:before="240" w:line="480" w:lineRule="auto"/>
        <w:contextualSpacing/>
        <w:jc w:val="both"/>
        <w:rPr>
          <w:rFonts w:ascii="Times New Roman" w:hAnsi="Times New Roman" w:cs="Times New Roman"/>
          <w:sz w:val="24"/>
          <w:szCs w:val="24"/>
        </w:rPr>
      </w:pPr>
    </w:p>
    <w:p w14:paraId="4B60DF5C" w14:textId="77777777" w:rsidR="00D15315" w:rsidRDefault="00D15315"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Otra referencia relevante representa el trabajo de </w:t>
      </w:r>
      <w:proofErr w:type="spellStart"/>
      <w:r w:rsidRPr="00D15315">
        <w:rPr>
          <w:rFonts w:ascii="Times New Roman" w:hAnsi="Times New Roman" w:cs="Times New Roman"/>
          <w:sz w:val="24"/>
          <w:szCs w:val="24"/>
        </w:rPr>
        <w:t>Patel</w:t>
      </w:r>
      <w:proofErr w:type="spellEnd"/>
      <w:r w:rsidRPr="00D15315">
        <w:rPr>
          <w:rFonts w:ascii="Times New Roman" w:hAnsi="Times New Roman" w:cs="Times New Roman"/>
          <w:sz w:val="24"/>
          <w:szCs w:val="24"/>
        </w:rPr>
        <w:t xml:space="preserve"> and </w:t>
      </w:r>
      <w:proofErr w:type="spellStart"/>
      <w:r w:rsidRPr="00D15315">
        <w:rPr>
          <w:rFonts w:ascii="Times New Roman" w:hAnsi="Times New Roman" w:cs="Times New Roman"/>
          <w:sz w:val="24"/>
          <w:szCs w:val="24"/>
        </w:rPr>
        <w:t>others</w:t>
      </w:r>
      <w:proofErr w:type="spellEnd"/>
      <w:r w:rsidRPr="00D15315">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(14)</w:t>
      </w:r>
      <w:r>
        <w:rPr>
          <w:rFonts w:ascii="Times New Roman" w:hAnsi="Times New Roman" w:cs="Times New Roman"/>
          <w:sz w:val="24"/>
          <w:szCs w:val="24"/>
          <w:lang w:val="en-US"/>
        </w:rPr>
        <w:fldChar w:fldCharType="end"/>
      </w:r>
      <w:r>
        <w:rPr>
          <w:rFonts w:ascii="Times New Roman" w:hAnsi="Times New Roman" w:cs="Times New Roman"/>
          <w:sz w:val="24"/>
          <w:szCs w:val="24"/>
        </w:rPr>
        <w:t xml:space="preserve"> </w:t>
      </w:r>
      <w:r w:rsidRPr="00D15315">
        <w:rPr>
          <w:rFonts w:ascii="Times New Roman" w:hAnsi="Times New Roman" w:cs="Times New Roman"/>
          <w:sz w:val="24"/>
          <w:szCs w:val="24"/>
        </w:rPr>
        <w:t>donde se problematizó el fenómeno de la urbanización y se señalaron características de grandes aglomerados urbanos como factores de influencia negativa en la salud de las poblaciones antes de la pandemia.</w:t>
      </w:r>
      <w:r w:rsidR="0094227B" w:rsidRPr="0094227B">
        <w:t xml:space="preserve"> </w:t>
      </w:r>
      <w:r w:rsidR="0094227B" w:rsidRPr="0094227B">
        <w:rPr>
          <w:rFonts w:ascii="Times New Roman" w:hAnsi="Times New Roman" w:cs="Times New Roman"/>
          <w:sz w:val="24"/>
          <w:szCs w:val="24"/>
        </w:rPr>
        <w:t>La alta densidad de población, el hacinamiento en asentamientos inseguros, la pobreza y el envejecimiento, entre otros, constituirían factores de vulnerabilidad de las poblaciones al surgimiento y resurgimiento de enfermedades infecciosas.</w:t>
      </w:r>
    </w:p>
    <w:p w14:paraId="5E65A5A9" w14:textId="77777777" w:rsidR="00AD2E4B" w:rsidRPr="00D15315" w:rsidRDefault="00AD2E4B" w:rsidP="00AD2E4B">
      <w:pPr>
        <w:spacing w:before="240" w:line="480" w:lineRule="auto"/>
        <w:contextualSpacing/>
        <w:jc w:val="both"/>
        <w:rPr>
          <w:rFonts w:ascii="Times New Roman" w:hAnsi="Times New Roman" w:cs="Times New Roman"/>
          <w:sz w:val="24"/>
          <w:szCs w:val="24"/>
        </w:rPr>
      </w:pPr>
    </w:p>
    <w:p w14:paraId="7C912B0B" w14:textId="77777777" w:rsidR="00F138DB" w:rsidRDefault="002338BD" w:rsidP="00AD2E4B">
      <w:pPr>
        <w:spacing w:before="240" w:line="480" w:lineRule="auto"/>
        <w:contextualSpacing/>
        <w:jc w:val="both"/>
        <w:rPr>
          <w:rFonts w:ascii="Times New Roman" w:hAnsi="Times New Roman" w:cs="Times New Roman"/>
          <w:sz w:val="24"/>
          <w:szCs w:val="24"/>
        </w:rPr>
      </w:pPr>
      <w:r w:rsidRPr="002338BD">
        <w:rPr>
          <w:rFonts w:ascii="Times New Roman" w:hAnsi="Times New Roman" w:cs="Times New Roman"/>
          <w:sz w:val="24"/>
          <w:szCs w:val="24"/>
        </w:rPr>
        <w:t xml:space="preserve">También debe destacarse la desigualdad en la disponibilidad de información entre países y áreas </w:t>
      </w:r>
      <w:proofErr w:type="spellStart"/>
      <w:r w:rsidRPr="002338BD">
        <w:rPr>
          <w:rFonts w:ascii="Times New Roman" w:hAnsi="Times New Roman" w:cs="Times New Roman"/>
          <w:sz w:val="24"/>
          <w:szCs w:val="24"/>
        </w:rPr>
        <w:t>subnacionales</w:t>
      </w:r>
      <w:proofErr w:type="spellEnd"/>
      <w:r w:rsidRPr="002338BD">
        <w:rPr>
          <w:rFonts w:ascii="Times New Roman" w:hAnsi="Times New Roman" w:cs="Times New Roman"/>
          <w:sz w:val="24"/>
          <w:szCs w:val="24"/>
        </w:rPr>
        <w:t xml:space="preserve"> </w:t>
      </w:r>
      <w:r w:rsidR="00AD2E4B">
        <w:rPr>
          <w:rFonts w:ascii="Times New Roman" w:hAnsi="Times New Roman" w:cs="Times New Roman"/>
          <w:sz w:val="24"/>
          <w:szCs w:val="24"/>
        </w:rPr>
        <w:t>ya que esta</w:t>
      </w:r>
      <w:r w:rsidRPr="002338BD">
        <w:rPr>
          <w:rFonts w:ascii="Times New Roman" w:hAnsi="Times New Roman" w:cs="Times New Roman"/>
          <w:sz w:val="24"/>
          <w:szCs w:val="24"/>
        </w:rPr>
        <w:t xml:space="preserve"> determina diferentes niveles de cobertura, exhaustividad y especificidad de las estadísticas.</w:t>
      </w:r>
      <w:r>
        <w:rPr>
          <w:rFonts w:ascii="Times New Roman" w:hAnsi="Times New Roman" w:cs="Times New Roman"/>
          <w:sz w:val="24"/>
          <w:szCs w:val="24"/>
        </w:rPr>
        <w:t xml:space="preserve"> </w:t>
      </w:r>
      <w:r w:rsidRPr="002338BD">
        <w:rPr>
          <w:rFonts w:ascii="Times New Roman" w:hAnsi="Times New Roman" w:cs="Times New Roman"/>
          <w:sz w:val="24"/>
          <w:szCs w:val="24"/>
        </w:rPr>
        <w:t xml:space="preserve">Los indicadores per cápita se difunden comúnmente como una medida de los fenómenos epidemiológicos, en particular la mortalidad. En este aspecto, el estudio de </w:t>
      </w:r>
      <w:proofErr w:type="spellStart"/>
      <w:r w:rsidRPr="002338BD">
        <w:rPr>
          <w:rFonts w:ascii="Times New Roman" w:hAnsi="Times New Roman" w:cs="Times New Roman"/>
          <w:sz w:val="24"/>
          <w:szCs w:val="24"/>
        </w:rPr>
        <w:t>Heuveline</w:t>
      </w:r>
      <w:proofErr w:type="spellEnd"/>
      <w:r w:rsidRPr="002338BD">
        <w:rPr>
          <w:rFonts w:ascii="Times New Roman" w:hAnsi="Times New Roman" w:cs="Times New Roman"/>
          <w:sz w:val="24"/>
          <w:szCs w:val="24"/>
        </w:rPr>
        <w:t xml:space="preserve"> y </w:t>
      </w:r>
      <w:proofErr w:type="spellStart"/>
      <w:r w:rsidRPr="002338BD">
        <w:rPr>
          <w:rFonts w:ascii="Times New Roman" w:hAnsi="Times New Roman" w:cs="Times New Roman"/>
          <w:sz w:val="24"/>
          <w:szCs w:val="24"/>
        </w:rPr>
        <w:t>Tzen</w:t>
      </w:r>
      <w:proofErr w:type="spellEnd"/>
      <w:r w:rsidRPr="002338BD">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2338BD">
        <w:rPr>
          <w:rFonts w:ascii="Times New Roman" w:hAnsi="Times New Roman" w:cs="Times New Roman"/>
          <w:sz w:val="24"/>
          <w:szCs w:val="24"/>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2338BD">
        <w:rPr>
          <w:rFonts w:ascii="Times New Roman" w:hAnsi="Times New Roman" w:cs="Times New Roman"/>
          <w:noProof/>
          <w:sz w:val="24"/>
          <w:szCs w:val="24"/>
        </w:rPr>
        <w:t>(16)</w:t>
      </w:r>
      <w:r>
        <w:rPr>
          <w:rFonts w:ascii="Times New Roman" w:hAnsi="Times New Roman" w:cs="Times New Roman"/>
          <w:sz w:val="24"/>
          <w:szCs w:val="24"/>
          <w:lang w:val="en-US"/>
        </w:rPr>
        <w:fldChar w:fldCharType="end"/>
      </w:r>
      <w:r w:rsidRPr="002338BD">
        <w:rPr>
          <w:rFonts w:ascii="Times New Roman" w:hAnsi="Times New Roman" w:cs="Times New Roman"/>
          <w:sz w:val="24"/>
          <w:szCs w:val="24"/>
        </w:rPr>
        <w:t xml:space="preserve"> representa un aporte fundamental en términos metodológicos, ya que destaca la relevancia de ajustar los factores de confusión (estructura demográfica y tiempo transcurrido desde el inicio de la epidemia) para la evaluación del impacto de la pandemia en diferentes poblaciones</w:t>
      </w:r>
      <w:r>
        <w:rPr>
          <w:rFonts w:ascii="Times New Roman" w:hAnsi="Times New Roman" w:cs="Times New Roman"/>
          <w:sz w:val="24"/>
          <w:szCs w:val="24"/>
        </w:rPr>
        <w:t xml:space="preserve">. </w:t>
      </w:r>
      <w:proofErr w:type="gramStart"/>
      <w:r w:rsidRPr="002338BD">
        <w:rPr>
          <w:rFonts w:ascii="Times New Roman" w:hAnsi="Times New Roman" w:cs="Times New Roman"/>
          <w:sz w:val="24"/>
          <w:szCs w:val="24"/>
        </w:rPr>
        <w:t>Las estructuras demográficas más jóvenes generalmente se asocian con poblaciones con altos niveles de privación y</w:t>
      </w:r>
      <w:r>
        <w:rPr>
          <w:rFonts w:ascii="Times New Roman" w:hAnsi="Times New Roman" w:cs="Times New Roman"/>
          <w:sz w:val="24"/>
          <w:szCs w:val="24"/>
        </w:rPr>
        <w:t xml:space="preserve"> </w:t>
      </w:r>
      <w:r w:rsidRPr="002338BD">
        <w:rPr>
          <w:rFonts w:ascii="Times New Roman" w:hAnsi="Times New Roman" w:cs="Times New Roman"/>
          <w:sz w:val="24"/>
          <w:szCs w:val="24"/>
          <w:highlight w:val="yellow"/>
        </w:rPr>
        <w:t>enmascaramiento??</w:t>
      </w:r>
      <w:proofErr w:type="gramEnd"/>
      <w:r w:rsidRPr="002338BD">
        <w:rPr>
          <w:rFonts w:ascii="Times New Roman" w:hAnsi="Times New Roman" w:cs="Times New Roman"/>
          <w:sz w:val="24"/>
          <w:szCs w:val="24"/>
          <w:highlight w:val="yellow"/>
        </w:rPr>
        <w:t>,</w:t>
      </w:r>
      <w:r w:rsidRPr="002338BD">
        <w:rPr>
          <w:rFonts w:ascii="Times New Roman" w:hAnsi="Times New Roman" w:cs="Times New Roman"/>
          <w:sz w:val="24"/>
          <w:szCs w:val="24"/>
        </w:rPr>
        <w:t xml:space="preserve"> </w:t>
      </w:r>
      <w:r w:rsidRPr="008F0A49">
        <w:rPr>
          <w:rFonts w:ascii="Times New Roman" w:hAnsi="Times New Roman" w:cs="Times New Roman"/>
          <w:sz w:val="24"/>
          <w:szCs w:val="24"/>
          <w:highlight w:val="yellow"/>
        </w:rPr>
        <w:t>debido al efecto de confusión de la distribución por edades en la población, el nivel de daño por mortalidad, lo que determina bajas tasas brutas de mortalidad, por ejemplo.</w:t>
      </w:r>
    </w:p>
    <w:p w14:paraId="682D3F5A" w14:textId="77777777" w:rsidR="00AD2E4B" w:rsidRPr="002338BD" w:rsidRDefault="00AD2E4B" w:rsidP="00AD2E4B">
      <w:pPr>
        <w:spacing w:before="240" w:line="480" w:lineRule="auto"/>
        <w:contextualSpacing/>
        <w:jc w:val="both"/>
        <w:rPr>
          <w:rFonts w:ascii="Times New Roman" w:hAnsi="Times New Roman" w:cs="Times New Roman"/>
          <w:sz w:val="24"/>
          <w:szCs w:val="24"/>
        </w:rPr>
      </w:pPr>
    </w:p>
    <w:p w14:paraId="2AE4515D" w14:textId="73612598" w:rsidR="0059740D"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El objetivo de este estudio fue describir la morbilidad y mortalidad por COVID-19 en la CABA y cuantificar el nivel de desigualdad observado entre </w:t>
      </w:r>
      <w:r w:rsidRPr="008F0A49">
        <w:rPr>
          <w:rFonts w:ascii="Times New Roman" w:hAnsi="Times New Roman" w:cs="Times New Roman"/>
          <w:sz w:val="24"/>
          <w:szCs w:val="24"/>
          <w:highlight w:val="yellow"/>
        </w:rPr>
        <w:t xml:space="preserve">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que la componen. El supuesto que </w:t>
      </w:r>
      <w:proofErr w:type="spellStart"/>
      <w:r w:rsidRPr="008F0A49">
        <w:rPr>
          <w:rFonts w:ascii="Times New Roman" w:hAnsi="Times New Roman" w:cs="Times New Roman"/>
          <w:sz w:val="24"/>
          <w:szCs w:val="24"/>
        </w:rPr>
        <w:t>guió</w:t>
      </w:r>
      <w:proofErr w:type="spellEnd"/>
      <w:r w:rsidRPr="008F0A49">
        <w:rPr>
          <w:rFonts w:ascii="Times New Roman" w:hAnsi="Times New Roman" w:cs="Times New Roman"/>
          <w:sz w:val="24"/>
          <w:szCs w:val="24"/>
        </w:rPr>
        <w:t xml:space="preserve"> la descripción se basó en que la desigual distribución de los indicadores de morbilidad y mortalidad representa un mayor impacto negativo en la zona sur de la ciudad, que integra los barrios de menores ingresos y es identificada en la bibliografía como el áre</w:t>
      </w:r>
      <w:r>
        <w:rPr>
          <w:rFonts w:ascii="Times New Roman" w:hAnsi="Times New Roman" w:cs="Times New Roman"/>
          <w:sz w:val="24"/>
          <w:szCs w:val="24"/>
        </w:rPr>
        <w:t>a más desatendida de la ciudad.</w:t>
      </w:r>
    </w:p>
    <w:p w14:paraId="14122552" w14:textId="77777777" w:rsidR="00AD2E4B" w:rsidRPr="008F0A49" w:rsidRDefault="00AD2E4B" w:rsidP="00AD2E4B">
      <w:pPr>
        <w:spacing w:before="240" w:line="480" w:lineRule="auto"/>
        <w:contextualSpacing/>
        <w:jc w:val="both"/>
        <w:rPr>
          <w:rFonts w:ascii="Times New Roman" w:hAnsi="Times New Roman" w:cs="Times New Roman"/>
          <w:sz w:val="24"/>
          <w:szCs w:val="24"/>
        </w:rPr>
      </w:pPr>
    </w:p>
    <w:p w14:paraId="6A4C03C1" w14:textId="5DD3EB6C" w:rsidR="00AD2E4B" w:rsidRPr="00E8197C" w:rsidRDefault="001C00FB" w:rsidP="00AD2E4B">
      <w:pPr>
        <w:spacing w:before="24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METHODS</w:t>
      </w:r>
    </w:p>
    <w:p w14:paraId="0138EDE4" w14:textId="5BE89890"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La investigación fue un estudio observacional, de </w:t>
      </w:r>
      <w:r>
        <w:rPr>
          <w:rFonts w:ascii="Times New Roman" w:hAnsi="Times New Roman" w:cs="Times New Roman"/>
          <w:sz w:val="24"/>
          <w:szCs w:val="24"/>
        </w:rPr>
        <w:t>enfoque</w:t>
      </w:r>
      <w:r w:rsidRPr="008F0A49">
        <w:rPr>
          <w:rFonts w:ascii="Times New Roman" w:hAnsi="Times New Roman" w:cs="Times New Roman"/>
          <w:sz w:val="24"/>
          <w:szCs w:val="24"/>
        </w:rPr>
        <w:t xml:space="preserve"> descriptivo, a partir de agregados poblacionales. El enfoque temporal fue transversal. Las unidades de análisis estuvieron representadas por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de la CABA. El estudio poblacional estuvo constituido por los 15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en</w:t>
      </w:r>
      <w:r w:rsidR="0009618E">
        <w:rPr>
          <w:rFonts w:ascii="Times New Roman" w:hAnsi="Times New Roman" w:cs="Times New Roman"/>
          <w:sz w:val="24"/>
          <w:szCs w:val="24"/>
        </w:rPr>
        <w:t xml:space="preserve"> </w:t>
      </w:r>
      <w:proofErr w:type="spellStart"/>
      <w:r w:rsidR="0009618E">
        <w:rPr>
          <w:rFonts w:ascii="Times New Roman" w:hAnsi="Times New Roman" w:cs="Times New Roman"/>
          <w:sz w:val="24"/>
          <w:szCs w:val="24"/>
        </w:rPr>
        <w:t>lso</w:t>
      </w:r>
      <w:proofErr w:type="spellEnd"/>
      <w:r w:rsidRPr="008F0A49">
        <w:rPr>
          <w:rFonts w:ascii="Times New Roman" w:hAnsi="Times New Roman" w:cs="Times New Roman"/>
          <w:sz w:val="24"/>
          <w:szCs w:val="24"/>
        </w:rPr>
        <w:t xml:space="preserve"> que se divide la CABA. </w:t>
      </w:r>
    </w:p>
    <w:p w14:paraId="3ECFA7BE" w14:textId="3AA17933"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Los resultados se describieron por distritos y zonas. La división de la ciudad en distritos responde a una división </w:t>
      </w:r>
      <w:proofErr w:type="spellStart"/>
      <w:r w:rsidRPr="008F0A49">
        <w:rPr>
          <w:rFonts w:ascii="Times New Roman" w:hAnsi="Times New Roman" w:cs="Times New Roman"/>
          <w:sz w:val="24"/>
          <w:szCs w:val="24"/>
        </w:rPr>
        <w:t>interjurisdiccional</w:t>
      </w:r>
      <w:proofErr w:type="spellEnd"/>
      <w:r w:rsidRPr="008F0A49">
        <w:rPr>
          <w:rFonts w:ascii="Times New Roman" w:hAnsi="Times New Roman" w:cs="Times New Roman"/>
          <w:sz w:val="24"/>
          <w:szCs w:val="24"/>
        </w:rPr>
        <w:t xml:space="preserve"> y político-administrativa del territorio. Las zonas representan agrupaciones de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según la homogeneidad observada en diferentes indicadores de condiciones de vida. Así, se considera que la zona sur está formada por los distritos 4, 8, 9 y 10; la zona central está formada por los distritos 1, 3, 4, 5, 6, 7, 11, 12 y 15; y la zona norte está formada por los distritos 2, 13 y 14.</w:t>
      </w:r>
    </w:p>
    <w:p w14:paraId="3F6305B1" w14:textId="77777777" w:rsidR="00AD2E4B" w:rsidRDefault="00AD2E4B" w:rsidP="00AD2E4B">
      <w:pPr>
        <w:spacing w:before="240" w:line="480" w:lineRule="auto"/>
        <w:contextualSpacing/>
        <w:jc w:val="both"/>
        <w:rPr>
          <w:rFonts w:ascii="Times New Roman" w:hAnsi="Times New Roman" w:cs="Times New Roman"/>
          <w:sz w:val="24"/>
          <w:szCs w:val="24"/>
        </w:rPr>
      </w:pPr>
    </w:p>
    <w:p w14:paraId="54DE2693" w14:textId="5EE86817" w:rsidR="00B43A3F" w:rsidRPr="0021474A"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Para la descripción de las desigualdades se utilizó como gradiente sociodemográfico el ingreso total promedio de cada comuna registrado en la </w:t>
      </w:r>
      <w:r>
        <w:rPr>
          <w:rFonts w:ascii="Times New Roman" w:hAnsi="Times New Roman" w:cs="Times New Roman"/>
          <w:sz w:val="24"/>
          <w:szCs w:val="24"/>
        </w:rPr>
        <w:t xml:space="preserve">Encuesta Anual de Hogares 2019 </w:t>
      </w:r>
      <w:r>
        <w:rPr>
          <w:rFonts w:ascii="Times New Roman" w:hAnsi="Times New Roman" w:cs="Times New Roman"/>
          <w:sz w:val="24"/>
          <w:szCs w:val="24"/>
          <w:lang w:val="en-US"/>
        </w:rPr>
        <w:fldChar w:fldCharType="begin" w:fldLock="1"/>
      </w:r>
      <w:r w:rsidRPr="008F0A49">
        <w:rPr>
          <w:rFonts w:ascii="Times New Roman" w:hAnsi="Times New Roman" w:cs="Times New Roman"/>
          <w:sz w:val="24"/>
          <w:szCs w:val="24"/>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8F0A49">
        <w:rPr>
          <w:rFonts w:ascii="Times New Roman" w:hAnsi="Times New Roman" w:cs="Times New Roman"/>
          <w:noProof/>
          <w:sz w:val="24"/>
          <w:szCs w:val="24"/>
        </w:rPr>
        <w:t>(17)</w:t>
      </w:r>
      <w:r>
        <w:rPr>
          <w:rFonts w:ascii="Times New Roman" w:hAnsi="Times New Roman" w:cs="Times New Roman"/>
          <w:sz w:val="24"/>
          <w:szCs w:val="24"/>
          <w:lang w:val="en-US"/>
        </w:rPr>
        <w:fldChar w:fldCharType="end"/>
      </w:r>
      <w:r w:rsidRPr="008F0A49">
        <w:rPr>
          <w:rFonts w:ascii="Times New Roman" w:hAnsi="Times New Roman" w:cs="Times New Roman"/>
          <w:sz w:val="24"/>
          <w:szCs w:val="24"/>
        </w:rPr>
        <w:t xml:space="preserve">. Para evitar el uso de valores monetarios desactualizados, se calculó un índice basado en la relación entre el ingreso familiar promedio de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y el total de la CABA, de modo que 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con valores inferiores a uno representaban a las comunas con ingresos promedio inferiores al promedio de la ciudad y viceversa. </w:t>
      </w:r>
      <w:r w:rsidRPr="0021474A">
        <w:rPr>
          <w:rFonts w:ascii="Times New Roman" w:hAnsi="Times New Roman" w:cs="Times New Roman"/>
          <w:sz w:val="24"/>
          <w:szCs w:val="24"/>
        </w:rPr>
        <w:t>Se denominó "índice de ingreso estandarizado" (IIE).</w:t>
      </w:r>
    </w:p>
    <w:p w14:paraId="697AB5FC" w14:textId="77777777" w:rsidR="008F0A49" w:rsidRDefault="0021474A" w:rsidP="00AD2E4B">
      <w:pPr>
        <w:spacing w:before="240" w:line="480" w:lineRule="auto"/>
        <w:contextualSpacing/>
        <w:jc w:val="both"/>
        <w:rPr>
          <w:rFonts w:ascii="Times New Roman" w:hAnsi="Times New Roman" w:cs="Times New Roman"/>
          <w:sz w:val="24"/>
          <w:szCs w:val="24"/>
        </w:rPr>
      </w:pPr>
      <w:r w:rsidRPr="0021474A">
        <w:rPr>
          <w:rFonts w:ascii="Times New Roman" w:hAnsi="Times New Roman" w:cs="Times New Roman"/>
          <w:sz w:val="24"/>
          <w:szCs w:val="24"/>
        </w:rPr>
        <w:t xml:space="preserve">La información utilizada fue reportada hasta el 30/04/2021 en la página web del Gobierno de la Ciudad de Buenos Aires </w:t>
      </w:r>
      <w:r>
        <w:rPr>
          <w:rFonts w:ascii="Times New Roman" w:hAnsi="Times New Roman" w:cs="Times New Roman"/>
          <w:sz w:val="24"/>
          <w:szCs w:val="24"/>
          <w:lang w:val="en-US"/>
        </w:rPr>
        <w:fldChar w:fldCharType="begin" w:fldLock="1"/>
      </w:r>
      <w:r w:rsidRPr="0021474A">
        <w:rPr>
          <w:rFonts w:ascii="Times New Roman" w:hAnsi="Times New Roman" w:cs="Times New Roman"/>
          <w:sz w:val="24"/>
          <w:szCs w:val="24"/>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lang w:val="en-US"/>
        </w:rPr>
        <w:fldChar w:fldCharType="separate"/>
      </w:r>
      <w:r w:rsidRPr="0021474A">
        <w:rPr>
          <w:rFonts w:ascii="Times New Roman" w:hAnsi="Times New Roman" w:cs="Times New Roman"/>
          <w:noProof/>
          <w:sz w:val="24"/>
          <w:szCs w:val="24"/>
        </w:rPr>
        <w:t>(18)</w:t>
      </w:r>
      <w:r>
        <w:rPr>
          <w:rFonts w:ascii="Times New Roman" w:hAnsi="Times New Roman" w:cs="Times New Roman"/>
          <w:sz w:val="24"/>
          <w:szCs w:val="24"/>
          <w:lang w:val="en-US"/>
        </w:rPr>
        <w:fldChar w:fldCharType="end"/>
      </w:r>
      <w:r w:rsidRPr="0021474A">
        <w:rPr>
          <w:rFonts w:ascii="Times New Roman" w:hAnsi="Times New Roman" w:cs="Times New Roman"/>
          <w:sz w:val="24"/>
          <w:szCs w:val="24"/>
        </w:rPr>
        <w:t xml:space="preserve">, un portal que ofrece </w:t>
      </w:r>
      <w:proofErr w:type="spellStart"/>
      <w:r w:rsidRPr="0021474A">
        <w:rPr>
          <w:rFonts w:ascii="Times New Roman" w:hAnsi="Times New Roman" w:cs="Times New Roman"/>
          <w:sz w:val="24"/>
          <w:szCs w:val="24"/>
        </w:rPr>
        <w:t>microdatos</w:t>
      </w:r>
      <w:proofErr w:type="spellEnd"/>
      <w:r w:rsidRPr="0021474A">
        <w:rPr>
          <w:rFonts w:ascii="Times New Roman" w:hAnsi="Times New Roman" w:cs="Times New Roman"/>
          <w:sz w:val="24"/>
          <w:szCs w:val="24"/>
        </w:rPr>
        <w:t xml:space="preserve"> de la información epidemiológica oficial del Gobierno de la Ciudad de Buenos Aires que proviene del Sistema Nacional de Vigilancia de la Salud de Argentina. Se excluyeron del análisis los casos que no tenían información sobre la edad o la comuna de residencia. Así, se rechazaron 11079 de los 339652 casos totales (3,3%). Entre </w:t>
      </w:r>
      <w:r w:rsidRPr="0021474A">
        <w:rPr>
          <w:rFonts w:ascii="Times New Roman" w:hAnsi="Times New Roman" w:cs="Times New Roman"/>
          <w:sz w:val="24"/>
          <w:szCs w:val="24"/>
        </w:rPr>
        <w:lastRenderedPageBreak/>
        <w:t>los casos confirmados, los registros descartados representaron el 2,7%.</w:t>
      </w:r>
      <w:r w:rsidR="00FF5ABB">
        <w:rPr>
          <w:rFonts w:ascii="Times New Roman" w:hAnsi="Times New Roman" w:cs="Times New Roman"/>
          <w:sz w:val="24"/>
          <w:szCs w:val="24"/>
        </w:rPr>
        <w:t xml:space="preserve"> Además, se hallaron 14 casos con error de carga en la fecha de clasificación </w:t>
      </w:r>
      <w:commentRangeStart w:id="2"/>
      <w:r w:rsidR="00FF5ABB">
        <w:rPr>
          <w:rFonts w:ascii="Times New Roman" w:hAnsi="Times New Roman" w:cs="Times New Roman"/>
          <w:sz w:val="24"/>
          <w:szCs w:val="24"/>
        </w:rPr>
        <w:t xml:space="preserve">(fecha previa al primer caso notificado en la ciudad) </w:t>
      </w:r>
      <w:commentRangeEnd w:id="2"/>
      <w:r w:rsidR="00FF5ABB">
        <w:rPr>
          <w:rStyle w:val="Refdecomentario"/>
        </w:rPr>
        <w:commentReference w:id="2"/>
      </w:r>
      <w:r w:rsidR="00FF5ABB">
        <w:rPr>
          <w:rFonts w:ascii="Times New Roman" w:hAnsi="Times New Roman" w:cs="Times New Roman"/>
          <w:sz w:val="24"/>
          <w:szCs w:val="24"/>
        </w:rPr>
        <w:t xml:space="preserve">a los que se les asignó la fecha de apertura ya que es una variable automática del sistema de notificación. </w:t>
      </w:r>
      <w:r w:rsidR="00FF5ABB" w:rsidRPr="00FF5ABB">
        <w:rPr>
          <w:rFonts w:ascii="Times New Roman" w:hAnsi="Times New Roman" w:cs="Times New Roman"/>
          <w:sz w:val="24"/>
          <w:szCs w:val="24"/>
        </w:rPr>
        <w:t xml:space="preserve">Las poblaciones utilizadas para el cálculo de los indicadores fueron las elaboradas por la Dirección General de Estadística y Censos </w:t>
      </w:r>
      <w:r w:rsidR="00FF5ABB">
        <w:rPr>
          <w:rFonts w:ascii="Times New Roman" w:hAnsi="Times New Roman" w:cs="Times New Roman"/>
          <w:sz w:val="24"/>
          <w:szCs w:val="24"/>
        </w:rPr>
        <w:fldChar w:fldCharType="begin" w:fldLock="1"/>
      </w:r>
      <w:r w:rsidR="00FF5ABB" w:rsidRPr="00FF5ABB">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FF5ABB">
        <w:rPr>
          <w:rFonts w:ascii="Times New Roman" w:hAnsi="Times New Roman" w:cs="Times New Roman"/>
          <w:sz w:val="24"/>
          <w:szCs w:val="24"/>
        </w:rPr>
        <w:fldChar w:fldCharType="separate"/>
      </w:r>
      <w:r w:rsidR="00FF5ABB" w:rsidRPr="00FF5ABB">
        <w:rPr>
          <w:rFonts w:ascii="Times New Roman" w:hAnsi="Times New Roman" w:cs="Times New Roman"/>
          <w:noProof/>
          <w:sz w:val="24"/>
          <w:szCs w:val="24"/>
        </w:rPr>
        <w:t>(3)</w:t>
      </w:r>
      <w:r w:rsidR="00FF5ABB">
        <w:rPr>
          <w:rFonts w:ascii="Times New Roman" w:hAnsi="Times New Roman" w:cs="Times New Roman"/>
          <w:sz w:val="24"/>
          <w:szCs w:val="24"/>
        </w:rPr>
        <w:fldChar w:fldCharType="end"/>
      </w:r>
      <w:r w:rsidR="00FF5ABB" w:rsidRPr="00FF5ABB">
        <w:rPr>
          <w:rFonts w:ascii="Times New Roman" w:hAnsi="Times New Roman" w:cs="Times New Roman"/>
          <w:sz w:val="24"/>
          <w:szCs w:val="24"/>
        </w:rPr>
        <w:t xml:space="preserve"> y corresponden al año 2020.</w:t>
      </w:r>
    </w:p>
    <w:p w14:paraId="23A4638F" w14:textId="77777777" w:rsidR="00AD2E4B" w:rsidRPr="0021474A" w:rsidRDefault="00AD2E4B" w:rsidP="00AD2E4B">
      <w:pPr>
        <w:spacing w:before="240" w:line="480" w:lineRule="auto"/>
        <w:contextualSpacing/>
        <w:jc w:val="both"/>
        <w:rPr>
          <w:rFonts w:ascii="Times New Roman" w:hAnsi="Times New Roman" w:cs="Times New Roman"/>
          <w:sz w:val="24"/>
          <w:szCs w:val="24"/>
        </w:rPr>
      </w:pPr>
    </w:p>
    <w:p w14:paraId="748C24B6" w14:textId="2B28974E" w:rsidR="00B43A3F" w:rsidRDefault="00FF5ABB" w:rsidP="00AD2E4B">
      <w:pPr>
        <w:spacing w:before="240" w:line="480" w:lineRule="auto"/>
        <w:contextualSpacing/>
        <w:jc w:val="both"/>
        <w:rPr>
          <w:rFonts w:ascii="Times New Roman" w:hAnsi="Times New Roman" w:cs="Times New Roman"/>
          <w:sz w:val="24"/>
          <w:szCs w:val="24"/>
        </w:rPr>
      </w:pPr>
      <w:r w:rsidRPr="00FF5ABB">
        <w:rPr>
          <w:rFonts w:ascii="Times New Roman" w:hAnsi="Times New Roman" w:cs="Times New Roman"/>
          <w:sz w:val="24"/>
          <w:szCs w:val="24"/>
        </w:rPr>
        <w:t xml:space="preserve">Para el conjunto de la CABA y para cada </w:t>
      </w:r>
      <w:r>
        <w:rPr>
          <w:rFonts w:ascii="Times New Roman" w:hAnsi="Times New Roman" w:cs="Times New Roman"/>
          <w:sz w:val="24"/>
          <w:szCs w:val="24"/>
        </w:rPr>
        <w:t>distrito</w:t>
      </w:r>
      <w:r w:rsidRPr="00FF5ABB">
        <w:rPr>
          <w:rFonts w:ascii="Times New Roman" w:hAnsi="Times New Roman" w:cs="Times New Roman"/>
          <w:sz w:val="24"/>
          <w:szCs w:val="24"/>
        </w:rPr>
        <w:t xml:space="preserve"> se calculó la tasa de incidencia acumulada por 1000 personas, la tasa de mortalidad por 1000 personas, </w:t>
      </w:r>
      <w:commentRangeStart w:id="3"/>
      <w:r w:rsidRPr="00FF5ABB">
        <w:rPr>
          <w:rFonts w:ascii="Times New Roman" w:hAnsi="Times New Roman" w:cs="Times New Roman"/>
          <w:sz w:val="24"/>
          <w:szCs w:val="24"/>
        </w:rPr>
        <w:t>la tasa de letalidad y el porcentaje de positividad</w:t>
      </w:r>
      <w:commentRangeEnd w:id="3"/>
      <w:r>
        <w:rPr>
          <w:rStyle w:val="Refdecomentario"/>
        </w:rPr>
        <w:commentReference w:id="3"/>
      </w:r>
      <w:r w:rsidRPr="00FF5ABB">
        <w:rPr>
          <w:rFonts w:ascii="Times New Roman" w:hAnsi="Times New Roman" w:cs="Times New Roman"/>
          <w:sz w:val="24"/>
          <w:szCs w:val="24"/>
        </w:rPr>
        <w:t xml:space="preserve">. Para medir los niveles de mortalidad por </w:t>
      </w:r>
      <w:r w:rsidR="0009618E">
        <w:rPr>
          <w:rFonts w:ascii="Times New Roman" w:hAnsi="Times New Roman" w:cs="Times New Roman"/>
          <w:sz w:val="24"/>
          <w:szCs w:val="24"/>
        </w:rPr>
        <w:t>distrito</w:t>
      </w:r>
      <w:r w:rsidRPr="00FF5ABB">
        <w:rPr>
          <w:rFonts w:ascii="Times New Roman" w:hAnsi="Times New Roman" w:cs="Times New Roman"/>
          <w:sz w:val="24"/>
          <w:szCs w:val="24"/>
        </w:rPr>
        <w:t xml:space="preserve">, eliminando el factor de confusión de las diferentes estructuras demográficas, se calculó la razón de mortalidad estandarizada (RME) según la metodología propuesta por la Organización Panamericana de la Salud </w:t>
      </w:r>
      <w:r w:rsidR="00346BD3">
        <w:rPr>
          <w:rFonts w:ascii="Times New Roman" w:hAnsi="Times New Roman" w:cs="Times New Roman"/>
          <w:sz w:val="24"/>
          <w:szCs w:val="24"/>
          <w:lang w:val="en-US"/>
        </w:rPr>
        <w:fldChar w:fldCharType="begin" w:fldLock="1"/>
      </w:r>
      <w:r w:rsidR="00346BD3" w:rsidRPr="00346BD3">
        <w:rPr>
          <w:rFonts w:ascii="Times New Roman" w:hAnsi="Times New Roman" w:cs="Times New Roman"/>
          <w:sz w:val="24"/>
          <w:szCs w:val="24"/>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346BD3">
        <w:rPr>
          <w:rFonts w:ascii="Times New Roman" w:hAnsi="Times New Roman" w:cs="Times New Roman"/>
          <w:sz w:val="24"/>
          <w:szCs w:val="24"/>
          <w:lang w:val="en-US"/>
        </w:rPr>
        <w:fldChar w:fldCharType="separate"/>
      </w:r>
      <w:r w:rsidR="00346BD3" w:rsidRPr="00346BD3">
        <w:rPr>
          <w:rFonts w:ascii="Times New Roman" w:hAnsi="Times New Roman" w:cs="Times New Roman"/>
          <w:noProof/>
          <w:sz w:val="24"/>
          <w:szCs w:val="24"/>
        </w:rPr>
        <w:t>(19)</w:t>
      </w:r>
      <w:r w:rsidR="00346BD3">
        <w:rPr>
          <w:rFonts w:ascii="Times New Roman" w:hAnsi="Times New Roman" w:cs="Times New Roman"/>
          <w:sz w:val="24"/>
          <w:szCs w:val="24"/>
          <w:lang w:val="en-US"/>
        </w:rPr>
        <w:fldChar w:fldCharType="end"/>
      </w:r>
      <w:r w:rsidR="00346BD3" w:rsidRPr="00346BD3">
        <w:rPr>
          <w:rFonts w:ascii="Times New Roman" w:hAnsi="Times New Roman" w:cs="Times New Roman"/>
          <w:sz w:val="24"/>
          <w:szCs w:val="24"/>
        </w:rPr>
        <w:t xml:space="preserve">, </w:t>
      </w:r>
      <w:r w:rsidRPr="00FF5ABB">
        <w:rPr>
          <w:rFonts w:ascii="Times New Roman" w:hAnsi="Times New Roman" w:cs="Times New Roman"/>
          <w:sz w:val="24"/>
          <w:szCs w:val="24"/>
        </w:rPr>
        <w:t>tomando como estándar las tasas de mortalidad específicas por grupos de edad de la CABA.</w:t>
      </w:r>
    </w:p>
    <w:p w14:paraId="3F694A0F" w14:textId="77777777" w:rsidR="00AD2E4B"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Para evaluar los niveles de desigualdad y concentración, se calcularon los cocientes de tasas y las diferencias. Se calcularon los intervalos de confianza del 95% (IC95%) para los indicadores analizados. Para la tasa de incidencia acumulada por 1000 personas, la tasa de mortalidad por 1000 personas, la tasa de letalidad y el porcentaje de positividad se estimó el IC95% mediante la aproximación normal. Para las </w:t>
      </w:r>
      <w:r>
        <w:rPr>
          <w:rFonts w:ascii="Times New Roman" w:hAnsi="Times New Roman" w:cs="Times New Roman"/>
          <w:sz w:val="24"/>
          <w:szCs w:val="24"/>
        </w:rPr>
        <w:t>RME</w:t>
      </w:r>
      <w:r w:rsidRPr="00346BD3">
        <w:rPr>
          <w:rFonts w:ascii="Times New Roman" w:hAnsi="Times New Roman" w:cs="Times New Roman"/>
          <w:sz w:val="24"/>
          <w:szCs w:val="24"/>
        </w:rPr>
        <w:t xml:space="preserve"> se utilizó la metodología Chi2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(20)</w:t>
      </w:r>
      <w:r>
        <w:rPr>
          <w:rFonts w:ascii="Times New Roman" w:hAnsi="Times New Roman" w:cs="Times New Roman"/>
          <w:sz w:val="24"/>
          <w:szCs w:val="24"/>
        </w:rPr>
        <w:fldChar w:fldCharType="end"/>
      </w:r>
      <w:r w:rsidRPr="00346BD3">
        <w:rPr>
          <w:rFonts w:ascii="Times New Roman" w:hAnsi="Times New Roman" w:cs="Times New Roman"/>
          <w:sz w:val="24"/>
          <w:szCs w:val="24"/>
        </w:rPr>
        <w:t xml:space="preserve"> y para las razones de tasas la propuesta por </w:t>
      </w:r>
      <w:proofErr w:type="spellStart"/>
      <w:r w:rsidRPr="00346BD3">
        <w:rPr>
          <w:rFonts w:ascii="Times New Roman" w:hAnsi="Times New Roman" w:cs="Times New Roman"/>
          <w:sz w:val="24"/>
          <w:szCs w:val="24"/>
        </w:rPr>
        <w:t>Fay</w:t>
      </w:r>
      <w:proofErr w:type="spellEnd"/>
      <w:r w:rsidRPr="00346BD3">
        <w:rPr>
          <w:rFonts w:ascii="Times New Roman" w:hAnsi="Times New Roman" w:cs="Times New Roman"/>
          <w:sz w:val="24"/>
          <w:szCs w:val="24"/>
        </w:rPr>
        <w:t xml:space="preserve"> </w:t>
      </w:r>
      <w:r w:rsidRPr="002031D9">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Pr="002031D9">
        <w:rPr>
          <w:rFonts w:ascii="Times New Roman" w:hAnsi="Times New Roman" w:cs="Times New Roman"/>
          <w:sz w:val="24"/>
          <w:szCs w:val="24"/>
        </w:rPr>
        <w:fldChar w:fldCharType="separate"/>
      </w:r>
      <w:r w:rsidRPr="00346BD3">
        <w:rPr>
          <w:rFonts w:ascii="Times New Roman" w:hAnsi="Times New Roman" w:cs="Times New Roman"/>
          <w:noProof/>
          <w:sz w:val="24"/>
          <w:szCs w:val="24"/>
        </w:rPr>
        <w:t>(21)</w:t>
      </w:r>
      <w:r w:rsidRPr="002031D9">
        <w:rPr>
          <w:rFonts w:ascii="Times New Roman" w:hAnsi="Times New Roman" w:cs="Times New Roman"/>
          <w:sz w:val="24"/>
          <w:szCs w:val="24"/>
        </w:rPr>
        <w:fldChar w:fldCharType="end"/>
      </w:r>
      <w:r>
        <w:rPr>
          <w:rFonts w:ascii="Times New Roman" w:hAnsi="Times New Roman" w:cs="Times New Roman"/>
          <w:sz w:val="24"/>
          <w:szCs w:val="24"/>
        </w:rPr>
        <w:t>.</w:t>
      </w:r>
    </w:p>
    <w:p w14:paraId="454B09AD" w14:textId="77777777" w:rsidR="00AD2E4B" w:rsidRDefault="00AD2E4B"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Todos los indicadores mencionados se calcularon</w:t>
      </w:r>
      <w:r w:rsidR="00225DD9">
        <w:rPr>
          <w:rFonts w:ascii="Times New Roman" w:hAnsi="Times New Roman" w:cs="Times New Roman"/>
          <w:sz w:val="24"/>
          <w:szCs w:val="24"/>
        </w:rPr>
        <w:t xml:space="preserve"> para el periodo completo (marzo 2020 – abril 2021) y además</w:t>
      </w:r>
      <w:r>
        <w:rPr>
          <w:rFonts w:ascii="Times New Roman" w:hAnsi="Times New Roman" w:cs="Times New Roman"/>
          <w:sz w:val="24"/>
          <w:szCs w:val="24"/>
        </w:rPr>
        <w:t xml:space="preserve"> para dos</w:t>
      </w:r>
      <w:r w:rsidR="00225DD9">
        <w:rPr>
          <w:rFonts w:ascii="Times New Roman" w:hAnsi="Times New Roman" w:cs="Times New Roman"/>
          <w:sz w:val="24"/>
          <w:szCs w:val="24"/>
        </w:rPr>
        <w:t xml:space="preserve"> sub</w:t>
      </w:r>
      <w:r>
        <w:rPr>
          <w:rFonts w:ascii="Times New Roman" w:hAnsi="Times New Roman" w:cs="Times New Roman"/>
          <w:sz w:val="24"/>
          <w:szCs w:val="24"/>
        </w:rPr>
        <w:t xml:space="preserve"> periodos definidos a partir de los cambios en la incidencia semanal de COVID-19 en la CABA. Se identificó la semana </w:t>
      </w:r>
      <w:r w:rsidR="00225DD9">
        <w:rPr>
          <w:rFonts w:ascii="Times New Roman" w:hAnsi="Times New Roman" w:cs="Times New Roman"/>
          <w:sz w:val="24"/>
          <w:szCs w:val="24"/>
        </w:rPr>
        <w:t>epidemiológica</w:t>
      </w:r>
      <w:r>
        <w:rPr>
          <w:rFonts w:ascii="Times New Roman" w:hAnsi="Times New Roman" w:cs="Times New Roman"/>
          <w:sz w:val="24"/>
          <w:szCs w:val="24"/>
        </w:rPr>
        <w:t xml:space="preserve"> 48 del año 2020 como la semana con menos casos nuevos </w:t>
      </w:r>
      <w:r w:rsidR="00225DD9">
        <w:rPr>
          <w:rFonts w:ascii="Times New Roman" w:hAnsi="Times New Roman" w:cs="Times New Roman"/>
          <w:sz w:val="24"/>
          <w:szCs w:val="24"/>
        </w:rPr>
        <w:t>de</w:t>
      </w:r>
      <w:r>
        <w:rPr>
          <w:rFonts w:ascii="Times New Roman" w:hAnsi="Times New Roman" w:cs="Times New Roman"/>
          <w:sz w:val="24"/>
          <w:szCs w:val="24"/>
        </w:rPr>
        <w:t xml:space="preserve"> todo e</w:t>
      </w:r>
      <w:r w:rsidR="00225DD9">
        <w:rPr>
          <w:rFonts w:ascii="Times New Roman" w:hAnsi="Times New Roman" w:cs="Times New Roman"/>
          <w:sz w:val="24"/>
          <w:szCs w:val="24"/>
        </w:rPr>
        <w:t>l periodo estudiado. Se definió</w:t>
      </w:r>
      <w:r>
        <w:rPr>
          <w:rFonts w:ascii="Times New Roman" w:hAnsi="Times New Roman" w:cs="Times New Roman"/>
          <w:sz w:val="24"/>
          <w:szCs w:val="24"/>
        </w:rPr>
        <w:t xml:space="preserve"> el primer periodo desde la fecha del primer caso de COVID-19 en la CABA (</w:t>
      </w:r>
      <w:r w:rsidRPr="00AD2E4B">
        <w:rPr>
          <w:rFonts w:ascii="Times New Roman" w:hAnsi="Times New Roman" w:cs="Times New Roman"/>
          <w:sz w:val="24"/>
          <w:szCs w:val="24"/>
          <w:highlight w:val="yellow"/>
        </w:rPr>
        <w:t>fecha</w:t>
      </w:r>
      <w:r>
        <w:rPr>
          <w:rFonts w:ascii="Times New Roman" w:hAnsi="Times New Roman" w:cs="Times New Roman"/>
          <w:sz w:val="24"/>
          <w:szCs w:val="24"/>
        </w:rPr>
        <w:t xml:space="preserve">) hasta el </w:t>
      </w:r>
      <w:r w:rsidR="00225DD9">
        <w:rPr>
          <w:rFonts w:ascii="Times New Roman" w:hAnsi="Times New Roman" w:cs="Times New Roman"/>
          <w:sz w:val="24"/>
          <w:szCs w:val="24"/>
        </w:rPr>
        <w:t>día</w:t>
      </w:r>
      <w:r>
        <w:rPr>
          <w:rFonts w:ascii="Times New Roman" w:hAnsi="Times New Roman" w:cs="Times New Roman"/>
          <w:sz w:val="24"/>
          <w:szCs w:val="24"/>
        </w:rPr>
        <w:t xml:space="preserve"> 28 de noviembre del 2020 (último día de la semana 48). El segundo periodo se definió desde el 29 de noviembre del 2020 </w:t>
      </w:r>
      <w:r>
        <w:rPr>
          <w:rFonts w:ascii="Times New Roman" w:hAnsi="Times New Roman" w:cs="Times New Roman"/>
          <w:sz w:val="24"/>
          <w:szCs w:val="24"/>
        </w:rPr>
        <w:lastRenderedPageBreak/>
        <w:t xml:space="preserve">hasta el 30 de abril del 2021. </w:t>
      </w:r>
      <w:r w:rsidR="00225DD9">
        <w:rPr>
          <w:rFonts w:ascii="Times New Roman" w:hAnsi="Times New Roman" w:cs="Times New Roman"/>
          <w:sz w:val="24"/>
          <w:szCs w:val="24"/>
        </w:rPr>
        <w:t xml:space="preserve">Se eligió esta división para identificar posibles cambios en los patrones de distribución de los indicadores entre la primera y la segunda ola de COVID-19. </w:t>
      </w:r>
    </w:p>
    <w:p w14:paraId="6ABEFEB9" w14:textId="77777777" w:rsidR="00FF5ABB" w:rsidRDefault="00346BD3"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46BD3">
        <w:rPr>
          <w:rFonts w:ascii="Times New Roman" w:hAnsi="Times New Roman" w:cs="Times New Roman"/>
          <w:sz w:val="24"/>
          <w:szCs w:val="24"/>
        </w:rPr>
        <w:t xml:space="preserve">El procesamiento de los datos, el análisis estadístico y las figuras se realizaron con el software estadístico R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(22)</w:t>
      </w:r>
      <w:r>
        <w:rPr>
          <w:rFonts w:ascii="Times New Roman" w:hAnsi="Times New Roman" w:cs="Times New Roman"/>
          <w:sz w:val="24"/>
          <w:szCs w:val="24"/>
        </w:rPr>
        <w:fldChar w:fldCharType="end"/>
      </w:r>
      <w:r w:rsidRPr="00346BD3">
        <w:rPr>
          <w:rFonts w:ascii="Times New Roman" w:hAnsi="Times New Roman" w:cs="Times New Roman"/>
          <w:sz w:val="24"/>
          <w:szCs w:val="24"/>
        </w:rPr>
        <w:t>.</w:t>
      </w:r>
    </w:p>
    <w:p w14:paraId="3C3EE6FC" w14:textId="77777777" w:rsidR="00177BF9"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Los códigos de programación y los datos utilizados para calcular los indicadores de este estudio están disponibles en el repositorio público </w:t>
      </w:r>
      <w:r w:rsidRPr="00AD2E4B">
        <w:rPr>
          <w:rFonts w:ascii="Times New Roman" w:hAnsi="Times New Roman" w:cs="Times New Roman"/>
          <w:sz w:val="24"/>
          <w:szCs w:val="24"/>
          <w:highlight w:val="yellow"/>
        </w:rPr>
        <w:t>XXX</w:t>
      </w:r>
      <w:r w:rsidRPr="00346BD3">
        <w:rPr>
          <w:rFonts w:ascii="Times New Roman" w:hAnsi="Times New Roman" w:cs="Times New Roman"/>
          <w:sz w:val="24"/>
          <w:szCs w:val="24"/>
        </w:rPr>
        <w:t>. El repositorio ofrece la posibilidad de actualizar los cálculos automáticamente a la información más actualizada disponible en línea.</w:t>
      </w:r>
    </w:p>
    <w:p w14:paraId="54301AFA" w14:textId="77777777" w:rsidR="00AD2E4B" w:rsidRPr="00346BD3" w:rsidRDefault="00AD2E4B" w:rsidP="00AD2E4B">
      <w:pPr>
        <w:spacing w:before="240" w:line="480" w:lineRule="auto"/>
        <w:contextualSpacing/>
        <w:jc w:val="both"/>
        <w:rPr>
          <w:rFonts w:ascii="Times New Roman" w:hAnsi="Times New Roman" w:cs="Times New Roman"/>
          <w:sz w:val="24"/>
          <w:szCs w:val="24"/>
        </w:rPr>
      </w:pPr>
    </w:p>
    <w:p w14:paraId="5487C2F5" w14:textId="77777777" w:rsidR="00DD6046" w:rsidRPr="00E8197C" w:rsidRDefault="00A00385" w:rsidP="00DE13F5">
      <w:pPr>
        <w:spacing w:after="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RESULTS</w:t>
      </w:r>
    </w:p>
    <w:p w14:paraId="774F1E8C" w14:textId="24170FDC" w:rsidR="00AD2E4B" w:rsidRPr="00AD2E4B" w:rsidRDefault="00AD2E4B" w:rsidP="00225DD9">
      <w:pPr>
        <w:spacing w:after="0" w:line="480" w:lineRule="auto"/>
        <w:contextualSpacing/>
        <w:jc w:val="both"/>
        <w:rPr>
          <w:rFonts w:ascii="Times New Roman" w:hAnsi="Times New Roman" w:cs="Times New Roman"/>
          <w:sz w:val="24"/>
          <w:szCs w:val="24"/>
        </w:rPr>
      </w:pPr>
      <w:r w:rsidRPr="00AD2E4B">
        <w:rPr>
          <w:rFonts w:ascii="Times New Roman" w:hAnsi="Times New Roman" w:cs="Times New Roman"/>
          <w:sz w:val="24"/>
          <w:szCs w:val="24"/>
        </w:rPr>
        <w:t>A 30 de</w:t>
      </w:r>
      <w:r w:rsidR="004E6D27">
        <w:rPr>
          <w:rFonts w:ascii="Times New Roman" w:hAnsi="Times New Roman" w:cs="Times New Roman"/>
          <w:sz w:val="24"/>
          <w:szCs w:val="24"/>
        </w:rPr>
        <w:t xml:space="preserve"> </w:t>
      </w:r>
      <w:proofErr w:type="gramStart"/>
      <w:r w:rsidR="004E6D27">
        <w:rPr>
          <w:rFonts w:ascii="Times New Roman" w:hAnsi="Times New Roman" w:cs="Times New Roman"/>
          <w:sz w:val="24"/>
          <w:szCs w:val="24"/>
        </w:rPr>
        <w:t>Abril</w:t>
      </w:r>
      <w:proofErr w:type="gramEnd"/>
      <w:r w:rsidR="004E6D27">
        <w:rPr>
          <w:rFonts w:ascii="Times New Roman" w:hAnsi="Times New Roman" w:cs="Times New Roman"/>
          <w:sz w:val="24"/>
          <w:szCs w:val="24"/>
        </w:rPr>
        <w:t xml:space="preserve"> </w:t>
      </w:r>
      <w:proofErr w:type="spellStart"/>
      <w:r w:rsidR="004E6D27">
        <w:rPr>
          <w:rFonts w:ascii="Times New Roman" w:hAnsi="Times New Roman" w:cs="Times New Roman"/>
          <w:sz w:val="24"/>
          <w:szCs w:val="24"/>
        </w:rPr>
        <w:t>de</w:t>
      </w:r>
      <w:proofErr w:type="spellEnd"/>
      <w:r w:rsidR="004E6D27">
        <w:rPr>
          <w:rFonts w:ascii="Times New Roman" w:hAnsi="Times New Roman" w:cs="Times New Roman"/>
          <w:sz w:val="24"/>
          <w:szCs w:val="24"/>
        </w:rPr>
        <w:t xml:space="preserve"> 2021</w:t>
      </w:r>
      <w:r w:rsidRPr="00AD2E4B">
        <w:rPr>
          <w:rFonts w:ascii="Times New Roman" w:hAnsi="Times New Roman" w:cs="Times New Roman"/>
          <w:sz w:val="24"/>
          <w:szCs w:val="24"/>
        </w:rPr>
        <w:t xml:space="preserve">, habían pasado </w:t>
      </w:r>
      <w:r w:rsidRPr="00AD2E4B">
        <w:rPr>
          <w:rFonts w:ascii="Times New Roman" w:hAnsi="Times New Roman" w:cs="Times New Roman"/>
          <w:sz w:val="24"/>
          <w:szCs w:val="24"/>
          <w:highlight w:val="yellow"/>
        </w:rPr>
        <w:t>215</w:t>
      </w:r>
      <w:r w:rsidRPr="00AD2E4B">
        <w:rPr>
          <w:rFonts w:ascii="Times New Roman" w:hAnsi="Times New Roman" w:cs="Times New Roman"/>
          <w:sz w:val="24"/>
          <w:szCs w:val="24"/>
        </w:rPr>
        <w:t xml:space="preserve"> días desde el primer caso confirmado de COVID-19</w:t>
      </w:r>
      <w:r w:rsidR="004E6D27">
        <w:rPr>
          <w:rFonts w:ascii="Times New Roman" w:hAnsi="Times New Roman" w:cs="Times New Roman"/>
          <w:sz w:val="24"/>
          <w:szCs w:val="24"/>
        </w:rPr>
        <w:t xml:space="preserve"> en la CABA</w:t>
      </w:r>
      <w:r w:rsidRPr="00AD2E4B">
        <w:rPr>
          <w:rFonts w:ascii="Times New Roman" w:hAnsi="Times New Roman" w:cs="Times New Roman"/>
          <w:sz w:val="24"/>
          <w:szCs w:val="24"/>
        </w:rPr>
        <w:t xml:space="preserve">. Durante este periodo, se introdujeron en el sistema </w:t>
      </w:r>
      <w:r w:rsidR="00225DD9">
        <w:rPr>
          <w:rFonts w:ascii="Times New Roman" w:hAnsi="Times New Roman" w:cs="Times New Roman"/>
          <w:sz w:val="24"/>
          <w:szCs w:val="24"/>
        </w:rPr>
        <w:t xml:space="preserve">nacional </w:t>
      </w:r>
      <w:r w:rsidRPr="00AD2E4B">
        <w:rPr>
          <w:rFonts w:ascii="Times New Roman" w:hAnsi="Times New Roman" w:cs="Times New Roman"/>
          <w:sz w:val="24"/>
          <w:szCs w:val="24"/>
        </w:rPr>
        <w:t xml:space="preserve">de vigilancia epidemiológica </w:t>
      </w:r>
      <w:r w:rsidR="00225DD9">
        <w:rPr>
          <w:rFonts w:ascii="Times New Roman" w:hAnsi="Times New Roman" w:cs="Times New Roman"/>
          <w:sz w:val="24"/>
          <w:szCs w:val="24"/>
        </w:rPr>
        <w:t xml:space="preserve">(SVE) </w:t>
      </w:r>
      <w:r w:rsidRPr="00AD2E4B">
        <w:rPr>
          <w:rFonts w:ascii="Times New Roman" w:hAnsi="Times New Roman" w:cs="Times New Roman"/>
          <w:sz w:val="24"/>
          <w:szCs w:val="24"/>
          <w:highlight w:val="yellow"/>
        </w:rPr>
        <w:t>328573</w:t>
      </w:r>
      <w:r w:rsidRPr="00AD2E4B">
        <w:rPr>
          <w:rFonts w:ascii="Times New Roman" w:hAnsi="Times New Roman" w:cs="Times New Roman"/>
          <w:sz w:val="24"/>
          <w:szCs w:val="24"/>
        </w:rPr>
        <w:t xml:space="preserve"> casos sospechosos, de los cuales se confirmaron </w:t>
      </w:r>
      <w:r w:rsidRPr="00AD2E4B">
        <w:rPr>
          <w:rFonts w:ascii="Times New Roman" w:hAnsi="Times New Roman" w:cs="Times New Roman"/>
          <w:sz w:val="24"/>
          <w:szCs w:val="24"/>
          <w:highlight w:val="yellow"/>
        </w:rPr>
        <w:t>125652</w:t>
      </w:r>
      <w:r w:rsidRPr="00AD2E4B">
        <w:rPr>
          <w:rFonts w:ascii="Times New Roman" w:hAnsi="Times New Roman" w:cs="Times New Roman"/>
          <w:sz w:val="24"/>
          <w:szCs w:val="24"/>
        </w:rPr>
        <w:t xml:space="preserve">, lo que supuso una tasa de incidencia acumulada de </w:t>
      </w:r>
      <w:r w:rsidRPr="00AD2E4B">
        <w:rPr>
          <w:rFonts w:ascii="Times New Roman" w:hAnsi="Times New Roman" w:cs="Times New Roman"/>
          <w:sz w:val="24"/>
          <w:szCs w:val="24"/>
          <w:highlight w:val="yellow"/>
        </w:rPr>
        <w:t>40,8 casos por 1000 personas (IC95% 40,6 - 41,1).</w:t>
      </w:r>
      <w:r w:rsidR="00225DD9">
        <w:rPr>
          <w:rFonts w:ascii="Times New Roman" w:hAnsi="Times New Roman" w:cs="Times New Roman"/>
          <w:sz w:val="24"/>
          <w:szCs w:val="24"/>
        </w:rPr>
        <w:t xml:space="preserve"> </w:t>
      </w:r>
      <w:r w:rsidR="00225DD9" w:rsidRPr="00B831B9">
        <w:rPr>
          <w:rFonts w:ascii="Times New Roman" w:hAnsi="Times New Roman" w:cs="Times New Roman"/>
          <w:sz w:val="24"/>
          <w:szCs w:val="24"/>
        </w:rPr>
        <w:t xml:space="preserve">En el primer sub periodo se notificaron </w:t>
      </w:r>
      <w:r w:rsidR="00B831B9">
        <w:rPr>
          <w:rFonts w:ascii="Times New Roman" w:hAnsi="Times New Roman" w:cs="Times New Roman"/>
          <w:sz w:val="24"/>
          <w:szCs w:val="24"/>
        </w:rPr>
        <w:t>330630</w:t>
      </w:r>
      <w:r w:rsidR="00B831B9" w:rsidRPr="00B831B9">
        <w:rPr>
          <w:rFonts w:ascii="Times New Roman" w:hAnsi="Times New Roman" w:cs="Times New Roman"/>
          <w:sz w:val="24"/>
          <w:szCs w:val="24"/>
        </w:rPr>
        <w:t xml:space="preserve"> </w:t>
      </w:r>
      <w:r w:rsidR="00225DD9" w:rsidRPr="00B831B9">
        <w:rPr>
          <w:rFonts w:ascii="Times New Roman" w:hAnsi="Times New Roman" w:cs="Times New Roman"/>
          <w:sz w:val="24"/>
          <w:szCs w:val="24"/>
        </w:rPr>
        <w:t>casos confirmados al SVE (</w:t>
      </w:r>
      <w:r w:rsidR="00B831B9">
        <w:rPr>
          <w:rFonts w:ascii="Times New Roman" w:hAnsi="Times New Roman" w:cs="Times New Roman"/>
          <w:sz w:val="24"/>
          <w:szCs w:val="24"/>
        </w:rPr>
        <w:t>107,5</w:t>
      </w:r>
      <w:r w:rsidR="00225DD9" w:rsidRPr="00B831B9">
        <w:rPr>
          <w:rFonts w:ascii="Times New Roman" w:hAnsi="Times New Roman" w:cs="Times New Roman"/>
          <w:sz w:val="24"/>
          <w:szCs w:val="24"/>
        </w:rPr>
        <w:t xml:space="preserve"> casos por 1000 personas) </w:t>
      </w:r>
      <w:r w:rsidR="00225DD9" w:rsidRPr="00B831B9">
        <w:rPr>
          <w:rFonts w:ascii="Times New Roman" w:hAnsi="Times New Roman" w:cs="Times New Roman"/>
          <w:sz w:val="24"/>
          <w:szCs w:val="24"/>
          <w:highlight w:val="yellow"/>
        </w:rPr>
        <w:t xml:space="preserve">y en el segundo sub </w:t>
      </w:r>
      <w:r w:rsidR="00225DD9" w:rsidRPr="00450930">
        <w:rPr>
          <w:rFonts w:ascii="Times New Roman" w:hAnsi="Times New Roman" w:cs="Times New Roman"/>
          <w:sz w:val="24"/>
          <w:szCs w:val="24"/>
          <w:highlight w:val="yellow"/>
        </w:rPr>
        <w:t xml:space="preserve">periodo </w:t>
      </w:r>
      <w:r w:rsidR="00450930" w:rsidRPr="00450930">
        <w:rPr>
          <w:rFonts w:ascii="Times New Roman" w:hAnsi="Times New Roman" w:cs="Times New Roman"/>
          <w:sz w:val="24"/>
          <w:szCs w:val="24"/>
          <w:highlight w:val="yellow"/>
        </w:rPr>
        <w:t>178354</w:t>
      </w:r>
      <w:r w:rsidR="00225DD9" w:rsidRPr="00450930">
        <w:rPr>
          <w:rFonts w:ascii="Times New Roman" w:hAnsi="Times New Roman" w:cs="Times New Roman"/>
          <w:sz w:val="24"/>
          <w:szCs w:val="24"/>
          <w:highlight w:val="yellow"/>
        </w:rPr>
        <w:t xml:space="preserve"> casos </w:t>
      </w:r>
      <w:r w:rsidR="00225DD9" w:rsidRPr="00B831B9">
        <w:rPr>
          <w:rFonts w:ascii="Times New Roman" w:hAnsi="Times New Roman" w:cs="Times New Roman"/>
          <w:sz w:val="24"/>
          <w:szCs w:val="24"/>
          <w:highlight w:val="yellow"/>
        </w:rPr>
        <w:t>confirmados (</w:t>
      </w:r>
      <w:r w:rsidR="00450930">
        <w:rPr>
          <w:rFonts w:ascii="Times New Roman" w:hAnsi="Times New Roman" w:cs="Times New Roman"/>
          <w:sz w:val="24"/>
          <w:szCs w:val="24"/>
          <w:highlight w:val="yellow"/>
        </w:rPr>
        <w:t>57,7</w:t>
      </w:r>
      <w:r w:rsidR="00225DD9" w:rsidRPr="00B831B9">
        <w:rPr>
          <w:rFonts w:ascii="Times New Roman" w:hAnsi="Times New Roman" w:cs="Times New Roman"/>
          <w:sz w:val="24"/>
          <w:szCs w:val="24"/>
          <w:highlight w:val="yellow"/>
        </w:rPr>
        <w:t xml:space="preserve"> casos por 1000 personas).</w:t>
      </w:r>
    </w:p>
    <w:p w14:paraId="3153D021" w14:textId="1E7790F6" w:rsidR="00091BF9" w:rsidRDefault="00225DD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El análisis de la incidencia mostró cambios en la distribución por distritos al comparar el primer sub periodo con el segundo. En ambos periodos la incidencia por </w:t>
      </w:r>
      <w:r w:rsidR="00B831B9">
        <w:rPr>
          <w:rFonts w:ascii="Times New Roman" w:hAnsi="Times New Roman" w:cs="Times New Roman"/>
          <w:sz w:val="24"/>
          <w:szCs w:val="24"/>
        </w:rPr>
        <w:t>distrito</w:t>
      </w:r>
      <w:r>
        <w:rPr>
          <w:rFonts w:ascii="Times New Roman" w:hAnsi="Times New Roman" w:cs="Times New Roman"/>
          <w:sz w:val="24"/>
          <w:szCs w:val="24"/>
        </w:rPr>
        <w:t xml:space="preserve"> no se </w:t>
      </w:r>
      <w:r w:rsidR="00B831B9">
        <w:rPr>
          <w:rFonts w:ascii="Times New Roman" w:hAnsi="Times New Roman" w:cs="Times New Roman"/>
          <w:sz w:val="24"/>
          <w:szCs w:val="24"/>
        </w:rPr>
        <w:t xml:space="preserve">distribuyó de forma homogénea: el primer sub periodo </w:t>
      </w:r>
      <w:r w:rsidR="00B831B9" w:rsidRPr="00B831B9">
        <w:rPr>
          <w:rFonts w:ascii="Times New Roman" w:hAnsi="Times New Roman" w:cs="Times New Roman"/>
          <w:sz w:val="24"/>
          <w:szCs w:val="24"/>
        </w:rPr>
        <w:t xml:space="preserve">osciló entre </w:t>
      </w:r>
      <w:r w:rsidR="00B831B9">
        <w:rPr>
          <w:rFonts w:ascii="Times New Roman" w:hAnsi="Times New Roman" w:cs="Times New Roman"/>
          <w:sz w:val="24"/>
          <w:szCs w:val="24"/>
        </w:rPr>
        <w:t>88,5</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87,3</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89,7</w:t>
      </w:r>
      <w:r w:rsidR="00B831B9" w:rsidRPr="00B831B9">
        <w:rPr>
          <w:rFonts w:ascii="Times New Roman" w:hAnsi="Times New Roman" w:cs="Times New Roman"/>
          <w:sz w:val="24"/>
          <w:szCs w:val="24"/>
        </w:rPr>
        <w:t xml:space="preserve">) en el distrito 12 (zona central) y </w:t>
      </w:r>
      <w:r w:rsidR="00B831B9">
        <w:rPr>
          <w:rFonts w:ascii="Times New Roman" w:hAnsi="Times New Roman" w:cs="Times New Roman"/>
          <w:sz w:val="24"/>
          <w:szCs w:val="24"/>
        </w:rPr>
        <w:t>128,0</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126,6</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129,3</w:t>
      </w:r>
      <w:r w:rsidR="00B831B9" w:rsidRPr="00B831B9">
        <w:rPr>
          <w:rFonts w:ascii="Times New Roman" w:hAnsi="Times New Roman" w:cs="Times New Roman"/>
          <w:sz w:val="24"/>
          <w:szCs w:val="24"/>
        </w:rPr>
        <w:t>) en el distrito 4 (zona sur).</w:t>
      </w:r>
      <w:r w:rsidR="00B831B9">
        <w:rPr>
          <w:rFonts w:ascii="Times New Roman" w:hAnsi="Times New Roman" w:cs="Times New Roman"/>
          <w:sz w:val="24"/>
          <w:szCs w:val="24"/>
        </w:rPr>
        <w:t xml:space="preserve"> </w:t>
      </w:r>
      <w:r w:rsidR="00091BF9" w:rsidRPr="00091BF9">
        <w:rPr>
          <w:rFonts w:ascii="Times New Roman" w:hAnsi="Times New Roman" w:cs="Times New Roman"/>
          <w:sz w:val="24"/>
          <w:szCs w:val="24"/>
        </w:rPr>
        <w:t xml:space="preserve">Este último </w:t>
      </w:r>
      <w:r w:rsidR="00091BF9">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el de </w:t>
      </w:r>
      <w:commentRangeStart w:id="4"/>
      <w:r w:rsidR="00091BF9" w:rsidRPr="00091BF9">
        <w:rPr>
          <w:rFonts w:ascii="Times New Roman" w:hAnsi="Times New Roman" w:cs="Times New Roman"/>
          <w:sz w:val="24"/>
          <w:szCs w:val="24"/>
        </w:rPr>
        <w:t xml:space="preserve">menor </w:t>
      </w:r>
      <w:r w:rsidR="00091BF9" w:rsidRPr="008F0A49">
        <w:rPr>
          <w:rFonts w:ascii="Times New Roman" w:hAnsi="Times New Roman" w:cs="Times New Roman"/>
          <w:sz w:val="24"/>
          <w:szCs w:val="24"/>
        </w:rPr>
        <w:t>ingreso familiar promedio</w:t>
      </w:r>
      <w:r w:rsidR="00091BF9" w:rsidRPr="00091BF9">
        <w:rPr>
          <w:rFonts w:ascii="Times New Roman" w:hAnsi="Times New Roman" w:cs="Times New Roman"/>
          <w:sz w:val="24"/>
          <w:szCs w:val="24"/>
        </w:rPr>
        <w:t xml:space="preserve">, </w:t>
      </w:r>
      <w:commentRangeEnd w:id="4"/>
      <w:r w:rsidR="00091BF9">
        <w:rPr>
          <w:rStyle w:val="Refdecomentario"/>
        </w:rPr>
        <w:commentReference w:id="4"/>
      </w:r>
      <w:r w:rsidR="00091BF9" w:rsidRPr="00091BF9">
        <w:rPr>
          <w:rFonts w:ascii="Times New Roman" w:hAnsi="Times New Roman" w:cs="Times New Roman"/>
          <w:sz w:val="24"/>
          <w:szCs w:val="24"/>
        </w:rPr>
        <w:t xml:space="preserve">presentó una tasa de incidencia acumulada un </w:t>
      </w:r>
      <w:r w:rsidR="00C375D7">
        <w:rPr>
          <w:rFonts w:ascii="Times New Roman" w:hAnsi="Times New Roman" w:cs="Times New Roman"/>
          <w:sz w:val="24"/>
          <w:szCs w:val="24"/>
        </w:rPr>
        <w:t>42,7</w:t>
      </w:r>
      <w:r w:rsidR="00091BF9" w:rsidRPr="00091BF9">
        <w:rPr>
          <w:rFonts w:ascii="Times New Roman" w:hAnsi="Times New Roman" w:cs="Times New Roman"/>
          <w:sz w:val="24"/>
          <w:szCs w:val="24"/>
        </w:rPr>
        <w:t xml:space="preserve">% superior a la del </w:t>
      </w:r>
      <w:r w:rsidR="0009618E">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con mejor situación socioeconómica </w:t>
      </w:r>
      <w:r w:rsidR="0009618E">
        <w:rPr>
          <w:rFonts w:ascii="Times New Roman" w:hAnsi="Times New Roman" w:cs="Times New Roman"/>
          <w:sz w:val="24"/>
          <w:szCs w:val="24"/>
        </w:rPr>
        <w:t>–</w:t>
      </w:r>
      <w:r w:rsidR="00091BF9" w:rsidRPr="00091BF9">
        <w:rPr>
          <w:rFonts w:ascii="Times New Roman" w:hAnsi="Times New Roman" w:cs="Times New Roman"/>
          <w:sz w:val="24"/>
          <w:szCs w:val="24"/>
        </w:rPr>
        <w:t>el</w:t>
      </w:r>
      <w:r w:rsidR="0009618E">
        <w:rPr>
          <w:rFonts w:ascii="Times New Roman" w:hAnsi="Times New Roman" w:cs="Times New Roman"/>
          <w:sz w:val="24"/>
          <w:szCs w:val="24"/>
        </w:rPr>
        <w:t xml:space="preserve"> distrito</w:t>
      </w:r>
      <w:r w:rsidR="00091BF9" w:rsidRPr="00091BF9">
        <w:rPr>
          <w:rFonts w:ascii="Times New Roman" w:hAnsi="Times New Roman" w:cs="Times New Roman"/>
          <w:sz w:val="24"/>
          <w:szCs w:val="24"/>
        </w:rPr>
        <w:t xml:space="preserve"> 14, en la zona norte</w:t>
      </w:r>
      <w:r w:rsidR="00091BF9" w:rsidRPr="00C375D7">
        <w:rPr>
          <w:rFonts w:ascii="Times New Roman" w:hAnsi="Times New Roman" w:cs="Times New Roman"/>
          <w:sz w:val="24"/>
          <w:szCs w:val="24"/>
        </w:rPr>
        <w:t xml:space="preserve">- (razón de tasas (RR) = </w:t>
      </w:r>
      <w:r w:rsidR="00C375D7" w:rsidRPr="00C375D7">
        <w:rPr>
          <w:rFonts w:ascii="Times New Roman" w:hAnsi="Times New Roman" w:cs="Times New Roman"/>
          <w:sz w:val="24"/>
          <w:szCs w:val="24"/>
        </w:rPr>
        <w:t>1</w:t>
      </w:r>
      <w:r w:rsidR="00091BF9" w:rsidRPr="00C375D7">
        <w:rPr>
          <w:rFonts w:ascii="Times New Roman" w:hAnsi="Times New Roman" w:cs="Times New Roman"/>
          <w:sz w:val="24"/>
          <w:szCs w:val="24"/>
        </w:rPr>
        <w:t>,</w:t>
      </w:r>
      <w:r w:rsidR="00C375D7" w:rsidRPr="00C375D7">
        <w:rPr>
          <w:rFonts w:ascii="Times New Roman" w:hAnsi="Times New Roman" w:cs="Times New Roman"/>
          <w:sz w:val="24"/>
          <w:szCs w:val="24"/>
        </w:rPr>
        <w:t xml:space="preserve">43 </w:t>
      </w:r>
      <w:r w:rsidR="00091BF9" w:rsidRPr="00C375D7">
        <w:rPr>
          <w:rFonts w:ascii="Times New Roman" w:hAnsi="Times New Roman" w:cs="Times New Roman"/>
          <w:sz w:val="24"/>
          <w:szCs w:val="24"/>
          <w:highlight w:val="yellow"/>
        </w:rPr>
        <w:t>, IC95% 1,72 - 1,81).</w:t>
      </w:r>
      <w:r w:rsidR="00091BF9" w:rsidRPr="00091BF9">
        <w:rPr>
          <w:rFonts w:ascii="Times New Roman" w:hAnsi="Times New Roman" w:cs="Times New Roman"/>
          <w:sz w:val="24"/>
          <w:szCs w:val="24"/>
        </w:rPr>
        <w:t xml:space="preserve">  </w:t>
      </w:r>
    </w:p>
    <w:p w14:paraId="776451C9" w14:textId="77777777" w:rsidR="00A00385" w:rsidRDefault="00091BF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En cambio, en el segundo sub periodo la incidencia oscilo entre </w:t>
      </w:r>
      <w:r w:rsidR="00706CCD">
        <w:rPr>
          <w:rFonts w:ascii="Times New Roman" w:hAnsi="Times New Roman" w:cs="Times New Roman"/>
          <w:sz w:val="24"/>
          <w:szCs w:val="24"/>
          <w:highlight w:val="yellow"/>
        </w:rPr>
        <w:t>42,5</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41,7</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43,3</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t>8</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sur</w:t>
      </w:r>
      <w:r w:rsidRPr="00091BF9">
        <w:rPr>
          <w:rFonts w:ascii="Times New Roman" w:hAnsi="Times New Roman" w:cs="Times New Roman"/>
          <w:sz w:val="24"/>
          <w:szCs w:val="24"/>
          <w:highlight w:val="yellow"/>
        </w:rPr>
        <w:t xml:space="preserve">) y </w:t>
      </w:r>
      <w:r w:rsidR="00706CCD">
        <w:rPr>
          <w:rFonts w:ascii="Times New Roman" w:hAnsi="Times New Roman" w:cs="Times New Roman"/>
          <w:sz w:val="24"/>
          <w:szCs w:val="24"/>
          <w:highlight w:val="yellow"/>
        </w:rPr>
        <w:t>74,7</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73,4</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76,0</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lastRenderedPageBreak/>
        <w:t>2</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norte</w:t>
      </w:r>
      <w:r w:rsidRPr="00091BF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706CCD">
        <w:rPr>
          <w:rFonts w:ascii="Times New Roman" w:hAnsi="Times New Roman" w:cs="Times New Roman"/>
          <w:sz w:val="24"/>
          <w:szCs w:val="24"/>
        </w:rPr>
        <w:t xml:space="preserve">En este caso la incidencia acumulada fue mayor (en un 75,8 %) en unos de los distritos con mayor ingreso familiar promedio comparado con uno de los distritos de menor ingreso.   </w:t>
      </w:r>
    </w:p>
    <w:p w14:paraId="5EA27704" w14:textId="77777777" w:rsidR="00706CCD" w:rsidRDefault="00706CCD" w:rsidP="00DE13F5">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7735D781" wp14:editId="6799711D">
            <wp:extent cx="5971540" cy="252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2527300"/>
                    </a:xfrm>
                    <a:prstGeom prst="rect">
                      <a:avLst/>
                    </a:prstGeom>
                  </pic:spPr>
                </pic:pic>
              </a:graphicData>
            </a:graphic>
          </wp:inline>
        </w:drawing>
      </w:r>
    </w:p>
    <w:p w14:paraId="19BCBCFB" w14:textId="0F838B8A" w:rsidR="00091BF9" w:rsidRDefault="00091BF9" w:rsidP="00DE13F5">
      <w:pPr>
        <w:spacing w:after="0" w:line="480" w:lineRule="auto"/>
        <w:contextualSpacing/>
        <w:jc w:val="both"/>
        <w:rPr>
          <w:rFonts w:ascii="Times New Roman" w:hAnsi="Times New Roman" w:cs="Times New Roman"/>
          <w:sz w:val="24"/>
          <w:szCs w:val="24"/>
        </w:rPr>
      </w:pPr>
    </w:p>
    <w:p w14:paraId="2B03C739" w14:textId="77E757D3" w:rsidR="00450930" w:rsidRPr="00450930" w:rsidRDefault="00450930" w:rsidP="00DE13F5">
      <w:pPr>
        <w:spacing w:after="0" w:line="480" w:lineRule="auto"/>
        <w:contextualSpacing/>
        <w:jc w:val="both"/>
        <w:rPr>
          <w:rFonts w:ascii="Times New Roman" w:hAnsi="Times New Roman" w:cs="Times New Roman"/>
          <w:sz w:val="24"/>
          <w:szCs w:val="24"/>
        </w:rPr>
      </w:pPr>
      <w:r w:rsidRPr="00450930">
        <w:rPr>
          <w:rFonts w:ascii="Times New Roman" w:hAnsi="Times New Roman" w:cs="Times New Roman"/>
          <w:sz w:val="24"/>
          <w:szCs w:val="24"/>
        </w:rPr>
        <w:t>Al observar las diferencias en la incidencia por grupos de edad, las desigualdades también adquieren grandes magnitudes, con las mayores diferencias concentradas principalmente entre los adultos jóvenes. La Figura 1 muestra los diferentes niveles de incidencia entre l</w:t>
      </w:r>
      <w:r>
        <w:rPr>
          <w:rFonts w:ascii="Times New Roman" w:hAnsi="Times New Roman" w:cs="Times New Roman"/>
          <w:sz w:val="24"/>
          <w:szCs w:val="24"/>
        </w:rPr>
        <w:t>o</w:t>
      </w:r>
      <w:r w:rsidRPr="00450930">
        <w:rPr>
          <w:rFonts w:ascii="Times New Roman" w:hAnsi="Times New Roman" w:cs="Times New Roman"/>
          <w:sz w:val="24"/>
          <w:szCs w:val="24"/>
        </w:rPr>
        <w:t>s</w:t>
      </w:r>
      <w:r>
        <w:rPr>
          <w:rFonts w:ascii="Times New Roman" w:hAnsi="Times New Roman" w:cs="Times New Roman"/>
          <w:sz w:val="24"/>
          <w:szCs w:val="24"/>
        </w:rPr>
        <w:t xml:space="preserve"> promedios de las incidencias acumuladas por comuna agrupadas por zona</w:t>
      </w:r>
      <w:r w:rsidRPr="00450930">
        <w:rPr>
          <w:rFonts w:ascii="Times New Roman" w:hAnsi="Times New Roman" w:cs="Times New Roman"/>
          <w:sz w:val="24"/>
          <w:szCs w:val="24"/>
        </w:rPr>
        <w:t xml:space="preserve">. </w:t>
      </w:r>
      <w:r>
        <w:rPr>
          <w:rFonts w:ascii="Times New Roman" w:hAnsi="Times New Roman" w:cs="Times New Roman"/>
          <w:sz w:val="24"/>
          <w:szCs w:val="24"/>
        </w:rPr>
        <w:t xml:space="preserve">En el primer sub periodo, los dos grupos de edad más desiguales son el de 20 a 24 años y el de 25 a 29 años, </w:t>
      </w:r>
      <w:r w:rsidRPr="00450930">
        <w:rPr>
          <w:rFonts w:ascii="Times New Roman" w:hAnsi="Times New Roman" w:cs="Times New Roman"/>
          <w:sz w:val="24"/>
          <w:szCs w:val="24"/>
          <w:highlight w:val="yellow"/>
        </w:rPr>
        <w:t xml:space="preserve">mostrando una brecha en el promedio de incidencia por comuna entre zona sur y zona norte de </w:t>
      </w:r>
      <w:proofErr w:type="spellStart"/>
      <w:r w:rsidRPr="00450930">
        <w:rPr>
          <w:rFonts w:ascii="Times New Roman" w:hAnsi="Times New Roman" w:cs="Times New Roman"/>
          <w:sz w:val="24"/>
          <w:szCs w:val="24"/>
          <w:highlight w:val="yellow"/>
        </w:rPr>
        <w:t>xxxxxx</w:t>
      </w:r>
      <w:proofErr w:type="spellEnd"/>
      <w:r>
        <w:rPr>
          <w:rFonts w:ascii="Times New Roman" w:hAnsi="Times New Roman" w:cs="Times New Roman"/>
          <w:sz w:val="24"/>
          <w:szCs w:val="24"/>
        </w:rPr>
        <w:t xml:space="preserve">.   En el segundo sub periodo el grupo de edad más desigual fue el grupo de 15 a 19 años </w:t>
      </w:r>
      <w:r w:rsidRPr="00450930">
        <w:rPr>
          <w:rFonts w:ascii="Times New Roman" w:hAnsi="Times New Roman" w:cs="Times New Roman"/>
          <w:sz w:val="24"/>
          <w:szCs w:val="24"/>
          <w:highlight w:val="yellow"/>
        </w:rPr>
        <w:t xml:space="preserve">con una brecha en los promedios por zona de </w:t>
      </w:r>
      <w:proofErr w:type="spellStart"/>
      <w:r w:rsidRPr="00450930">
        <w:rPr>
          <w:rFonts w:ascii="Times New Roman" w:hAnsi="Times New Roman" w:cs="Times New Roman"/>
          <w:sz w:val="24"/>
          <w:szCs w:val="24"/>
          <w:highlight w:val="yellow"/>
        </w:rPr>
        <w:t>xxxxx</w:t>
      </w:r>
      <w:proofErr w:type="spellEnd"/>
      <w:r w:rsidRPr="00450930">
        <w:rPr>
          <w:rFonts w:ascii="Times New Roman" w:hAnsi="Times New Roman" w:cs="Times New Roman"/>
          <w:sz w:val="24"/>
          <w:szCs w:val="24"/>
          <w:highlight w:val="yellow"/>
        </w:rPr>
        <w:t>.</w:t>
      </w:r>
    </w:p>
    <w:p w14:paraId="448CD751" w14:textId="6B9683B0" w:rsidR="00450930" w:rsidRPr="00AD2E4B" w:rsidRDefault="00450930" w:rsidP="00DE13F5">
      <w:pPr>
        <w:spacing w:after="0" w:line="480" w:lineRule="auto"/>
        <w:contextualSpacing/>
        <w:jc w:val="both"/>
        <w:rPr>
          <w:rFonts w:ascii="Times New Roman" w:hAnsi="Times New Roman" w:cs="Times New Roman"/>
          <w:sz w:val="24"/>
          <w:szCs w:val="24"/>
        </w:rPr>
      </w:pPr>
      <w:commentRangeStart w:id="5"/>
      <w:r w:rsidRPr="00450930">
        <w:rPr>
          <w:rFonts w:ascii="Times New Roman" w:hAnsi="Times New Roman" w:cs="Times New Roman"/>
          <w:sz w:val="24"/>
          <w:szCs w:val="24"/>
          <w:highlight w:val="cyan"/>
        </w:rPr>
        <w:t>Los dos grupos de edad más desiguales son los de 20 a 24 años, donde la incidencia de la comuna más desfavorecida representa 2,7 veces la de la mejor situación (RR = 2,7, IC95% 2,4 - 3,0) y el grupo de 25 a 29 años, donde el primero representa 2,3 veces el segundo (RR = 2,3, IC95% 2,1 - 2,5).</w:t>
      </w:r>
      <w:commentRangeEnd w:id="5"/>
      <w:r>
        <w:rPr>
          <w:rStyle w:val="Refdecomentario"/>
        </w:rPr>
        <w:commentReference w:id="5"/>
      </w:r>
    </w:p>
    <w:p w14:paraId="4684D755" w14:textId="2F987EA8" w:rsidR="00FD537F" w:rsidRDefault="00450930" w:rsidP="00DE13F5">
      <w:pPr>
        <w:spacing w:after="0" w:line="480" w:lineRule="auto"/>
        <w:contextualSpacing/>
        <w:jc w:val="both"/>
        <w:rPr>
          <w:rFonts w:ascii="Times New Roman" w:hAnsi="Times New Roman" w:cs="Times New Roman"/>
          <w:sz w:val="24"/>
          <w:szCs w:val="24"/>
        </w:rPr>
      </w:pPr>
      <w:r>
        <w:rPr>
          <w:noProof/>
          <w:lang w:eastAsia="es-AR"/>
        </w:rPr>
        <w:lastRenderedPageBreak/>
        <w:drawing>
          <wp:inline distT="0" distB="0" distL="0" distR="0" wp14:anchorId="083FB4AC" wp14:editId="1E488DA6">
            <wp:extent cx="597154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2514600"/>
                    </a:xfrm>
                    <a:prstGeom prst="rect">
                      <a:avLst/>
                    </a:prstGeom>
                  </pic:spPr>
                </pic:pic>
              </a:graphicData>
            </a:graphic>
          </wp:inline>
        </w:drawing>
      </w:r>
    </w:p>
    <w:p w14:paraId="7145A2E1" w14:textId="77777777" w:rsidR="00384A8F" w:rsidRDefault="00384A8F" w:rsidP="0016684F">
      <w:pPr>
        <w:spacing w:after="0" w:line="480" w:lineRule="auto"/>
        <w:contextualSpacing/>
        <w:jc w:val="both"/>
        <w:rPr>
          <w:rFonts w:ascii="Times New Roman" w:hAnsi="Times New Roman" w:cs="Times New Roman"/>
          <w:sz w:val="24"/>
          <w:szCs w:val="24"/>
        </w:rPr>
      </w:pPr>
    </w:p>
    <w:p w14:paraId="0B4F2122" w14:textId="383D32FC" w:rsidR="00116F68" w:rsidRPr="00116F68" w:rsidRDefault="00116F68" w:rsidP="00B3511A">
      <w:pPr>
        <w:spacing w:after="0" w:line="480" w:lineRule="auto"/>
        <w:contextualSpacing/>
        <w:jc w:val="both"/>
        <w:rPr>
          <w:rFonts w:ascii="Times New Roman" w:hAnsi="Times New Roman" w:cs="Times New Roman"/>
          <w:sz w:val="24"/>
          <w:szCs w:val="24"/>
        </w:rPr>
      </w:pPr>
      <w:r w:rsidRPr="00116F68">
        <w:rPr>
          <w:rFonts w:ascii="Times New Roman" w:hAnsi="Times New Roman" w:cs="Times New Roman"/>
          <w:sz w:val="24"/>
          <w:szCs w:val="24"/>
        </w:rPr>
        <w:t>También se evaluó el porcentaje de positividad como medida de la intensidad de la vigilancia epidemiológica.</w:t>
      </w:r>
      <w:r>
        <w:rPr>
          <w:rFonts w:ascii="Times New Roman" w:hAnsi="Times New Roman" w:cs="Times New Roman"/>
          <w:sz w:val="24"/>
          <w:szCs w:val="24"/>
        </w:rPr>
        <w:t xml:space="preserve"> Este indicador también se distribuyó de forma heterogénea entre los distritos de la CABA, concentrando sus valores más altos en los distritos del sur de la ciudad en ambos sub periodos. </w:t>
      </w:r>
      <w:r w:rsidRPr="00116F68">
        <w:rPr>
          <w:rFonts w:ascii="Times New Roman" w:hAnsi="Times New Roman" w:cs="Times New Roman"/>
          <w:sz w:val="24"/>
          <w:szCs w:val="24"/>
        </w:rPr>
        <w:t>Para el conjunto de la ciudad,</w:t>
      </w:r>
      <w:r>
        <w:rPr>
          <w:rFonts w:ascii="Times New Roman" w:hAnsi="Times New Roman" w:cs="Times New Roman"/>
          <w:sz w:val="24"/>
          <w:szCs w:val="24"/>
        </w:rPr>
        <w:t xml:space="preserve"> en el primer sub periodo</w:t>
      </w:r>
      <w:r w:rsidRPr="00116F68">
        <w:rPr>
          <w:rFonts w:ascii="Times New Roman" w:hAnsi="Times New Roman" w:cs="Times New Roman"/>
          <w:sz w:val="24"/>
          <w:szCs w:val="24"/>
        </w:rPr>
        <w:t xml:space="preserve"> el porcentaje de positividad se situó en el </w:t>
      </w:r>
      <w:r w:rsidR="00B3511A">
        <w:rPr>
          <w:rFonts w:ascii="Times New Roman" w:hAnsi="Times New Roman" w:cs="Times New Roman"/>
          <w:sz w:val="24"/>
          <w:szCs w:val="24"/>
          <w:highlight w:val="yellow"/>
        </w:rPr>
        <w:t>40</w:t>
      </w:r>
      <w:r w:rsidR="00B3511A"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(IC95% </w:t>
      </w:r>
      <w:r w:rsidR="00B3511A">
        <w:rPr>
          <w:rFonts w:ascii="Times New Roman" w:hAnsi="Times New Roman" w:cs="Times New Roman"/>
          <w:sz w:val="24"/>
          <w:szCs w:val="24"/>
          <w:highlight w:val="yellow"/>
        </w:rPr>
        <w:t>40,3</w:t>
      </w:r>
      <w:r w:rsidRPr="00B3511A">
        <w:rPr>
          <w:rFonts w:ascii="Times New Roman" w:hAnsi="Times New Roman" w:cs="Times New Roman"/>
          <w:sz w:val="24"/>
          <w:szCs w:val="24"/>
          <w:highlight w:val="yellow"/>
        </w:rPr>
        <w:t xml:space="preserve"> - </w:t>
      </w:r>
      <w:r w:rsidR="00B3511A">
        <w:rPr>
          <w:rFonts w:ascii="Times New Roman" w:hAnsi="Times New Roman" w:cs="Times New Roman"/>
          <w:sz w:val="24"/>
          <w:szCs w:val="24"/>
          <w:highlight w:val="yellow"/>
        </w:rPr>
        <w:t>40</w:t>
      </w:r>
      <w:r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6</w:t>
      </w:r>
      <w:r w:rsidRPr="00B3511A">
        <w:rPr>
          <w:rFonts w:ascii="Times New Roman" w:hAnsi="Times New Roman" w:cs="Times New Roman"/>
          <w:sz w:val="24"/>
          <w:szCs w:val="24"/>
          <w:highlight w:val="yellow"/>
        </w:rPr>
        <w:t xml:space="preserve">), subiendo al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9</w:t>
      </w:r>
      <w:r w:rsidRPr="00B3511A">
        <w:rPr>
          <w:rFonts w:ascii="Times New Roman" w:hAnsi="Times New Roman" w:cs="Times New Roman"/>
          <w:sz w:val="24"/>
          <w:szCs w:val="24"/>
          <w:highlight w:val="yellow"/>
        </w:rPr>
        <w:t xml:space="preserve">% (IC95%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 </w:t>
      </w:r>
      <w:r w:rsidR="002B7E89">
        <w:rPr>
          <w:rFonts w:ascii="Times New Roman" w:hAnsi="Times New Roman" w:cs="Times New Roman"/>
          <w:sz w:val="24"/>
          <w:szCs w:val="24"/>
          <w:highlight w:val="yellow"/>
        </w:rPr>
        <w:t>43</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w:t>
      </w:r>
      <w:r w:rsidRPr="00116F68">
        <w:rPr>
          <w:rFonts w:ascii="Times New Roman" w:hAnsi="Times New Roman" w:cs="Times New Roman"/>
          <w:sz w:val="24"/>
          <w:szCs w:val="24"/>
        </w:rPr>
        <w:t xml:space="preserve"> en </w:t>
      </w:r>
      <w:r w:rsidR="002B7E89">
        <w:rPr>
          <w:rFonts w:ascii="Times New Roman" w:hAnsi="Times New Roman" w:cs="Times New Roman"/>
          <w:sz w:val="24"/>
          <w:szCs w:val="24"/>
        </w:rPr>
        <w:t>el distrito</w:t>
      </w:r>
      <w:r w:rsidRPr="00116F68">
        <w:rPr>
          <w:rFonts w:ascii="Times New Roman" w:hAnsi="Times New Roman" w:cs="Times New Roman"/>
          <w:sz w:val="24"/>
          <w:szCs w:val="24"/>
        </w:rPr>
        <w:t xml:space="preserve"> de peor ingreso </w:t>
      </w:r>
      <w:r>
        <w:rPr>
          <w:rFonts w:ascii="Times New Roman" w:hAnsi="Times New Roman" w:cs="Times New Roman"/>
          <w:sz w:val="24"/>
          <w:szCs w:val="24"/>
        </w:rPr>
        <w:t xml:space="preserve">promedio. </w:t>
      </w:r>
      <w:r w:rsidR="00B3511A">
        <w:rPr>
          <w:rFonts w:ascii="Times New Roman" w:hAnsi="Times New Roman" w:cs="Times New Roman"/>
          <w:sz w:val="24"/>
          <w:szCs w:val="24"/>
        </w:rPr>
        <w:t xml:space="preserve">En el segundo sub periodo </w:t>
      </w:r>
      <w:r w:rsidR="00B3511A" w:rsidRPr="00116F68">
        <w:rPr>
          <w:rFonts w:ascii="Times New Roman" w:hAnsi="Times New Roman" w:cs="Times New Roman"/>
          <w:sz w:val="24"/>
          <w:szCs w:val="24"/>
        </w:rPr>
        <w:t xml:space="preserve">el porcentaje de positividad se situó en el </w:t>
      </w:r>
      <w:r w:rsidR="00B3511A" w:rsidRPr="00B3511A">
        <w:rPr>
          <w:rFonts w:ascii="Times New Roman" w:hAnsi="Times New Roman" w:cs="Times New Roman"/>
          <w:sz w:val="24"/>
          <w:szCs w:val="24"/>
          <w:highlight w:val="yellow"/>
        </w:rPr>
        <w:t xml:space="preserve">19,0% (IC95% 18,9 - 19,1), </w:t>
      </w:r>
      <w:commentRangeStart w:id="6"/>
      <w:r w:rsidR="00B3511A" w:rsidRPr="00B3511A">
        <w:rPr>
          <w:rFonts w:ascii="Times New Roman" w:hAnsi="Times New Roman" w:cs="Times New Roman"/>
          <w:sz w:val="24"/>
          <w:szCs w:val="24"/>
          <w:highlight w:val="yellow"/>
        </w:rPr>
        <w:t>subiendo al 22,5% (IC95% 22,8 - 20,0)</w:t>
      </w:r>
      <w:r w:rsidR="00B3511A" w:rsidRPr="00116F68">
        <w:rPr>
          <w:rFonts w:ascii="Times New Roman" w:hAnsi="Times New Roman" w:cs="Times New Roman"/>
          <w:sz w:val="24"/>
          <w:szCs w:val="24"/>
        </w:rPr>
        <w:t xml:space="preserve"> </w:t>
      </w:r>
      <w:commentRangeEnd w:id="6"/>
      <w:r w:rsidR="002B7E89">
        <w:rPr>
          <w:rStyle w:val="Refdecomentario"/>
        </w:rPr>
        <w:commentReference w:id="6"/>
      </w:r>
      <w:r w:rsidR="00B3511A" w:rsidRPr="00116F68">
        <w:rPr>
          <w:rFonts w:ascii="Times New Roman" w:hAnsi="Times New Roman" w:cs="Times New Roman"/>
          <w:sz w:val="24"/>
          <w:szCs w:val="24"/>
        </w:rPr>
        <w:t xml:space="preserve">en </w:t>
      </w:r>
      <w:r w:rsidR="002B7E89">
        <w:rPr>
          <w:rFonts w:ascii="Times New Roman" w:hAnsi="Times New Roman" w:cs="Times New Roman"/>
          <w:sz w:val="24"/>
          <w:szCs w:val="24"/>
        </w:rPr>
        <w:t>el distrito</w:t>
      </w:r>
      <w:r w:rsidR="00B3511A" w:rsidRPr="00116F68">
        <w:rPr>
          <w:rFonts w:ascii="Times New Roman" w:hAnsi="Times New Roman" w:cs="Times New Roman"/>
          <w:sz w:val="24"/>
          <w:szCs w:val="24"/>
        </w:rPr>
        <w:t xml:space="preserve"> de peor ingreso </w:t>
      </w:r>
      <w:r w:rsidR="00B3511A">
        <w:rPr>
          <w:rFonts w:ascii="Times New Roman" w:hAnsi="Times New Roman" w:cs="Times New Roman"/>
          <w:sz w:val="24"/>
          <w:szCs w:val="24"/>
        </w:rPr>
        <w:t xml:space="preserve">promedio. </w:t>
      </w:r>
      <w:r w:rsidR="00B3511A" w:rsidRPr="00116F68">
        <w:rPr>
          <w:rFonts w:ascii="Times New Roman" w:hAnsi="Times New Roman" w:cs="Times New Roman"/>
          <w:sz w:val="24"/>
          <w:szCs w:val="24"/>
        </w:rPr>
        <w:t>Figura 2 describe los diferentes niveles</w:t>
      </w:r>
      <w:r w:rsidR="00B3511A">
        <w:rPr>
          <w:rFonts w:ascii="Times New Roman" w:hAnsi="Times New Roman" w:cs="Times New Roman"/>
          <w:sz w:val="24"/>
          <w:szCs w:val="24"/>
        </w:rPr>
        <w:t xml:space="preserve"> de positividad observados por distrito para ambos sub periodos</w:t>
      </w:r>
      <w:r w:rsidR="00B3511A" w:rsidRPr="00116F68">
        <w:rPr>
          <w:rFonts w:ascii="Times New Roman" w:hAnsi="Times New Roman" w:cs="Times New Roman"/>
          <w:sz w:val="24"/>
          <w:szCs w:val="24"/>
        </w:rPr>
        <w:t>.</w:t>
      </w:r>
      <w:r w:rsidR="00B3511A">
        <w:rPr>
          <w:rFonts w:ascii="Times New Roman" w:hAnsi="Times New Roman" w:cs="Times New Roman"/>
          <w:sz w:val="24"/>
          <w:szCs w:val="24"/>
        </w:rPr>
        <w:t xml:space="preserve"> </w:t>
      </w:r>
    </w:p>
    <w:p w14:paraId="1F9407FE" w14:textId="3CA4DC50" w:rsidR="00EF2B6B" w:rsidRDefault="00116F68" w:rsidP="0016684F">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4F41109B" wp14:editId="0393154D">
            <wp:extent cx="5971540" cy="1769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769745"/>
                    </a:xfrm>
                    <a:prstGeom prst="rect">
                      <a:avLst/>
                    </a:prstGeom>
                  </pic:spPr>
                </pic:pic>
              </a:graphicData>
            </a:graphic>
          </wp:inline>
        </w:drawing>
      </w:r>
    </w:p>
    <w:p w14:paraId="0D036C0D" w14:textId="77777777" w:rsidR="00D57FBD" w:rsidRPr="00D262C9" w:rsidRDefault="00D57FBD" w:rsidP="0016684F">
      <w:pPr>
        <w:spacing w:after="0" w:line="480" w:lineRule="auto"/>
        <w:contextualSpacing/>
        <w:jc w:val="both"/>
        <w:rPr>
          <w:rFonts w:ascii="Times New Roman" w:hAnsi="Times New Roman" w:cs="Times New Roman"/>
          <w:sz w:val="24"/>
          <w:szCs w:val="24"/>
        </w:rPr>
      </w:pPr>
    </w:p>
    <w:p w14:paraId="5754DADB" w14:textId="77777777" w:rsidR="00384A8F" w:rsidRDefault="00384A8F" w:rsidP="0016684F">
      <w:pPr>
        <w:spacing w:after="0" w:line="480" w:lineRule="auto"/>
        <w:contextualSpacing/>
        <w:jc w:val="both"/>
        <w:rPr>
          <w:rFonts w:ascii="Times New Roman" w:hAnsi="Times New Roman" w:cs="Times New Roman"/>
          <w:sz w:val="24"/>
          <w:szCs w:val="24"/>
        </w:rPr>
      </w:pPr>
    </w:p>
    <w:p w14:paraId="4F1652ED" w14:textId="77777777" w:rsidR="00842BAA" w:rsidRDefault="002B7E89" w:rsidP="0016684F">
      <w:pPr>
        <w:spacing w:after="0" w:line="480" w:lineRule="auto"/>
        <w:contextualSpacing/>
        <w:jc w:val="both"/>
        <w:rPr>
          <w:rFonts w:ascii="Times New Roman" w:hAnsi="Times New Roman" w:cs="Times New Roman"/>
          <w:sz w:val="24"/>
          <w:szCs w:val="24"/>
        </w:rPr>
      </w:pPr>
      <w:r w:rsidRPr="002B7E89">
        <w:rPr>
          <w:rFonts w:ascii="Times New Roman" w:hAnsi="Times New Roman" w:cs="Times New Roman"/>
          <w:sz w:val="24"/>
          <w:szCs w:val="24"/>
        </w:rPr>
        <w:t xml:space="preserve">En relación a la mortalidad, el porcentaje varió entre </w:t>
      </w:r>
      <w:commentRangeStart w:id="7"/>
      <w:r w:rsidRPr="002B7E89">
        <w:rPr>
          <w:rFonts w:ascii="Times New Roman" w:hAnsi="Times New Roman" w:cs="Times New Roman"/>
          <w:sz w:val="24"/>
          <w:szCs w:val="24"/>
          <w:highlight w:val="yellow"/>
        </w:rPr>
        <w:t>1,7% (IC 95% 1,5 - 1,9)</w:t>
      </w:r>
      <w:r w:rsidRPr="002B7E89">
        <w:rPr>
          <w:rFonts w:ascii="Times New Roman" w:hAnsi="Times New Roman" w:cs="Times New Roman"/>
          <w:sz w:val="24"/>
          <w:szCs w:val="24"/>
        </w:rPr>
        <w:t xml:space="preserve"> </w:t>
      </w:r>
      <w:commentRangeEnd w:id="7"/>
      <w:r w:rsidR="00842BAA">
        <w:rPr>
          <w:rStyle w:val="Refdecomentario"/>
        </w:rPr>
        <w:commentReference w:id="7"/>
      </w:r>
      <w:r w:rsidRPr="002B7E89">
        <w:rPr>
          <w:rFonts w:ascii="Times New Roman" w:hAnsi="Times New Roman" w:cs="Times New Roman"/>
          <w:sz w:val="24"/>
          <w:szCs w:val="24"/>
        </w:rPr>
        <w:t xml:space="preserve">en </w:t>
      </w:r>
      <w:r>
        <w:rPr>
          <w:rFonts w:ascii="Times New Roman" w:hAnsi="Times New Roman" w:cs="Times New Roman"/>
          <w:sz w:val="24"/>
          <w:szCs w:val="24"/>
        </w:rPr>
        <w:t>distrito</w:t>
      </w:r>
      <w:r w:rsidRPr="002B7E89">
        <w:rPr>
          <w:rFonts w:ascii="Times New Roman" w:hAnsi="Times New Roman" w:cs="Times New Roman"/>
          <w:sz w:val="24"/>
          <w:szCs w:val="24"/>
        </w:rPr>
        <w:t xml:space="preserve"> 8 (zona sur) y </w:t>
      </w:r>
      <w:r w:rsidRPr="002B7E89">
        <w:rPr>
          <w:rFonts w:ascii="Times New Roman" w:hAnsi="Times New Roman" w:cs="Times New Roman"/>
          <w:sz w:val="24"/>
          <w:szCs w:val="24"/>
          <w:highlight w:val="yellow"/>
        </w:rPr>
        <w:t>3,6% (IC95% 3,1 - 4,1)</w:t>
      </w:r>
      <w:r w:rsidRPr="002B7E89">
        <w:rPr>
          <w:rFonts w:ascii="Times New Roman" w:hAnsi="Times New Roman" w:cs="Times New Roman"/>
          <w:sz w:val="24"/>
          <w:szCs w:val="24"/>
        </w:rPr>
        <w:t xml:space="preserve"> en el </w:t>
      </w:r>
      <w:r>
        <w:rPr>
          <w:rFonts w:ascii="Times New Roman" w:hAnsi="Times New Roman" w:cs="Times New Roman"/>
          <w:sz w:val="24"/>
          <w:szCs w:val="24"/>
        </w:rPr>
        <w:t>distrito</w:t>
      </w:r>
      <w:r w:rsidRPr="002B7E89">
        <w:rPr>
          <w:rFonts w:ascii="Times New Roman" w:hAnsi="Times New Roman" w:cs="Times New Roman"/>
          <w:sz w:val="24"/>
          <w:szCs w:val="24"/>
        </w:rPr>
        <w:t xml:space="preserve"> 12 (zona norte)</w:t>
      </w:r>
      <w:r>
        <w:rPr>
          <w:rFonts w:ascii="Times New Roman" w:hAnsi="Times New Roman" w:cs="Times New Roman"/>
          <w:sz w:val="24"/>
          <w:szCs w:val="24"/>
        </w:rPr>
        <w:t xml:space="preserve"> en el primer sub periodo </w:t>
      </w:r>
      <w:r w:rsidRPr="002B7E89">
        <w:rPr>
          <w:rFonts w:ascii="Times New Roman" w:hAnsi="Times New Roman" w:cs="Times New Roman"/>
          <w:sz w:val="24"/>
          <w:szCs w:val="24"/>
          <w:highlight w:val="yellow"/>
        </w:rPr>
        <w:t>y entre xx y xx en el segundo sub</w:t>
      </w:r>
      <w:r w:rsidR="00842BAA">
        <w:rPr>
          <w:rFonts w:ascii="Times New Roman" w:hAnsi="Times New Roman" w:cs="Times New Roman"/>
          <w:sz w:val="24"/>
          <w:szCs w:val="24"/>
          <w:highlight w:val="yellow"/>
        </w:rPr>
        <w:t xml:space="preserve"> </w:t>
      </w:r>
      <w:r w:rsidRPr="002B7E89">
        <w:rPr>
          <w:rFonts w:ascii="Times New Roman" w:hAnsi="Times New Roman" w:cs="Times New Roman"/>
          <w:sz w:val="24"/>
          <w:szCs w:val="24"/>
          <w:highlight w:val="yellow"/>
        </w:rPr>
        <w:t>periodo.</w:t>
      </w:r>
      <w:r w:rsidRPr="002B7E89">
        <w:rPr>
          <w:rFonts w:ascii="Times New Roman" w:hAnsi="Times New Roman" w:cs="Times New Roman"/>
          <w:sz w:val="24"/>
          <w:szCs w:val="24"/>
        </w:rPr>
        <w:t xml:space="preserve"> </w:t>
      </w:r>
      <w:commentRangeStart w:id="8"/>
      <w:r w:rsidRPr="002B7E89">
        <w:rPr>
          <w:rFonts w:ascii="Times New Roman" w:hAnsi="Times New Roman" w:cs="Times New Roman"/>
          <w:sz w:val="24"/>
          <w:szCs w:val="24"/>
        </w:rPr>
        <w:t xml:space="preserve">La tasa de letalidad presentó el valor más bajo en un </w:t>
      </w:r>
      <w:r>
        <w:rPr>
          <w:rFonts w:ascii="Times New Roman" w:hAnsi="Times New Roman" w:cs="Times New Roman"/>
          <w:sz w:val="24"/>
          <w:szCs w:val="24"/>
        </w:rPr>
        <w:t>distrito</w:t>
      </w:r>
      <w:r w:rsidRPr="002B7E89">
        <w:rPr>
          <w:rFonts w:ascii="Times New Roman" w:hAnsi="Times New Roman" w:cs="Times New Roman"/>
          <w:sz w:val="24"/>
          <w:szCs w:val="24"/>
        </w:rPr>
        <w:t xml:space="preserve"> de la zona sur, lo que significaría que, en términos generales, el peor pronóstico para los infectados se encontrara en una de las zonas más desfavorecidas, sobre todo teniendo en cuenta que entre los cinco </w:t>
      </w:r>
      <w:r>
        <w:rPr>
          <w:rFonts w:ascii="Times New Roman" w:hAnsi="Times New Roman" w:cs="Times New Roman"/>
          <w:sz w:val="24"/>
          <w:szCs w:val="24"/>
        </w:rPr>
        <w:t>distritos</w:t>
      </w:r>
      <w:r w:rsidRPr="002B7E89">
        <w:rPr>
          <w:rFonts w:ascii="Times New Roman" w:hAnsi="Times New Roman" w:cs="Times New Roman"/>
          <w:sz w:val="24"/>
          <w:szCs w:val="24"/>
        </w:rPr>
        <w:t xml:space="preserve"> con los porcentajes de letalidad más altos (pabellones 12, 11, 2, 10 y 13) no se encontró a nadie en la zona sur. Además, tres de ellos (2, 12 y 13) se encuentran entre los cinco con mejor ingreso familiar promedio. Esto evidenciaría una asociación inversa entre el nivel de ingresos y la fatalidad o, en otras palabras, un peor pronóstico para los casos infectados que viven en las zonas de mayores ingresos. </w:t>
      </w:r>
      <w:commentRangeEnd w:id="8"/>
      <w:r>
        <w:rPr>
          <w:rStyle w:val="Refdecomentario"/>
        </w:rPr>
        <w:commentReference w:id="8"/>
      </w:r>
    </w:p>
    <w:p w14:paraId="6C83DE21" w14:textId="77777777" w:rsidR="00842BAA" w:rsidRDefault="00842BAA" w:rsidP="0016684F">
      <w:pPr>
        <w:spacing w:after="0" w:line="480" w:lineRule="auto"/>
        <w:contextualSpacing/>
        <w:jc w:val="both"/>
        <w:rPr>
          <w:rFonts w:ascii="Times New Roman" w:hAnsi="Times New Roman" w:cs="Times New Roman"/>
          <w:sz w:val="24"/>
          <w:szCs w:val="24"/>
        </w:rPr>
      </w:pPr>
    </w:p>
    <w:p w14:paraId="4A9E256D" w14:textId="5D522E2B" w:rsidR="00842BAA" w:rsidRDefault="00842BAA" w:rsidP="0016684F">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34C204AF" wp14:editId="4B6B3439">
            <wp:extent cx="5971540" cy="28682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2868295"/>
                    </a:xfrm>
                    <a:prstGeom prst="rect">
                      <a:avLst/>
                    </a:prstGeom>
                  </pic:spPr>
                </pic:pic>
              </a:graphicData>
            </a:graphic>
          </wp:inline>
        </w:drawing>
      </w:r>
    </w:p>
    <w:p w14:paraId="3E6F805E" w14:textId="77777777" w:rsidR="00842BAA" w:rsidRDefault="00842BAA" w:rsidP="0016684F">
      <w:pPr>
        <w:spacing w:after="0" w:line="480" w:lineRule="auto"/>
        <w:contextualSpacing/>
        <w:jc w:val="both"/>
        <w:rPr>
          <w:rFonts w:ascii="Times New Roman" w:hAnsi="Times New Roman" w:cs="Times New Roman"/>
          <w:sz w:val="24"/>
          <w:szCs w:val="24"/>
        </w:rPr>
      </w:pPr>
    </w:p>
    <w:p w14:paraId="4708D68B" w14:textId="77777777" w:rsidR="00842BAA" w:rsidRDefault="00842BAA" w:rsidP="0016684F">
      <w:pPr>
        <w:spacing w:after="0" w:line="480" w:lineRule="auto"/>
        <w:contextualSpacing/>
        <w:jc w:val="both"/>
        <w:rPr>
          <w:rFonts w:ascii="Times New Roman" w:hAnsi="Times New Roman" w:cs="Times New Roman"/>
          <w:sz w:val="24"/>
          <w:szCs w:val="24"/>
        </w:rPr>
      </w:pPr>
    </w:p>
    <w:p w14:paraId="1E9244A2" w14:textId="564CDE48" w:rsidR="00384A8F" w:rsidRPr="002B7E89" w:rsidRDefault="00192B6D" w:rsidP="0016684F">
      <w:pPr>
        <w:spacing w:after="0" w:line="480" w:lineRule="auto"/>
        <w:contextualSpacing/>
        <w:jc w:val="both"/>
        <w:rPr>
          <w:rFonts w:ascii="Times New Roman" w:hAnsi="Times New Roman" w:cs="Times New Roman"/>
          <w:b/>
          <w:sz w:val="24"/>
          <w:szCs w:val="24"/>
        </w:rPr>
      </w:pPr>
      <w:r>
        <w:rPr>
          <w:rFonts w:ascii="Times New Roman" w:hAnsi="Times New Roman" w:cs="Times New Roman"/>
          <w:sz w:val="24"/>
          <w:szCs w:val="24"/>
        </w:rPr>
        <w:lastRenderedPageBreak/>
        <w:t>Al analizar la letalidad por</w:t>
      </w:r>
      <w:r w:rsidR="002B7E89" w:rsidRPr="002B7E89">
        <w:rPr>
          <w:rFonts w:ascii="Times New Roman" w:hAnsi="Times New Roman" w:cs="Times New Roman"/>
          <w:sz w:val="24"/>
          <w:szCs w:val="24"/>
        </w:rPr>
        <w:t xml:space="preserve"> grupos de edad, como se muestra en la Figura X. </w:t>
      </w:r>
      <w:r>
        <w:rPr>
          <w:rFonts w:ascii="Times New Roman" w:hAnsi="Times New Roman" w:cs="Times New Roman"/>
          <w:sz w:val="24"/>
          <w:szCs w:val="24"/>
        </w:rPr>
        <w:t xml:space="preserve"> en </w:t>
      </w:r>
      <w:r w:rsidR="002B7E89" w:rsidRPr="002B7E89">
        <w:rPr>
          <w:rFonts w:ascii="Times New Roman" w:hAnsi="Times New Roman" w:cs="Times New Roman"/>
          <w:sz w:val="24"/>
          <w:szCs w:val="24"/>
        </w:rPr>
        <w:t>los grupos de edad mayores de 60 años, se encontró que la concentración en las comunas más desfavorecidas es más fuerte. En cualquier caso, la amplitud de algunos intervalos de confianza no permite realizar afirmaciones libres de un alto grado de incertidumbre.</w:t>
      </w:r>
    </w:p>
    <w:p w14:paraId="6C5FCACC" w14:textId="77777777" w:rsidR="00EE64E1" w:rsidRPr="007905F6" w:rsidRDefault="007905F6" w:rsidP="0016684F">
      <w:pPr>
        <w:spacing w:after="0" w:line="480" w:lineRule="auto"/>
        <w:contextualSpacing/>
        <w:jc w:val="both"/>
        <w:rPr>
          <w:rFonts w:ascii="Times New Roman" w:hAnsi="Times New Roman" w:cs="Times New Roman"/>
          <w:b/>
          <w:sz w:val="24"/>
          <w:szCs w:val="24"/>
        </w:rPr>
      </w:pPr>
      <w:commentRangeStart w:id="9"/>
      <w:r w:rsidRPr="007905F6">
        <w:rPr>
          <w:rFonts w:ascii="Times New Roman" w:hAnsi="Times New Roman" w:cs="Times New Roman"/>
          <w:b/>
          <w:sz w:val="24"/>
          <w:szCs w:val="24"/>
        </w:rPr>
        <w:t>AGREGAR INDEX</w:t>
      </w:r>
      <w:commentRangeEnd w:id="9"/>
      <w:r w:rsidR="00192B6D">
        <w:rPr>
          <w:rStyle w:val="Refdecomentario"/>
        </w:rPr>
        <w:commentReference w:id="9"/>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14:paraId="1D0F0BAA" w14:textId="77777777" w:rsidTr="002C3BF8">
        <w:trPr>
          <w:trHeight w:val="324"/>
        </w:trPr>
        <w:tc>
          <w:tcPr>
            <w:tcW w:w="934" w:type="dxa"/>
            <w:shd w:val="clear" w:color="auto" w:fill="auto"/>
            <w:noWrap/>
            <w:vAlign w:val="bottom"/>
            <w:hideMark/>
          </w:tcPr>
          <w:p w14:paraId="31F3ED0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14:paraId="75D99F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14:paraId="38C6100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14:paraId="2161F1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14:paraId="4577B95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14:paraId="1B26D83E" w14:textId="77777777" w:rsidTr="002C3BF8">
        <w:trPr>
          <w:trHeight w:val="462"/>
        </w:trPr>
        <w:tc>
          <w:tcPr>
            <w:tcW w:w="934" w:type="dxa"/>
            <w:shd w:val="clear" w:color="auto" w:fill="auto"/>
            <w:vAlign w:val="center"/>
            <w:hideMark/>
          </w:tcPr>
          <w:p w14:paraId="653F3B4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14:paraId="45D2917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14:paraId="3A23B802"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14:paraId="0756F1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2D7CA8D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26680C0"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5165F92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501417DF"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DE4A38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76219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497A45AE"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72D004C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154BEC2"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14:paraId="4F0CE3EF" w14:textId="77777777" w:rsidTr="002C3BF8">
        <w:trPr>
          <w:trHeight w:val="324"/>
        </w:trPr>
        <w:tc>
          <w:tcPr>
            <w:tcW w:w="934" w:type="dxa"/>
            <w:shd w:val="clear" w:color="auto" w:fill="auto"/>
            <w:vAlign w:val="center"/>
          </w:tcPr>
          <w:p w14:paraId="3C428C1B" w14:textId="77777777"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14:paraId="6005A98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14:paraId="544538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14:paraId="7E99F56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368D2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17624C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311FBB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296DD3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7552D3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057891D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D809ED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4A5A192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7D84145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05D081C7" w14:textId="77777777" w:rsidTr="002C3BF8">
        <w:trPr>
          <w:trHeight w:val="324"/>
        </w:trPr>
        <w:tc>
          <w:tcPr>
            <w:tcW w:w="934" w:type="dxa"/>
            <w:shd w:val="clear" w:color="auto" w:fill="auto"/>
            <w:vAlign w:val="center"/>
            <w:hideMark/>
          </w:tcPr>
          <w:p w14:paraId="3C9126C2"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14:paraId="2788BF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14:paraId="442C9DE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14:paraId="7EB301B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14:paraId="3455659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14:paraId="4B26BD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14:paraId="28315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14:paraId="08ABBF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14:paraId="3FCBBAC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14:paraId="05C9DC6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14:paraId="2C185E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14:paraId="3DFD08A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14:paraId="2F41AE8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14:paraId="706F0143" w14:textId="77777777" w:rsidTr="002C3BF8">
        <w:trPr>
          <w:trHeight w:val="324"/>
        </w:trPr>
        <w:tc>
          <w:tcPr>
            <w:tcW w:w="934" w:type="dxa"/>
            <w:shd w:val="clear" w:color="auto" w:fill="auto"/>
            <w:noWrap/>
            <w:vAlign w:val="bottom"/>
          </w:tcPr>
          <w:p w14:paraId="2B0F6CE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14:paraId="09D0FFC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14:paraId="31F161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14:paraId="14415C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A92C75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5BF659C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14DE125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672433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888490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6F665B0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44BFBC7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AAE0A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51DB984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6612CA3F" w14:textId="77777777" w:rsidTr="002C3BF8">
        <w:trPr>
          <w:trHeight w:val="324"/>
        </w:trPr>
        <w:tc>
          <w:tcPr>
            <w:tcW w:w="934" w:type="dxa"/>
            <w:shd w:val="clear" w:color="auto" w:fill="auto"/>
            <w:noWrap/>
            <w:vAlign w:val="bottom"/>
            <w:hideMark/>
          </w:tcPr>
          <w:p w14:paraId="6D905D2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14:paraId="565183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14:paraId="1020F94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14:paraId="5C082D0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14:paraId="40B33DC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3755E0E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4A196B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14:paraId="761FEF6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4230254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14:paraId="4C11D23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14:paraId="62B9F9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14:paraId="13A35B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14:paraId="7CEB33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14:paraId="4B48AE6B" w14:textId="77777777" w:rsidTr="002C3BF8">
        <w:trPr>
          <w:trHeight w:val="324"/>
        </w:trPr>
        <w:tc>
          <w:tcPr>
            <w:tcW w:w="934" w:type="dxa"/>
            <w:shd w:val="clear" w:color="auto" w:fill="auto"/>
            <w:noWrap/>
            <w:vAlign w:val="bottom"/>
            <w:hideMark/>
          </w:tcPr>
          <w:p w14:paraId="79E5C03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14:paraId="7E0B8B9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14:paraId="1BF80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14:paraId="15701F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14:paraId="097F98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14:paraId="7EFC732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14:paraId="35DB2D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346DBBD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70CC7C0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FBFE1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2F2B8F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14:paraId="3525ED6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14:paraId="0B11F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14:paraId="7AD33CDA" w14:textId="77777777" w:rsidTr="002C3BF8">
        <w:trPr>
          <w:trHeight w:val="324"/>
        </w:trPr>
        <w:tc>
          <w:tcPr>
            <w:tcW w:w="934" w:type="dxa"/>
            <w:shd w:val="clear" w:color="auto" w:fill="auto"/>
            <w:noWrap/>
            <w:vAlign w:val="bottom"/>
            <w:hideMark/>
          </w:tcPr>
          <w:p w14:paraId="3E582539"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14:paraId="5698DA3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14:paraId="40F765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14:paraId="6DFE39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14:paraId="4CDE33E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037A230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7F9E6B8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7B9100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14:paraId="04C467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14:paraId="7DC767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14:paraId="65DF0F1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14:paraId="39528E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14:paraId="2F2007A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0A952A3B" w14:textId="77777777" w:rsidTr="002C3BF8">
        <w:trPr>
          <w:trHeight w:val="324"/>
        </w:trPr>
        <w:tc>
          <w:tcPr>
            <w:tcW w:w="934" w:type="dxa"/>
            <w:shd w:val="clear" w:color="auto" w:fill="auto"/>
            <w:noWrap/>
            <w:vAlign w:val="bottom"/>
            <w:hideMark/>
          </w:tcPr>
          <w:p w14:paraId="14D2829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14:paraId="6AE7A2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14:paraId="53503BA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14:paraId="480DEEF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14:paraId="5994ECB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14:paraId="41492B4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14:paraId="2F0E08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14:paraId="486DC70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14:paraId="367A314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08C0B4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14:paraId="63DE3D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14:paraId="5FE7A6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14:paraId="54FD0A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14:paraId="2D91B279" w14:textId="77777777" w:rsidTr="002C3BF8">
        <w:trPr>
          <w:trHeight w:val="324"/>
        </w:trPr>
        <w:tc>
          <w:tcPr>
            <w:tcW w:w="934" w:type="dxa"/>
            <w:shd w:val="clear" w:color="auto" w:fill="auto"/>
            <w:noWrap/>
            <w:vAlign w:val="bottom"/>
            <w:hideMark/>
          </w:tcPr>
          <w:p w14:paraId="1781CA4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14:paraId="693A3CD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14:paraId="7A3CFA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10684D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14:paraId="0C60E61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14:paraId="7C677ED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297A7F7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14:paraId="5B798F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618287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14:paraId="678C729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14:paraId="121566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5A0BD23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14:paraId="128C5B2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21C41E9D" w14:textId="77777777" w:rsidTr="002C3BF8">
        <w:trPr>
          <w:trHeight w:val="324"/>
        </w:trPr>
        <w:tc>
          <w:tcPr>
            <w:tcW w:w="934" w:type="dxa"/>
            <w:shd w:val="clear" w:color="auto" w:fill="auto"/>
            <w:noWrap/>
            <w:vAlign w:val="bottom"/>
            <w:hideMark/>
          </w:tcPr>
          <w:p w14:paraId="4978947D"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14:paraId="31E552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45A0C94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445779B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AE6680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2430E3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14:paraId="0293959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14:paraId="72DD91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14:paraId="392E38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14:paraId="3D334EA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14:paraId="745DEE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14:paraId="529D4C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14:paraId="779B742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14:paraId="0544B017" w14:textId="77777777" w:rsidTr="002C3BF8">
        <w:trPr>
          <w:trHeight w:val="324"/>
        </w:trPr>
        <w:tc>
          <w:tcPr>
            <w:tcW w:w="934" w:type="dxa"/>
            <w:shd w:val="clear" w:color="auto" w:fill="auto"/>
            <w:noWrap/>
            <w:vAlign w:val="bottom"/>
            <w:hideMark/>
          </w:tcPr>
          <w:p w14:paraId="7BD73F1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14:paraId="0B9BDE8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14:paraId="75B38E4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0465C8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14:paraId="4FCEA12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4508444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14:paraId="692F66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5A7F03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14:paraId="55C92B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2191B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14:paraId="6F3D1FF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14:paraId="17009B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14:paraId="0D5B5E7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14:paraId="4DE3BDC3" w14:textId="77777777" w:rsidTr="002C3BF8">
        <w:trPr>
          <w:trHeight w:val="324"/>
        </w:trPr>
        <w:tc>
          <w:tcPr>
            <w:tcW w:w="934" w:type="dxa"/>
            <w:shd w:val="clear" w:color="auto" w:fill="auto"/>
            <w:noWrap/>
            <w:vAlign w:val="bottom"/>
            <w:hideMark/>
          </w:tcPr>
          <w:p w14:paraId="37240B3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w:t>
            </w:r>
          </w:p>
        </w:tc>
        <w:tc>
          <w:tcPr>
            <w:tcW w:w="894" w:type="dxa"/>
            <w:shd w:val="clear" w:color="auto" w:fill="auto"/>
            <w:noWrap/>
            <w:vAlign w:val="bottom"/>
            <w:hideMark/>
          </w:tcPr>
          <w:p w14:paraId="7CCE306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14:paraId="0D2435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14:paraId="412A94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14:paraId="197E3E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14:paraId="1B1FE4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14:paraId="3188F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14:paraId="6E119F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14:paraId="351402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5BC3CA7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14:paraId="013B7B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14:paraId="62109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14:paraId="31BD7FF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14:paraId="7F381D84" w14:textId="77777777" w:rsidTr="002C3BF8">
        <w:trPr>
          <w:trHeight w:val="324"/>
        </w:trPr>
        <w:tc>
          <w:tcPr>
            <w:tcW w:w="934" w:type="dxa"/>
            <w:shd w:val="clear" w:color="auto" w:fill="auto"/>
            <w:noWrap/>
            <w:vAlign w:val="bottom"/>
            <w:hideMark/>
          </w:tcPr>
          <w:p w14:paraId="34F3CC2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14:paraId="07EC37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0C175E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778EC2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3ACC9EE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14:paraId="56F9FC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14:paraId="4F5BBE1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14:paraId="0D9849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14:paraId="264E68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14:paraId="290ED89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14:paraId="39982F7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14:paraId="1E619F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222EF9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14:paraId="60A27604" w14:textId="77777777" w:rsidTr="002C3BF8">
        <w:trPr>
          <w:trHeight w:val="324"/>
        </w:trPr>
        <w:tc>
          <w:tcPr>
            <w:tcW w:w="934" w:type="dxa"/>
            <w:shd w:val="clear" w:color="auto" w:fill="auto"/>
            <w:noWrap/>
            <w:vAlign w:val="bottom"/>
            <w:hideMark/>
          </w:tcPr>
          <w:p w14:paraId="26D15847"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14:paraId="483451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14:paraId="1A16D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14:paraId="7981A86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7E273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14:paraId="4121F9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14:paraId="4F7C49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14:paraId="6E24B9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11EF99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14:paraId="2FD1B23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14:paraId="1AAFE40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14:paraId="68CB52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14:paraId="5B18C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14:paraId="57B57A9C" w14:textId="77777777" w:rsidTr="002C3BF8">
        <w:trPr>
          <w:trHeight w:val="324"/>
        </w:trPr>
        <w:tc>
          <w:tcPr>
            <w:tcW w:w="934" w:type="dxa"/>
            <w:shd w:val="clear" w:color="auto" w:fill="auto"/>
            <w:noWrap/>
            <w:vAlign w:val="bottom"/>
            <w:hideMark/>
          </w:tcPr>
          <w:p w14:paraId="5396554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14:paraId="4951D51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6367AB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1B3D0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0EEE70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14:paraId="6C5E25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2D0B0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14:paraId="4B19CA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14:paraId="377F7FB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3152972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14:paraId="487D4B3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09BB88F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14:paraId="7A81917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6FC03E2B" w14:textId="77777777" w:rsidTr="002C3BF8">
        <w:trPr>
          <w:trHeight w:val="324"/>
        </w:trPr>
        <w:tc>
          <w:tcPr>
            <w:tcW w:w="934" w:type="dxa"/>
            <w:shd w:val="clear" w:color="auto" w:fill="auto"/>
            <w:noWrap/>
            <w:vAlign w:val="bottom"/>
            <w:hideMark/>
          </w:tcPr>
          <w:p w14:paraId="682D958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14:paraId="37CD3FB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5813399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7495EA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3651AEE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14:paraId="76B09B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14:paraId="703C23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14:paraId="4E2899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14:paraId="06A772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60E31C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14:paraId="03D14B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14:paraId="0F4A88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396195E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14:paraId="148BE7BD" w14:textId="77777777" w:rsidTr="002C3BF8">
        <w:trPr>
          <w:trHeight w:val="324"/>
        </w:trPr>
        <w:tc>
          <w:tcPr>
            <w:tcW w:w="934" w:type="dxa"/>
            <w:shd w:val="clear" w:color="auto" w:fill="auto"/>
            <w:noWrap/>
            <w:vAlign w:val="bottom"/>
            <w:hideMark/>
          </w:tcPr>
          <w:p w14:paraId="3D1DD88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14:paraId="3D07A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14:paraId="68C9E2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23F45FD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14:paraId="710E2EE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482AEFD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14:paraId="323F2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14:paraId="3CDEE4E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14:paraId="4DFF877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14:paraId="5EFBF5F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14:paraId="03188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14:paraId="5F3F732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14:paraId="20310B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14:paraId="5D90AA22" w14:textId="77777777" w:rsidTr="002C3BF8">
        <w:trPr>
          <w:trHeight w:val="324"/>
        </w:trPr>
        <w:tc>
          <w:tcPr>
            <w:tcW w:w="934" w:type="dxa"/>
            <w:shd w:val="clear" w:color="auto" w:fill="auto"/>
            <w:noWrap/>
            <w:vAlign w:val="bottom"/>
            <w:hideMark/>
          </w:tcPr>
          <w:p w14:paraId="5645F1CF"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14:paraId="545A7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14:paraId="2E5C71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2B761B1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CFAD39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6D94409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14:paraId="6B7DC6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5326B6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14:paraId="0F355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14:paraId="0B82A50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14:paraId="2E011D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14:paraId="7BDD9CB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14:paraId="7FD305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7A6A11E8" w14:textId="77777777" w:rsidTr="002C3BF8">
        <w:trPr>
          <w:trHeight w:val="324"/>
        </w:trPr>
        <w:tc>
          <w:tcPr>
            <w:tcW w:w="934" w:type="dxa"/>
            <w:shd w:val="clear" w:color="auto" w:fill="auto"/>
            <w:noWrap/>
            <w:vAlign w:val="bottom"/>
            <w:hideMark/>
          </w:tcPr>
          <w:p w14:paraId="11DBBF48"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14:paraId="3645FA5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35A16C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0CBF669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25CEA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14:paraId="0382708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14:paraId="3E2387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74210D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32FE495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04F9F0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69950A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14:paraId="15C8DE4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14:paraId="560434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14:paraId="523DDA08" w14:textId="77777777" w:rsidR="00EE64E1" w:rsidRDefault="00EE64E1" w:rsidP="0016684F">
      <w:pPr>
        <w:spacing w:after="0" w:line="480" w:lineRule="auto"/>
        <w:contextualSpacing/>
        <w:jc w:val="both"/>
        <w:rPr>
          <w:rFonts w:ascii="Times New Roman" w:hAnsi="Times New Roman" w:cs="Times New Roman"/>
          <w:sz w:val="24"/>
          <w:szCs w:val="24"/>
        </w:rPr>
      </w:pPr>
    </w:p>
    <w:p w14:paraId="70C27C9E" w14:textId="6FF472AA" w:rsidR="00623FAD" w:rsidRDefault="00CF6871" w:rsidP="0016684F">
      <w:pPr>
        <w:spacing w:after="0" w:line="480" w:lineRule="auto"/>
        <w:contextualSpacing/>
        <w:jc w:val="both"/>
        <w:rPr>
          <w:rFonts w:ascii="Times New Roman" w:hAnsi="Times New Roman" w:cs="Times New Roman"/>
          <w:sz w:val="24"/>
          <w:szCs w:val="24"/>
        </w:rPr>
      </w:pPr>
      <w:r w:rsidRPr="00CF6871">
        <w:rPr>
          <w:rFonts w:ascii="Times New Roman" w:hAnsi="Times New Roman" w:cs="Times New Roman"/>
          <w:sz w:val="24"/>
          <w:szCs w:val="24"/>
        </w:rPr>
        <w:t xml:space="preserve">Se observó heterogeneidad en la distribución de la mortalidad dentro de CABA. Las </w:t>
      </w:r>
      <w:r>
        <w:rPr>
          <w:rFonts w:ascii="Times New Roman" w:hAnsi="Times New Roman" w:cs="Times New Roman"/>
          <w:sz w:val="24"/>
          <w:szCs w:val="24"/>
        </w:rPr>
        <w:t>RME</w:t>
      </w:r>
      <w:r w:rsidRPr="00CF6871">
        <w:rPr>
          <w:rFonts w:ascii="Times New Roman" w:hAnsi="Times New Roman" w:cs="Times New Roman"/>
          <w:sz w:val="24"/>
          <w:szCs w:val="24"/>
        </w:rPr>
        <w:t xml:space="preserve"> variaron de </w:t>
      </w:r>
      <w:r w:rsidRPr="00CF6871">
        <w:rPr>
          <w:rFonts w:ascii="Times New Roman" w:hAnsi="Times New Roman" w:cs="Times New Roman"/>
          <w:sz w:val="24"/>
          <w:szCs w:val="24"/>
          <w:highlight w:val="yellow"/>
        </w:rPr>
        <w:t>66,5 (IC95% 55,6 - 77,6) a 158,3 (IC95% 141,9 - 176,0).</w:t>
      </w:r>
      <w:r w:rsidRPr="00CF6871">
        <w:rPr>
          <w:rFonts w:ascii="Times New Roman" w:hAnsi="Times New Roman" w:cs="Times New Roman"/>
          <w:sz w:val="24"/>
          <w:szCs w:val="24"/>
        </w:rPr>
        <w:t xml:space="preserve"> El </w:t>
      </w:r>
      <w:r>
        <w:rPr>
          <w:rFonts w:ascii="Times New Roman" w:hAnsi="Times New Roman" w:cs="Times New Roman"/>
          <w:sz w:val="24"/>
          <w:szCs w:val="24"/>
        </w:rPr>
        <w:t>distrito</w:t>
      </w:r>
      <w:r w:rsidRPr="00CF6871">
        <w:rPr>
          <w:rFonts w:ascii="Times New Roman" w:hAnsi="Times New Roman" w:cs="Times New Roman"/>
          <w:sz w:val="24"/>
          <w:szCs w:val="24"/>
        </w:rPr>
        <w:t xml:space="preserve"> con peor situación de mortalidad fue el número 4 de la zona sur, </w:t>
      </w:r>
      <w:r>
        <w:rPr>
          <w:rFonts w:ascii="Times New Roman" w:hAnsi="Times New Roman" w:cs="Times New Roman"/>
          <w:sz w:val="24"/>
          <w:szCs w:val="24"/>
        </w:rPr>
        <w:t>que coincidentemente fue el</w:t>
      </w:r>
      <w:r w:rsidRPr="00CF6871">
        <w:rPr>
          <w:rFonts w:ascii="Times New Roman" w:hAnsi="Times New Roman" w:cs="Times New Roman"/>
          <w:sz w:val="24"/>
          <w:szCs w:val="24"/>
        </w:rPr>
        <w:t xml:space="preserve"> de peor situación en relación al ingreso familiar medio. En el otro extremo, el distrito </w:t>
      </w:r>
      <w:r>
        <w:rPr>
          <w:rFonts w:ascii="Times New Roman" w:hAnsi="Times New Roman" w:cs="Times New Roman"/>
          <w:sz w:val="24"/>
          <w:szCs w:val="24"/>
        </w:rPr>
        <w:t>13</w:t>
      </w:r>
      <w:r w:rsidRPr="00CF6871">
        <w:rPr>
          <w:rFonts w:ascii="Times New Roman" w:hAnsi="Times New Roman" w:cs="Times New Roman"/>
          <w:sz w:val="24"/>
          <w:szCs w:val="24"/>
        </w:rPr>
        <w:t xml:space="preserve">, en la zona </w:t>
      </w:r>
      <w:r>
        <w:rPr>
          <w:rFonts w:ascii="Times New Roman" w:hAnsi="Times New Roman" w:cs="Times New Roman"/>
          <w:sz w:val="24"/>
          <w:szCs w:val="24"/>
        </w:rPr>
        <w:t>Norte</w:t>
      </w:r>
      <w:r w:rsidRPr="00CF6871">
        <w:rPr>
          <w:rFonts w:ascii="Times New Roman" w:hAnsi="Times New Roman" w:cs="Times New Roman"/>
          <w:sz w:val="24"/>
          <w:szCs w:val="24"/>
        </w:rPr>
        <w:t xml:space="preserve">, fue el </w:t>
      </w:r>
      <w:r>
        <w:rPr>
          <w:rFonts w:ascii="Times New Roman" w:hAnsi="Times New Roman" w:cs="Times New Roman"/>
          <w:sz w:val="24"/>
          <w:szCs w:val="24"/>
        </w:rPr>
        <w:t>segundo con mayores</w:t>
      </w:r>
      <w:r w:rsidRPr="00CF6871">
        <w:rPr>
          <w:rFonts w:ascii="Times New Roman" w:hAnsi="Times New Roman" w:cs="Times New Roman"/>
          <w:sz w:val="24"/>
          <w:szCs w:val="24"/>
        </w:rPr>
        <w:t xml:space="preserve"> ingresos promedio</w:t>
      </w:r>
      <w:r w:rsidR="00623FAD">
        <w:rPr>
          <w:rFonts w:ascii="Times New Roman" w:hAnsi="Times New Roman" w:cs="Times New Roman"/>
          <w:sz w:val="24"/>
          <w:szCs w:val="24"/>
        </w:rPr>
        <w:t xml:space="preserve"> y el que presentó la menor RME</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3 de 4 distritos</w:t>
      </w:r>
      <w:r w:rsidRPr="00CF6871">
        <w:rPr>
          <w:rFonts w:ascii="Times New Roman" w:hAnsi="Times New Roman" w:cs="Times New Roman"/>
          <w:sz w:val="24"/>
          <w:szCs w:val="24"/>
        </w:rPr>
        <w:t xml:space="preserve"> de la zona sur </w:t>
      </w:r>
      <w:r w:rsidRPr="00CF6871">
        <w:rPr>
          <w:rFonts w:ascii="Times New Roman" w:hAnsi="Times New Roman" w:cs="Times New Roman"/>
          <w:sz w:val="24"/>
          <w:szCs w:val="24"/>
        </w:rPr>
        <w:lastRenderedPageBreak/>
        <w:t xml:space="preserve">presentaron </w:t>
      </w:r>
      <w:r w:rsidR="00623FAD">
        <w:rPr>
          <w:rFonts w:ascii="Times New Roman" w:hAnsi="Times New Roman" w:cs="Times New Roman"/>
          <w:sz w:val="24"/>
          <w:szCs w:val="24"/>
        </w:rPr>
        <w:t>RME</w:t>
      </w:r>
      <w:r w:rsidRPr="00CF6871">
        <w:rPr>
          <w:rFonts w:ascii="Times New Roman" w:hAnsi="Times New Roman" w:cs="Times New Roman"/>
          <w:sz w:val="24"/>
          <w:szCs w:val="24"/>
        </w:rPr>
        <w:t xml:space="preserve"> superiores a 100, lo que significa que su situación era peor que la referencia para la jurisdicción. Lo contrario ocurrió con todas las de la zona norte, ubicadas sobre la misma referencia. Medido por el SII, la exploración de la relación entre el ingreso familiar promedio y la mortalidad</w:t>
      </w:r>
      <w:r w:rsidR="00623FAD">
        <w:rPr>
          <w:rFonts w:ascii="Times New Roman" w:hAnsi="Times New Roman" w:cs="Times New Roman"/>
          <w:sz w:val="24"/>
          <w:szCs w:val="24"/>
        </w:rPr>
        <w:t xml:space="preserve"> (RME)</w:t>
      </w:r>
      <w:r w:rsidRPr="00CF6871">
        <w:rPr>
          <w:rFonts w:ascii="Times New Roman" w:hAnsi="Times New Roman" w:cs="Times New Roman"/>
          <w:sz w:val="24"/>
          <w:szCs w:val="24"/>
        </w:rPr>
        <w:t xml:space="preserve">, a nivel de </w:t>
      </w:r>
      <w:r w:rsidR="00623FAD">
        <w:rPr>
          <w:rFonts w:ascii="Times New Roman" w:hAnsi="Times New Roman" w:cs="Times New Roman"/>
          <w:sz w:val="24"/>
          <w:szCs w:val="24"/>
        </w:rPr>
        <w:t>distrito</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presentó</w:t>
      </w:r>
      <w:r w:rsidRPr="00CF6871">
        <w:rPr>
          <w:rFonts w:ascii="Times New Roman" w:hAnsi="Times New Roman" w:cs="Times New Roman"/>
          <w:sz w:val="24"/>
          <w:szCs w:val="24"/>
        </w:rPr>
        <w:t xml:space="preserve"> una correlación</w:t>
      </w:r>
      <w:r w:rsidR="00623FAD">
        <w:rPr>
          <w:rFonts w:ascii="Times New Roman" w:hAnsi="Times New Roman" w:cs="Times New Roman"/>
          <w:sz w:val="24"/>
          <w:szCs w:val="24"/>
        </w:rPr>
        <w:t xml:space="preserve"> fu</w:t>
      </w:r>
      <w:bookmarkStart w:id="10" w:name="_GoBack"/>
      <w:r w:rsidR="00623FAD">
        <w:rPr>
          <w:rFonts w:ascii="Times New Roman" w:hAnsi="Times New Roman" w:cs="Times New Roman"/>
          <w:sz w:val="24"/>
          <w:szCs w:val="24"/>
        </w:rPr>
        <w:t>erte (coeficiente por encima de 0.7)</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 xml:space="preserve">y negativa </w:t>
      </w:r>
      <w:r w:rsidRPr="00CF6871">
        <w:rPr>
          <w:rFonts w:ascii="Times New Roman" w:hAnsi="Times New Roman" w:cs="Times New Roman"/>
          <w:sz w:val="24"/>
          <w:szCs w:val="24"/>
        </w:rPr>
        <w:t>(Figura X)</w:t>
      </w:r>
      <w:r w:rsidR="00623FAD">
        <w:rPr>
          <w:rFonts w:ascii="Times New Roman" w:hAnsi="Times New Roman" w:cs="Times New Roman"/>
          <w:sz w:val="24"/>
          <w:szCs w:val="24"/>
        </w:rPr>
        <w:t xml:space="preserve">. Se presenta </w:t>
      </w:r>
      <w:bookmarkEnd w:id="10"/>
      <w:r w:rsidR="00623FAD">
        <w:rPr>
          <w:rFonts w:ascii="Times New Roman" w:hAnsi="Times New Roman" w:cs="Times New Roman"/>
          <w:sz w:val="24"/>
          <w:szCs w:val="24"/>
        </w:rPr>
        <w:t xml:space="preserve">en la figura </w:t>
      </w:r>
      <w:r w:rsidR="00623FAD" w:rsidRPr="00623FAD">
        <w:rPr>
          <w:rFonts w:ascii="Times New Roman" w:hAnsi="Times New Roman" w:cs="Times New Roman"/>
          <w:sz w:val="24"/>
          <w:szCs w:val="24"/>
          <w:highlight w:val="yellow"/>
        </w:rPr>
        <w:t>x</w:t>
      </w:r>
      <w:r w:rsidR="00623FAD">
        <w:rPr>
          <w:rFonts w:ascii="Times New Roman" w:hAnsi="Times New Roman" w:cs="Times New Roman"/>
          <w:sz w:val="24"/>
          <w:szCs w:val="24"/>
        </w:rPr>
        <w:t xml:space="preserve"> el coeficiente de correlación se Pearson, su p-valor, y la recta de ajuste de la regresión lineal entre ambas variables.</w:t>
      </w:r>
    </w:p>
    <w:p w14:paraId="0FDFD6A0" w14:textId="372E970C" w:rsidR="003212B6" w:rsidRDefault="003212B6" w:rsidP="0016684F">
      <w:pPr>
        <w:spacing w:after="0" w:line="480" w:lineRule="auto"/>
        <w:contextualSpacing/>
        <w:jc w:val="both"/>
        <w:rPr>
          <w:rFonts w:ascii="Times New Roman" w:hAnsi="Times New Roman" w:cs="Times New Roman"/>
          <w:sz w:val="24"/>
          <w:szCs w:val="24"/>
        </w:rPr>
      </w:pPr>
      <w:commentRangeStart w:id="11"/>
      <w:r>
        <w:rPr>
          <w:noProof/>
          <w:lang w:eastAsia="es-AR"/>
        </w:rPr>
        <w:drawing>
          <wp:inline distT="0" distB="0" distL="0" distR="0" wp14:anchorId="11656CF9" wp14:editId="594BDE5F">
            <wp:extent cx="5971540" cy="19907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1990725"/>
                    </a:xfrm>
                    <a:prstGeom prst="rect">
                      <a:avLst/>
                    </a:prstGeom>
                  </pic:spPr>
                </pic:pic>
              </a:graphicData>
            </a:graphic>
          </wp:inline>
        </w:drawing>
      </w:r>
      <w:commentRangeEnd w:id="11"/>
      <w:r>
        <w:rPr>
          <w:rStyle w:val="Refdecomentario"/>
        </w:rPr>
        <w:commentReference w:id="11"/>
      </w:r>
    </w:p>
    <w:p w14:paraId="002E327F" w14:textId="40F0CBAD" w:rsidR="002B7E89" w:rsidRPr="00CF6871" w:rsidRDefault="002B7E89" w:rsidP="0016684F">
      <w:pPr>
        <w:spacing w:after="0" w:line="480" w:lineRule="auto"/>
        <w:contextualSpacing/>
        <w:jc w:val="both"/>
        <w:rPr>
          <w:rFonts w:ascii="Times New Roman" w:hAnsi="Times New Roman" w:cs="Times New Roman"/>
          <w:sz w:val="24"/>
          <w:szCs w:val="24"/>
        </w:rPr>
      </w:pPr>
      <w:r>
        <w:rPr>
          <w:noProof/>
          <w:lang w:eastAsia="es-AR"/>
        </w:rPr>
        <w:drawing>
          <wp:inline distT="0" distB="0" distL="0" distR="0" wp14:anchorId="3494073B" wp14:editId="2A921B10">
            <wp:extent cx="5971540" cy="34848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484880"/>
                    </a:xfrm>
                    <a:prstGeom prst="rect">
                      <a:avLst/>
                    </a:prstGeom>
                  </pic:spPr>
                </pic:pic>
              </a:graphicData>
            </a:graphic>
          </wp:inline>
        </w:drawing>
      </w:r>
    </w:p>
    <w:p w14:paraId="037E9757" w14:textId="56C5A0DC" w:rsidR="002476B5" w:rsidRDefault="002476B5" w:rsidP="0016684F">
      <w:pPr>
        <w:spacing w:after="0" w:line="480" w:lineRule="auto"/>
        <w:contextualSpacing/>
        <w:jc w:val="both"/>
        <w:rPr>
          <w:rFonts w:ascii="Times New Roman" w:hAnsi="Times New Roman" w:cs="Times New Roman"/>
          <w:sz w:val="24"/>
          <w:szCs w:val="24"/>
        </w:rPr>
      </w:pPr>
    </w:p>
    <w:p w14:paraId="2A80A6D8" w14:textId="39D5B676" w:rsidR="00384A8F" w:rsidRDefault="00384A8F" w:rsidP="00384A8F">
      <w:pPr>
        <w:spacing w:after="0" w:line="480" w:lineRule="auto"/>
        <w:contextualSpacing/>
        <w:jc w:val="both"/>
        <w:rPr>
          <w:rFonts w:ascii="Times New Roman" w:hAnsi="Times New Roman" w:cs="Times New Roman"/>
          <w:sz w:val="24"/>
          <w:szCs w:val="24"/>
        </w:rPr>
      </w:pPr>
    </w:p>
    <w:p w14:paraId="61EDF2D2" w14:textId="69309216" w:rsidR="00384A8F" w:rsidRPr="00A306DB" w:rsidRDefault="00A306DB" w:rsidP="003A09B7">
      <w:pPr>
        <w:spacing w:after="0" w:line="480" w:lineRule="auto"/>
        <w:contextualSpacing/>
        <w:jc w:val="both"/>
        <w:rPr>
          <w:rFonts w:ascii="Times New Roman" w:hAnsi="Times New Roman" w:cs="Times New Roman"/>
          <w:b/>
          <w:sz w:val="24"/>
          <w:szCs w:val="24"/>
        </w:rPr>
      </w:pPr>
      <w:r w:rsidRPr="00A306DB">
        <w:rPr>
          <w:rFonts w:ascii="Times New Roman" w:hAnsi="Times New Roman" w:cs="Times New Roman"/>
          <w:sz w:val="24"/>
          <w:szCs w:val="24"/>
        </w:rPr>
        <w:t xml:space="preserve">Con base en los datos de defunciones esperadas según las tasas específicas de mortalidad de la CABA, se aproximó la edad mediana de las defunciones esperadas en cada sala, agrupando las defunciones esperadas en grupos etarios de cinco años e identificando la que acumuló el 50% de la fallecidos. </w:t>
      </w:r>
      <w:commentRangeStart w:id="12"/>
      <w:r w:rsidRPr="00A306DB">
        <w:rPr>
          <w:rFonts w:ascii="Times New Roman" w:hAnsi="Times New Roman" w:cs="Times New Roman"/>
          <w:sz w:val="24"/>
          <w:szCs w:val="24"/>
        </w:rPr>
        <w:t xml:space="preserve">Los </w:t>
      </w:r>
      <w:r w:rsidR="0009618E">
        <w:rPr>
          <w:rFonts w:ascii="Times New Roman" w:hAnsi="Times New Roman" w:cs="Times New Roman"/>
          <w:sz w:val="24"/>
          <w:szCs w:val="24"/>
        </w:rPr>
        <w:t>distritos</w:t>
      </w:r>
      <w:r w:rsidRPr="00A306DB">
        <w:rPr>
          <w:rFonts w:ascii="Times New Roman" w:hAnsi="Times New Roman" w:cs="Times New Roman"/>
          <w:sz w:val="24"/>
          <w:szCs w:val="24"/>
        </w:rPr>
        <w:t xml:space="preserve"> 4 y 8, ambos de la zona sur, fueron los únicos que observaron una mediana de edad menor a la esperada ya que acumularon el 50% de las defunciones en los grupos de edad 70-74 y 65-69 respectivamente,</w:t>
      </w:r>
      <w:commentRangeEnd w:id="12"/>
      <w:r>
        <w:rPr>
          <w:rStyle w:val="Refdecomentario"/>
        </w:rPr>
        <w:commentReference w:id="12"/>
      </w:r>
      <w:r w:rsidRPr="00A306DB">
        <w:rPr>
          <w:rFonts w:ascii="Times New Roman" w:hAnsi="Times New Roman" w:cs="Times New Roman"/>
          <w:sz w:val="24"/>
          <w:szCs w:val="24"/>
        </w:rPr>
        <w:t xml:space="preserve"> </w:t>
      </w:r>
      <w:commentRangeStart w:id="13"/>
      <w:r w:rsidRPr="00A306DB">
        <w:rPr>
          <w:rFonts w:ascii="Times New Roman" w:hAnsi="Times New Roman" w:cs="Times New Roman"/>
          <w:sz w:val="24"/>
          <w:szCs w:val="24"/>
        </w:rPr>
        <w:t>mientras que esta acumulación se esperaba en el grupo de edad 75-59. Para otros distritos, el valor mediano estuvo en el mismo grupo de edad para las muertes observadas y esperadas, excepto para los distritos 10 (zona sur), 12 (zona central), 14 (zona norte) y 15 (</w:t>
      </w:r>
      <w:r>
        <w:rPr>
          <w:rFonts w:ascii="Times New Roman" w:hAnsi="Times New Roman" w:cs="Times New Roman"/>
          <w:sz w:val="24"/>
          <w:szCs w:val="24"/>
        </w:rPr>
        <w:t>zona central), que observaron la</w:t>
      </w:r>
      <w:r w:rsidRPr="00A306DB">
        <w:rPr>
          <w:rFonts w:ascii="Times New Roman" w:hAnsi="Times New Roman" w:cs="Times New Roman"/>
          <w:sz w:val="24"/>
          <w:szCs w:val="24"/>
        </w:rPr>
        <w:t xml:space="preserve"> mediana de edad en el grupo de 80 años y más, cuando este valor se esperaba entre 75 y 79 años.</w:t>
      </w:r>
      <w:commentRangeEnd w:id="13"/>
      <w:r>
        <w:rPr>
          <w:rStyle w:val="Refdecomentario"/>
        </w:rPr>
        <w:commentReference w:id="13"/>
      </w:r>
    </w:p>
    <w:p w14:paraId="40276C02" w14:textId="2C0F6182" w:rsidR="00E8197C" w:rsidRPr="00E8197C" w:rsidRDefault="004C307B" w:rsidP="003A09B7">
      <w:pPr>
        <w:spacing w:after="0" w:line="480" w:lineRule="auto"/>
        <w:contextualSpacing/>
        <w:jc w:val="both"/>
        <w:rPr>
          <w:rFonts w:ascii="Times New Roman" w:hAnsi="Times New Roman" w:cs="Times New Roman"/>
          <w:b/>
          <w:sz w:val="24"/>
          <w:szCs w:val="24"/>
        </w:rPr>
      </w:pPr>
      <w:r w:rsidRPr="004A33B9">
        <w:rPr>
          <w:rFonts w:ascii="Times New Roman" w:hAnsi="Times New Roman" w:cs="Times New Roman"/>
          <w:b/>
          <w:sz w:val="24"/>
          <w:szCs w:val="24"/>
        </w:rPr>
        <w:t>DISCUSSION</w:t>
      </w:r>
    </w:p>
    <w:p w14:paraId="65F3CB0A" w14:textId="6A59AE15" w:rsidR="00E8197C" w:rsidRPr="00E8197C" w:rsidRDefault="00E8197C" w:rsidP="006D6DC4">
      <w:pPr>
        <w:spacing w:after="0" w:line="480" w:lineRule="auto"/>
        <w:contextualSpacing/>
        <w:jc w:val="both"/>
        <w:rPr>
          <w:rFonts w:ascii="Times New Roman" w:hAnsi="Times New Roman" w:cs="Times New Roman"/>
          <w:sz w:val="24"/>
          <w:szCs w:val="24"/>
        </w:rPr>
      </w:pPr>
      <w:r w:rsidRPr="00E8197C">
        <w:rPr>
          <w:rFonts w:ascii="Times New Roman" w:hAnsi="Times New Roman" w:cs="Times New Roman"/>
          <w:sz w:val="24"/>
          <w:szCs w:val="24"/>
        </w:rPr>
        <w:t>Los hallazgos del presente estudio resaltan la situación de</w:t>
      </w:r>
      <w:r>
        <w:rPr>
          <w:rFonts w:ascii="Times New Roman" w:hAnsi="Times New Roman" w:cs="Times New Roman"/>
          <w:sz w:val="24"/>
          <w:szCs w:val="24"/>
        </w:rPr>
        <w:t>sfavorecida</w:t>
      </w:r>
      <w:r w:rsidRPr="00E8197C">
        <w:rPr>
          <w:rFonts w:ascii="Times New Roman" w:hAnsi="Times New Roman" w:cs="Times New Roman"/>
          <w:sz w:val="24"/>
          <w:szCs w:val="24"/>
        </w:rPr>
        <w:t xml:space="preserve"> de los barrios de la denominada "zona sur" de </w:t>
      </w:r>
      <w:r>
        <w:rPr>
          <w:rFonts w:ascii="Times New Roman" w:hAnsi="Times New Roman" w:cs="Times New Roman"/>
          <w:sz w:val="24"/>
          <w:szCs w:val="24"/>
        </w:rPr>
        <w:t xml:space="preserve">la </w:t>
      </w:r>
      <w:r w:rsidRPr="00E8197C">
        <w:rPr>
          <w:rFonts w:ascii="Times New Roman" w:hAnsi="Times New Roman" w:cs="Times New Roman"/>
          <w:sz w:val="24"/>
          <w:szCs w:val="24"/>
        </w:rPr>
        <w:t>CABA. Se p</w:t>
      </w:r>
      <w:r>
        <w:rPr>
          <w:rFonts w:ascii="Times New Roman" w:hAnsi="Times New Roman" w:cs="Times New Roman"/>
          <w:sz w:val="24"/>
          <w:szCs w:val="24"/>
        </w:rPr>
        <w:t>uede</w:t>
      </w:r>
      <w:r w:rsidRPr="00E8197C">
        <w:rPr>
          <w:rFonts w:ascii="Times New Roman" w:hAnsi="Times New Roman" w:cs="Times New Roman"/>
          <w:sz w:val="24"/>
          <w:szCs w:val="24"/>
        </w:rPr>
        <w:t xml:space="preserve"> describir cómo la incidencia acumulada de COVID-19 </w:t>
      </w:r>
      <w:r>
        <w:rPr>
          <w:rFonts w:ascii="Times New Roman" w:hAnsi="Times New Roman" w:cs="Times New Roman"/>
          <w:sz w:val="24"/>
          <w:szCs w:val="24"/>
        </w:rPr>
        <w:t>en los primeros nueve meses</w:t>
      </w:r>
      <w:r w:rsidRPr="00E8197C">
        <w:rPr>
          <w:rFonts w:ascii="Times New Roman" w:hAnsi="Times New Roman" w:cs="Times New Roman"/>
          <w:sz w:val="24"/>
          <w:szCs w:val="24"/>
        </w:rPr>
        <w:t xml:space="preserve"> de desarrollo de la epidemia es mayor en las comunas que conforman esa zona. La desigualdad aumenta entre los adultos jóvenes, alcanzando gran magnitud ya que las tasas específicas de estos grupos se duplican en la comuna más desfavorecida frente a la de mejores ingresos de la ciudad.</w:t>
      </w:r>
    </w:p>
    <w:p w14:paraId="1E109CD7" w14:textId="104AE745" w:rsidR="00E8197C" w:rsidRDefault="00E8197C" w:rsidP="006D6DC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Además,</w:t>
      </w:r>
      <w:r w:rsidRPr="00E8197C">
        <w:rPr>
          <w:rFonts w:ascii="Times New Roman" w:hAnsi="Times New Roman" w:cs="Times New Roman"/>
          <w:sz w:val="24"/>
          <w:szCs w:val="24"/>
        </w:rPr>
        <w:t xml:space="preserve"> se observaron niveles de positividad superiores a los de la jurisdicción en todas las comunas de la zona sur, aunque este fenómeno también pudo detectarse en </w:t>
      </w:r>
      <w:r>
        <w:rPr>
          <w:rFonts w:ascii="Times New Roman" w:hAnsi="Times New Roman" w:cs="Times New Roman"/>
          <w:sz w:val="24"/>
          <w:szCs w:val="24"/>
        </w:rPr>
        <w:t xml:space="preserve">algunas </w:t>
      </w:r>
      <w:r w:rsidRPr="00E8197C">
        <w:rPr>
          <w:rFonts w:ascii="Times New Roman" w:hAnsi="Times New Roman" w:cs="Times New Roman"/>
          <w:sz w:val="24"/>
          <w:szCs w:val="24"/>
        </w:rPr>
        <w:t xml:space="preserve">comunas de la zona central. En relación a la </w:t>
      </w:r>
      <w:r>
        <w:rPr>
          <w:rFonts w:ascii="Times New Roman" w:hAnsi="Times New Roman" w:cs="Times New Roman"/>
          <w:sz w:val="24"/>
          <w:szCs w:val="24"/>
        </w:rPr>
        <w:t>letalidad</w:t>
      </w:r>
      <w:r w:rsidRPr="00E8197C">
        <w:rPr>
          <w:rFonts w:ascii="Times New Roman" w:hAnsi="Times New Roman" w:cs="Times New Roman"/>
          <w:sz w:val="24"/>
          <w:szCs w:val="24"/>
        </w:rPr>
        <w:t>, se observó un menor nivel de heterogeneidad, encontrándose diferen</w:t>
      </w:r>
      <w:r w:rsidR="001B0CCE">
        <w:rPr>
          <w:rFonts w:ascii="Times New Roman" w:hAnsi="Times New Roman" w:cs="Times New Roman"/>
          <w:sz w:val="24"/>
          <w:szCs w:val="24"/>
        </w:rPr>
        <w:t xml:space="preserve">cias no significativas entre </w:t>
      </w:r>
      <w:r>
        <w:rPr>
          <w:rFonts w:ascii="Times New Roman" w:hAnsi="Times New Roman" w:cs="Times New Roman"/>
          <w:sz w:val="24"/>
          <w:szCs w:val="24"/>
        </w:rPr>
        <w:t>las zonas</w:t>
      </w:r>
      <w:r w:rsidRPr="00E8197C">
        <w:rPr>
          <w:rFonts w:ascii="Times New Roman" w:hAnsi="Times New Roman" w:cs="Times New Roman"/>
          <w:sz w:val="24"/>
          <w:szCs w:val="24"/>
        </w:rPr>
        <w:t>.</w:t>
      </w:r>
      <w:r w:rsidR="001B0CCE">
        <w:rPr>
          <w:rFonts w:ascii="Times New Roman" w:hAnsi="Times New Roman" w:cs="Times New Roman"/>
          <w:sz w:val="24"/>
          <w:szCs w:val="24"/>
        </w:rPr>
        <w:t xml:space="preserve"> Sin embargo, al analizar la letalidad por grupo etario, a partir de los grupos mayores de 50 años, se vuelve a observar el mismo patrón </w:t>
      </w:r>
      <w:r w:rsidR="001B0CCE">
        <w:rPr>
          <w:rFonts w:ascii="Times New Roman" w:hAnsi="Times New Roman" w:cs="Times New Roman"/>
          <w:sz w:val="24"/>
          <w:szCs w:val="24"/>
        </w:rPr>
        <w:lastRenderedPageBreak/>
        <w:t xml:space="preserve">de distribución de la incidencia, con valores más altos en las comunas de la zona sur y más bajos en las de la zona norte. </w:t>
      </w:r>
    </w:p>
    <w:p w14:paraId="1C90F280" w14:textId="0CD6BB15" w:rsidR="00604D56" w:rsidRPr="00604D56" w:rsidRDefault="00604D56" w:rsidP="00604D56">
      <w:pPr>
        <w:spacing w:after="0" w:line="480" w:lineRule="auto"/>
        <w:contextualSpacing/>
        <w:jc w:val="both"/>
        <w:rPr>
          <w:rFonts w:ascii="Times New Roman" w:hAnsi="Times New Roman" w:cs="Times New Roman"/>
          <w:sz w:val="24"/>
          <w:szCs w:val="24"/>
        </w:rPr>
      </w:pPr>
      <w:r w:rsidRPr="00604D56">
        <w:rPr>
          <w:rFonts w:ascii="Times New Roman" w:hAnsi="Times New Roman" w:cs="Times New Roman"/>
          <w:sz w:val="24"/>
          <w:szCs w:val="24"/>
        </w:rPr>
        <w:t xml:space="preserve">Los resultados observados son congruentes con estudios previos que describieron la zona sur de CABA como un área geográfica segregada con condiciones comparativamente desventajosas en cuanto a los aspectos involucrados en la determinación de la salud de las poblaciones y sus condiciones de vida </w:t>
      </w:r>
      <w:r>
        <w:rPr>
          <w:rFonts w:ascii="Times New Roman" w:hAnsi="Times New Roman" w:cs="Times New Roman"/>
          <w:sz w:val="24"/>
          <w:szCs w:val="24"/>
        </w:rPr>
        <w:fldChar w:fldCharType="begin" w:fldLock="1"/>
      </w:r>
      <w:r w:rsidRPr="00604D56">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w:instrText>
      </w:r>
      <w:r w:rsidRPr="001C6486">
        <w:rPr>
          <w:rFonts w:ascii="Times New Roman" w:hAnsi="Times New Roman" w:cs="Times New Roman"/>
          <w:sz w:val="24"/>
          <w:szCs w:val="24"/>
          <w:lang w:val="en-US"/>
        </w:rPr>
        <w:instrText>id=7b523a77-c1b6</w:instrText>
      </w:r>
      <w:r>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Pr="004C307B">
        <w:rPr>
          <w:rFonts w:ascii="Times New Roman" w:hAnsi="Times New Roman" w:cs="Times New Roman"/>
          <w:sz w:val="24"/>
          <w:szCs w:val="24"/>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Pr>
          <w:rFonts w:ascii="Times New Roman" w:hAnsi="Times New Roman" w:cs="Times New Roman"/>
          <w:sz w:val="24"/>
          <w:szCs w:val="24"/>
        </w:rPr>
        <w:fldChar w:fldCharType="separate"/>
      </w:r>
      <w:r w:rsidRPr="004C307B">
        <w:rPr>
          <w:rFonts w:ascii="Times New Roman" w:hAnsi="Times New Roman" w:cs="Times New Roman"/>
          <w:noProof/>
          <w:sz w:val="24"/>
          <w:szCs w:val="24"/>
        </w:rPr>
        <w:t>(4–8)</w:t>
      </w:r>
      <w:r>
        <w:rPr>
          <w:rFonts w:ascii="Times New Roman" w:hAnsi="Times New Roman" w:cs="Times New Roman"/>
          <w:sz w:val="24"/>
          <w:szCs w:val="24"/>
        </w:rPr>
        <w:fldChar w:fldCharType="end"/>
      </w:r>
      <w:r w:rsidRPr="004C307B">
        <w:rPr>
          <w:rFonts w:ascii="Times New Roman" w:hAnsi="Times New Roman" w:cs="Times New Roman"/>
          <w:sz w:val="24"/>
          <w:szCs w:val="24"/>
        </w:rPr>
        <w:t>.</w:t>
      </w:r>
      <w:r>
        <w:rPr>
          <w:rFonts w:ascii="Times New Roman" w:hAnsi="Times New Roman" w:cs="Times New Roman"/>
          <w:sz w:val="24"/>
          <w:szCs w:val="24"/>
        </w:rPr>
        <w:t xml:space="preserve"> </w:t>
      </w:r>
      <w:r w:rsidRPr="00604D56">
        <w:rPr>
          <w:rFonts w:ascii="Times New Roman" w:hAnsi="Times New Roman" w:cs="Times New Roman"/>
          <w:sz w:val="24"/>
          <w:szCs w:val="24"/>
        </w:rPr>
        <w:t>Además, los hallazgos son con</w:t>
      </w:r>
      <w:r w:rsidR="004A33B9">
        <w:rPr>
          <w:rFonts w:ascii="Times New Roman" w:hAnsi="Times New Roman" w:cs="Times New Roman"/>
          <w:sz w:val="24"/>
          <w:szCs w:val="24"/>
        </w:rPr>
        <w:t>sistentes</w:t>
      </w:r>
      <w:r w:rsidRPr="00604D56">
        <w:rPr>
          <w:rFonts w:ascii="Times New Roman" w:hAnsi="Times New Roman" w:cs="Times New Roman"/>
          <w:sz w:val="24"/>
          <w:szCs w:val="24"/>
        </w:rPr>
        <w:t xml:space="preserve"> con lo </w:t>
      </w:r>
      <w:r w:rsidR="00256C9D">
        <w:rPr>
          <w:rFonts w:ascii="Times New Roman" w:hAnsi="Times New Roman" w:cs="Times New Roman"/>
          <w:sz w:val="24"/>
          <w:szCs w:val="24"/>
        </w:rPr>
        <w:t>presentado en</w:t>
      </w:r>
      <w:r w:rsidRPr="00604D56">
        <w:rPr>
          <w:rFonts w:ascii="Times New Roman" w:hAnsi="Times New Roman" w:cs="Times New Roman"/>
          <w:sz w:val="24"/>
          <w:szCs w:val="24"/>
        </w:rPr>
        <w:t xml:space="preserve"> la encuesta de </w:t>
      </w:r>
      <w:proofErr w:type="spellStart"/>
      <w:r w:rsidRPr="00604D56">
        <w:rPr>
          <w:rFonts w:ascii="Times New Roman" w:hAnsi="Times New Roman" w:cs="Times New Roman"/>
          <w:sz w:val="24"/>
          <w:szCs w:val="24"/>
        </w:rPr>
        <w:t>seroprovalencia</w:t>
      </w:r>
      <w:proofErr w:type="spellEnd"/>
      <w:r w:rsidRPr="00604D56">
        <w:rPr>
          <w:rFonts w:ascii="Times New Roman" w:hAnsi="Times New Roman" w:cs="Times New Roman"/>
          <w:sz w:val="24"/>
          <w:szCs w:val="24"/>
        </w:rPr>
        <w:t xml:space="preserve"> realizada por el gobierno de la CABA, donde se constató que la proporción de población </w:t>
      </w:r>
      <w:proofErr w:type="spellStart"/>
      <w:r w:rsidRPr="00604D56">
        <w:rPr>
          <w:rFonts w:ascii="Times New Roman" w:hAnsi="Times New Roman" w:cs="Times New Roman"/>
          <w:sz w:val="24"/>
          <w:szCs w:val="24"/>
        </w:rPr>
        <w:t>seroprevalente</w:t>
      </w:r>
      <w:proofErr w:type="spellEnd"/>
      <w:r w:rsidRPr="00604D56">
        <w:rPr>
          <w:rFonts w:ascii="Times New Roman" w:hAnsi="Times New Roman" w:cs="Times New Roman"/>
          <w:sz w:val="24"/>
          <w:szCs w:val="24"/>
        </w:rPr>
        <w:t xml:space="preserve"> detectada en la zona sur fue 168,3% </w:t>
      </w:r>
      <w:r w:rsidR="00256C9D">
        <w:rPr>
          <w:rFonts w:ascii="Times New Roman" w:hAnsi="Times New Roman" w:cs="Times New Roman"/>
          <w:sz w:val="24"/>
          <w:szCs w:val="24"/>
        </w:rPr>
        <w:t>mayor a la</w:t>
      </w:r>
      <w:r w:rsidRPr="00604D56">
        <w:rPr>
          <w:rFonts w:ascii="Times New Roman" w:hAnsi="Times New Roman" w:cs="Times New Roman"/>
          <w:sz w:val="24"/>
          <w:szCs w:val="24"/>
        </w:rPr>
        <w:t xml:space="preserve"> detectada en la zona norte </w:t>
      </w:r>
      <w:r w:rsidRPr="00604D56">
        <w:rPr>
          <w:rFonts w:ascii="Times New Roman" w:hAnsi="Times New Roman" w:cs="Times New Roman"/>
          <w:sz w:val="24"/>
          <w:szCs w:val="24"/>
          <w:highlight w:val="yellow"/>
        </w:rPr>
        <w:t>(cita)</w:t>
      </w:r>
      <w:r w:rsidRPr="00604D56">
        <w:rPr>
          <w:rFonts w:ascii="Times New Roman" w:hAnsi="Times New Roman" w:cs="Times New Roman"/>
          <w:sz w:val="24"/>
          <w:szCs w:val="24"/>
        </w:rPr>
        <w:t>.</w:t>
      </w:r>
    </w:p>
    <w:p w14:paraId="31B47021" w14:textId="0DDA0E2A" w:rsidR="004C307B"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 xml:space="preserve">Es posible que este contexto sea el resultado de un elemento estructurante como las condiciones materiales de existencia que, como se </w:t>
      </w:r>
      <w:r w:rsidR="004A33B9">
        <w:rPr>
          <w:rFonts w:ascii="Times New Roman" w:hAnsi="Times New Roman" w:cs="Times New Roman"/>
          <w:sz w:val="24"/>
          <w:szCs w:val="24"/>
        </w:rPr>
        <w:t>mostró</w:t>
      </w:r>
      <w:r w:rsidRPr="00256C9D">
        <w:rPr>
          <w:rFonts w:ascii="Times New Roman" w:hAnsi="Times New Roman" w:cs="Times New Roman"/>
          <w:sz w:val="24"/>
          <w:szCs w:val="24"/>
        </w:rPr>
        <w:t xml:space="preserve"> en este estudio, se mostraron asociadas con el impacto diferencial de la epidemia, </w:t>
      </w:r>
      <w:r>
        <w:rPr>
          <w:rFonts w:ascii="Times New Roman" w:hAnsi="Times New Roman" w:cs="Times New Roman"/>
          <w:sz w:val="24"/>
          <w:szCs w:val="24"/>
        </w:rPr>
        <w:t xml:space="preserve">aproximando su medición a partir del ingreso </w:t>
      </w:r>
      <w:r w:rsidRPr="00256C9D">
        <w:rPr>
          <w:rFonts w:ascii="Times New Roman" w:hAnsi="Times New Roman" w:cs="Times New Roman"/>
          <w:sz w:val="24"/>
          <w:szCs w:val="24"/>
        </w:rPr>
        <w:t>familia</w:t>
      </w:r>
      <w:r>
        <w:rPr>
          <w:rFonts w:ascii="Times New Roman" w:hAnsi="Times New Roman" w:cs="Times New Roman"/>
          <w:sz w:val="24"/>
          <w:szCs w:val="24"/>
        </w:rPr>
        <w:t xml:space="preserve">r promedio de </w:t>
      </w:r>
      <w:r w:rsidRPr="00256C9D">
        <w:rPr>
          <w:rFonts w:ascii="Times New Roman" w:hAnsi="Times New Roman" w:cs="Times New Roman"/>
          <w:sz w:val="24"/>
          <w:szCs w:val="24"/>
        </w:rPr>
        <w:t>cada comuna. Una situación similar se había observado p</w:t>
      </w:r>
      <w:r>
        <w:rPr>
          <w:rFonts w:ascii="Times New Roman" w:hAnsi="Times New Roman" w:cs="Times New Roman"/>
          <w:sz w:val="24"/>
          <w:szCs w:val="24"/>
        </w:rPr>
        <w:t xml:space="preserve">ara la morbilidad en Barcelona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(12)</w:t>
      </w:r>
      <w:r>
        <w:rPr>
          <w:rFonts w:ascii="Times New Roman" w:hAnsi="Times New Roman" w:cs="Times New Roman"/>
          <w:sz w:val="24"/>
          <w:szCs w:val="24"/>
        </w:rPr>
        <w:fldChar w:fldCharType="end"/>
      </w:r>
      <w:r w:rsidRPr="00256C9D">
        <w:rPr>
          <w:rFonts w:ascii="Times New Roman" w:hAnsi="Times New Roman" w:cs="Times New Roman"/>
          <w:sz w:val="24"/>
          <w:szCs w:val="24"/>
        </w:rPr>
        <w:t xml:space="preserve"> y la mortalidad en el Reino Unido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w:instrText>
      </w:r>
      <w:r w:rsidRPr="004A33B9">
        <w:rPr>
          <w:rFonts w:ascii="Times New Roman" w:hAnsi="Times New Roman" w:cs="Times New Roman"/>
          <w:sz w:val="24"/>
          <w:szCs w:val="24"/>
        </w:rPr>
        <w:instrText>pa</w:instrText>
      </w:r>
      <w:r>
        <w:rPr>
          <w:rFonts w:ascii="Times New Roman" w:hAnsi="Times New Roman" w:cs="Times New Roman"/>
          <w:sz w:val="24"/>
          <w:szCs w:val="24"/>
        </w:rPr>
        <w:instrText>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C22846">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01FCF86C" w14:textId="77777777" w:rsidR="00256C9D" w:rsidRDefault="00256C9D" w:rsidP="001C6486">
      <w:pPr>
        <w:spacing w:after="0" w:line="480" w:lineRule="auto"/>
        <w:contextualSpacing/>
        <w:jc w:val="both"/>
        <w:rPr>
          <w:rFonts w:ascii="Times New Roman" w:hAnsi="Times New Roman" w:cs="Times New Roman"/>
          <w:sz w:val="24"/>
          <w:szCs w:val="24"/>
        </w:rPr>
      </w:pPr>
    </w:p>
    <w:p w14:paraId="7E5E9BB3" w14:textId="6D682E93" w:rsidR="00C96D26"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Un hallazgo notable es la mayor incidencia de COVID-19 entre los adultos jóvenes en las comunas del sur de CABA</w:t>
      </w:r>
      <w:r w:rsidR="004A33B9">
        <w:rPr>
          <w:rFonts w:ascii="Times New Roman" w:hAnsi="Times New Roman" w:cs="Times New Roman"/>
          <w:sz w:val="24"/>
          <w:szCs w:val="24"/>
        </w:rPr>
        <w:t xml:space="preserve"> en el primer sub periodo estudiado</w:t>
      </w:r>
      <w:r w:rsidRPr="00256C9D">
        <w:rPr>
          <w:rFonts w:ascii="Times New Roman" w:hAnsi="Times New Roman" w:cs="Times New Roman"/>
          <w:sz w:val="24"/>
          <w:szCs w:val="24"/>
        </w:rPr>
        <w:t xml:space="preserve">. Si bien el diseño de esta investigación no permite asociaciones a nivel individual, se podría plantear la hipótesis de que, como se describe a la población hispana de Chicago en el estudio de Kim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existen niveles más altos de exposición entre los trabajadores en áreas vulnerables debido a la mayor inserción (en términos relativos) en sectores vinculados a la economía informal (con menor cumplimiento de protocolos) y a tareas esenciales (seguridad, limpieza, enfermería). </w:t>
      </w:r>
      <w:r w:rsidR="004A33B9">
        <w:rPr>
          <w:rFonts w:ascii="Times New Roman" w:hAnsi="Times New Roman" w:cs="Times New Roman"/>
          <w:sz w:val="24"/>
          <w:szCs w:val="24"/>
        </w:rPr>
        <w:t>Por otro lado, el cambio de patrón en la incidencia</w:t>
      </w:r>
      <w:r w:rsidR="006D0323">
        <w:rPr>
          <w:rFonts w:ascii="Times New Roman" w:hAnsi="Times New Roman" w:cs="Times New Roman"/>
          <w:sz w:val="24"/>
          <w:szCs w:val="24"/>
        </w:rPr>
        <w:t xml:space="preserve"> entre comunas y grupos de edad</w:t>
      </w:r>
      <w:r w:rsidR="004A33B9">
        <w:rPr>
          <w:rFonts w:ascii="Times New Roman" w:hAnsi="Times New Roman" w:cs="Times New Roman"/>
          <w:sz w:val="24"/>
          <w:szCs w:val="24"/>
        </w:rPr>
        <w:t xml:space="preserve"> observado en el segundo sub </w:t>
      </w:r>
      <w:r w:rsidR="006D0323">
        <w:rPr>
          <w:rFonts w:ascii="Times New Roman" w:hAnsi="Times New Roman" w:cs="Times New Roman"/>
          <w:sz w:val="24"/>
          <w:szCs w:val="24"/>
        </w:rPr>
        <w:t xml:space="preserve">periodo, </w:t>
      </w:r>
      <w:r w:rsidR="00C96D26">
        <w:rPr>
          <w:rFonts w:ascii="Times New Roman" w:hAnsi="Times New Roman" w:cs="Times New Roman"/>
          <w:sz w:val="24"/>
          <w:szCs w:val="24"/>
        </w:rPr>
        <w:t>se puede relacionas</w:t>
      </w:r>
      <w:r w:rsidR="004A33B9">
        <w:rPr>
          <w:rFonts w:ascii="Times New Roman" w:hAnsi="Times New Roman" w:cs="Times New Roman"/>
          <w:sz w:val="24"/>
          <w:szCs w:val="24"/>
        </w:rPr>
        <w:t xml:space="preserve"> </w:t>
      </w:r>
      <w:r w:rsidR="00C96D26">
        <w:rPr>
          <w:rFonts w:ascii="Times New Roman" w:hAnsi="Times New Roman" w:cs="Times New Roman"/>
          <w:sz w:val="24"/>
          <w:szCs w:val="24"/>
        </w:rPr>
        <w:t>a la</w:t>
      </w:r>
      <w:r w:rsidR="006D0323">
        <w:rPr>
          <w:rFonts w:ascii="Times New Roman" w:hAnsi="Times New Roman" w:cs="Times New Roman"/>
          <w:sz w:val="24"/>
          <w:szCs w:val="24"/>
        </w:rPr>
        <w:t xml:space="preserve"> mayor exposición de sectores que en el primer</w:t>
      </w:r>
      <w:r w:rsidR="00C96D26">
        <w:rPr>
          <w:rFonts w:ascii="Times New Roman" w:hAnsi="Times New Roman" w:cs="Times New Roman"/>
          <w:sz w:val="24"/>
          <w:szCs w:val="24"/>
        </w:rPr>
        <w:t xml:space="preserve"> sub</w:t>
      </w:r>
      <w:r w:rsidR="006D0323">
        <w:rPr>
          <w:rFonts w:ascii="Times New Roman" w:hAnsi="Times New Roman" w:cs="Times New Roman"/>
          <w:sz w:val="24"/>
          <w:szCs w:val="24"/>
        </w:rPr>
        <w:t xml:space="preserve"> periodo de la pandemia habían estado menos </w:t>
      </w:r>
      <w:r w:rsidR="006D0323">
        <w:rPr>
          <w:rFonts w:ascii="Times New Roman" w:hAnsi="Times New Roman" w:cs="Times New Roman"/>
          <w:sz w:val="24"/>
          <w:szCs w:val="24"/>
        </w:rPr>
        <w:lastRenderedPageBreak/>
        <w:t>expuestos</w:t>
      </w:r>
      <w:r w:rsidR="00C96D26">
        <w:rPr>
          <w:rFonts w:ascii="Times New Roman" w:hAnsi="Times New Roman" w:cs="Times New Roman"/>
          <w:sz w:val="24"/>
          <w:szCs w:val="24"/>
        </w:rPr>
        <w:t xml:space="preserve"> debido a la obligatoriedad del</w:t>
      </w:r>
      <w:r w:rsidR="006D0323">
        <w:rPr>
          <w:rFonts w:ascii="Times New Roman" w:hAnsi="Times New Roman" w:cs="Times New Roman"/>
          <w:sz w:val="24"/>
          <w:szCs w:val="24"/>
        </w:rPr>
        <w:t xml:space="preserve"> trabajo remoto y las clases no presenciales implementadas por </w:t>
      </w:r>
      <w:r w:rsidR="00C96D26">
        <w:rPr>
          <w:rFonts w:ascii="Times New Roman" w:hAnsi="Times New Roman" w:cs="Times New Roman"/>
          <w:sz w:val="24"/>
          <w:szCs w:val="24"/>
        </w:rPr>
        <w:t>decreto</w:t>
      </w:r>
      <w:r w:rsidR="006D0323">
        <w:rPr>
          <w:rFonts w:ascii="Times New Roman" w:hAnsi="Times New Roman" w:cs="Times New Roman"/>
          <w:sz w:val="24"/>
          <w:szCs w:val="24"/>
        </w:rPr>
        <w:t xml:space="preserve">. Además, el segundo sub periodo coincide con la salida de vacaciones de verano (enero y febrero) mayormente a otras provincias del país y los testeos obligatorios para turistas que implementó </w:t>
      </w:r>
      <w:r w:rsidR="00C96D26">
        <w:rPr>
          <w:rFonts w:ascii="Times New Roman" w:hAnsi="Times New Roman" w:cs="Times New Roman"/>
          <w:sz w:val="24"/>
          <w:szCs w:val="24"/>
        </w:rPr>
        <w:t xml:space="preserve">la CABA al ingresar a la ciudad, aumentando la exposición sobre todo en jóvenes y población económicamente activa, pero </w:t>
      </w:r>
      <w:proofErr w:type="gramStart"/>
      <w:r w:rsidR="00C96D26">
        <w:rPr>
          <w:rFonts w:ascii="Times New Roman" w:hAnsi="Times New Roman" w:cs="Times New Roman"/>
          <w:sz w:val="24"/>
          <w:szCs w:val="24"/>
        </w:rPr>
        <w:t>también  aumentando</w:t>
      </w:r>
      <w:proofErr w:type="gramEnd"/>
      <w:r w:rsidR="00C96D26">
        <w:rPr>
          <w:rFonts w:ascii="Times New Roman" w:hAnsi="Times New Roman" w:cs="Times New Roman"/>
          <w:sz w:val="24"/>
          <w:szCs w:val="24"/>
        </w:rPr>
        <w:t xml:space="preserve"> la sensibilidad de los testeos.</w:t>
      </w:r>
    </w:p>
    <w:p w14:paraId="18D7F4B3" w14:textId="77777777" w:rsidR="00C96D26" w:rsidRDefault="00C96D26" w:rsidP="001C6486">
      <w:pPr>
        <w:spacing w:after="0" w:line="480" w:lineRule="auto"/>
        <w:contextualSpacing/>
        <w:jc w:val="both"/>
        <w:rPr>
          <w:rFonts w:ascii="Times New Roman" w:hAnsi="Times New Roman" w:cs="Times New Roman"/>
          <w:sz w:val="24"/>
          <w:szCs w:val="24"/>
        </w:rPr>
      </w:pPr>
    </w:p>
    <w:p w14:paraId="062FC73A" w14:textId="7037936B" w:rsidR="004A33B9" w:rsidRDefault="006D0323" w:rsidP="001C6486">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Se destaca que este cambio de patrón en la incidencia, siendo la más alta en la zona de </w:t>
      </w:r>
      <w:r w:rsidR="00C96D26">
        <w:rPr>
          <w:rFonts w:ascii="Times New Roman" w:hAnsi="Times New Roman" w:cs="Times New Roman"/>
          <w:sz w:val="24"/>
          <w:szCs w:val="24"/>
        </w:rPr>
        <w:t>mayores recursos</w:t>
      </w:r>
      <w:r>
        <w:rPr>
          <w:rFonts w:ascii="Times New Roman" w:hAnsi="Times New Roman" w:cs="Times New Roman"/>
          <w:sz w:val="24"/>
          <w:szCs w:val="24"/>
        </w:rPr>
        <w:t>, no se observó en la mortalidad para el mismo periodo</w:t>
      </w:r>
      <w:r w:rsidR="00C96D26">
        <w:rPr>
          <w:rFonts w:ascii="Times New Roman" w:hAnsi="Times New Roman" w:cs="Times New Roman"/>
          <w:sz w:val="24"/>
          <w:szCs w:val="24"/>
        </w:rPr>
        <w:t>. Es decir que, en el segundo sub periodo, las mayores tasas de incidencia se asociar</w:t>
      </w:r>
      <w:r w:rsidR="004D6B44">
        <w:rPr>
          <w:rFonts w:ascii="Times New Roman" w:hAnsi="Times New Roman" w:cs="Times New Roman"/>
          <w:sz w:val="24"/>
          <w:szCs w:val="24"/>
        </w:rPr>
        <w:t xml:space="preserve">on con </w:t>
      </w:r>
      <w:proofErr w:type="spellStart"/>
      <w:r w:rsidR="004D6B44">
        <w:rPr>
          <w:rFonts w:ascii="Times New Roman" w:hAnsi="Times New Roman" w:cs="Times New Roman"/>
          <w:sz w:val="24"/>
          <w:szCs w:val="24"/>
        </w:rPr>
        <w:t>indicadocadores</w:t>
      </w:r>
      <w:proofErr w:type="spellEnd"/>
      <w:r w:rsidR="004D6B44">
        <w:rPr>
          <w:rFonts w:ascii="Times New Roman" w:hAnsi="Times New Roman" w:cs="Times New Roman"/>
          <w:sz w:val="24"/>
          <w:szCs w:val="24"/>
        </w:rPr>
        <w:t xml:space="preserve"> de mortalidad ajustados por edad </w:t>
      </w:r>
      <w:proofErr w:type="spellStart"/>
      <w:r w:rsidR="004D6B44">
        <w:rPr>
          <w:rFonts w:ascii="Times New Roman" w:hAnsi="Times New Roman" w:cs="Times New Roman"/>
          <w:sz w:val="24"/>
          <w:szCs w:val="24"/>
        </w:rPr>
        <w:t>mas</w:t>
      </w:r>
      <w:proofErr w:type="spellEnd"/>
      <w:r w:rsidR="004D6B44">
        <w:rPr>
          <w:rFonts w:ascii="Times New Roman" w:hAnsi="Times New Roman" w:cs="Times New Roman"/>
          <w:sz w:val="24"/>
          <w:szCs w:val="24"/>
        </w:rPr>
        <w:t xml:space="preserve"> bajos</w:t>
      </w:r>
      <w:r w:rsidR="00C96D26">
        <w:rPr>
          <w:rFonts w:ascii="Times New Roman" w:hAnsi="Times New Roman" w:cs="Times New Roman"/>
          <w:sz w:val="24"/>
          <w:szCs w:val="24"/>
        </w:rPr>
        <w:t>. Esta situación agudiza aún más la</w:t>
      </w:r>
      <w:r w:rsidR="004D6B44">
        <w:rPr>
          <w:rFonts w:ascii="Times New Roman" w:hAnsi="Times New Roman" w:cs="Times New Roman"/>
          <w:sz w:val="24"/>
          <w:szCs w:val="24"/>
        </w:rPr>
        <w:t xml:space="preserve"> situación de</w:t>
      </w:r>
      <w:r w:rsidR="00C96D26">
        <w:rPr>
          <w:rFonts w:ascii="Times New Roman" w:hAnsi="Times New Roman" w:cs="Times New Roman"/>
          <w:sz w:val="24"/>
          <w:szCs w:val="24"/>
        </w:rPr>
        <w:t xml:space="preserve"> vulnerabilidad </w:t>
      </w:r>
      <w:r w:rsidR="004D6B44">
        <w:rPr>
          <w:rFonts w:ascii="Times New Roman" w:hAnsi="Times New Roman" w:cs="Times New Roman"/>
          <w:sz w:val="24"/>
          <w:szCs w:val="24"/>
        </w:rPr>
        <w:t>observada en</w:t>
      </w:r>
      <w:r w:rsidR="00C96D26">
        <w:rPr>
          <w:rFonts w:ascii="Times New Roman" w:hAnsi="Times New Roman" w:cs="Times New Roman"/>
          <w:sz w:val="24"/>
          <w:szCs w:val="24"/>
        </w:rPr>
        <w:t xml:space="preserve"> las comunas con peores condiciones socioeconómicas, ya que nos conduce a pensar en dos </w:t>
      </w:r>
      <w:r w:rsidR="004D6B44">
        <w:rPr>
          <w:rFonts w:ascii="Times New Roman" w:hAnsi="Times New Roman" w:cs="Times New Roman"/>
          <w:sz w:val="24"/>
          <w:szCs w:val="24"/>
        </w:rPr>
        <w:t xml:space="preserve">posibles hipótesis: Hubo </w:t>
      </w:r>
      <w:r w:rsidR="00C96D26">
        <w:rPr>
          <w:rFonts w:ascii="Times New Roman" w:hAnsi="Times New Roman" w:cs="Times New Roman"/>
          <w:sz w:val="24"/>
          <w:szCs w:val="24"/>
        </w:rPr>
        <w:t xml:space="preserve">más casos que los detectados en la zona sur en el segundo sub periodo, en comparación con </w:t>
      </w:r>
      <w:proofErr w:type="spellStart"/>
      <w:r w:rsidR="00C96D26">
        <w:rPr>
          <w:rFonts w:ascii="Times New Roman" w:hAnsi="Times New Roman" w:cs="Times New Roman"/>
          <w:sz w:val="24"/>
          <w:szCs w:val="24"/>
        </w:rPr>
        <w:t>el</w:t>
      </w:r>
      <w:proofErr w:type="spellEnd"/>
      <w:r w:rsidR="00C96D26">
        <w:rPr>
          <w:rFonts w:ascii="Times New Roman" w:hAnsi="Times New Roman" w:cs="Times New Roman"/>
          <w:sz w:val="24"/>
          <w:szCs w:val="24"/>
        </w:rPr>
        <w:t xml:space="preserve"> primero, o efectivamente, aun con una incidencia menor, el riesgo de morir en la zona sur fue mayor que en la zona norte</w:t>
      </w:r>
      <w:r w:rsidR="004D6B44">
        <w:rPr>
          <w:rFonts w:ascii="Times New Roman" w:hAnsi="Times New Roman" w:cs="Times New Roman"/>
          <w:sz w:val="24"/>
          <w:szCs w:val="24"/>
        </w:rPr>
        <w:t xml:space="preserve"> en el segundo sub periodo</w:t>
      </w:r>
      <w:r w:rsidR="00C96D26">
        <w:rPr>
          <w:rFonts w:ascii="Times New Roman" w:hAnsi="Times New Roman" w:cs="Times New Roman"/>
          <w:sz w:val="24"/>
          <w:szCs w:val="24"/>
        </w:rPr>
        <w:t xml:space="preserve">. </w:t>
      </w:r>
    </w:p>
    <w:p w14:paraId="3B18E96B" w14:textId="77777777" w:rsidR="004A33B9" w:rsidRDefault="004A33B9" w:rsidP="001C6486">
      <w:pPr>
        <w:spacing w:after="0" w:line="480" w:lineRule="auto"/>
        <w:contextualSpacing/>
        <w:jc w:val="both"/>
        <w:rPr>
          <w:rFonts w:ascii="Times New Roman" w:hAnsi="Times New Roman" w:cs="Times New Roman"/>
          <w:sz w:val="24"/>
          <w:szCs w:val="24"/>
        </w:rPr>
      </w:pPr>
    </w:p>
    <w:p w14:paraId="6143EFA5" w14:textId="71FABC5B" w:rsidR="00E822AC" w:rsidRPr="00256C9D"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 xml:space="preserve">Otro elemento es la comorbilidad: las condiciones de vida desfavorables se asocian a una menor detección y mayor prevalencia de enfermedades crónicas no transmisibles que actúan como comorbilidades del COVID-19, empeorando el pronóstico en la evolución de la enfermedad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w:instrText>
      </w:r>
      <w:r w:rsidRPr="004A33B9">
        <w:rPr>
          <w:rFonts w:ascii="Times New Roman" w:hAnsi="Times New Roman" w:cs="Times New Roman"/>
          <w:sz w:val="24"/>
          <w:szCs w:val="24"/>
        </w:rPr>
        <w:instrText>t (RR: 8.52, 95% CI:</w:instrText>
      </w:r>
      <w:r>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w:instrText>
      </w:r>
      <w:r w:rsidRPr="00256C9D">
        <w:rPr>
          <w:rFonts w:ascii="Times New Roman" w:hAnsi="Times New Roman" w:cs="Times New Roman"/>
          <w:sz w:val="24"/>
          <w:szCs w:val="24"/>
        </w:rPr>
        <w:instrText>:"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(23)</w:t>
      </w:r>
      <w:r>
        <w:rPr>
          <w:rFonts w:ascii="Times New Roman" w:hAnsi="Times New Roman" w:cs="Times New Roman"/>
          <w:sz w:val="24"/>
          <w:szCs w:val="24"/>
        </w:rPr>
        <w:fldChar w:fldCharType="end"/>
      </w:r>
      <w:r w:rsidRPr="00256C9D">
        <w:rPr>
          <w:rFonts w:ascii="Times New Roman" w:hAnsi="Times New Roman" w:cs="Times New Roman"/>
          <w:sz w:val="24"/>
          <w:szCs w:val="24"/>
        </w:rPr>
        <w:t>.</w:t>
      </w:r>
    </w:p>
    <w:p w14:paraId="63EE06FF" w14:textId="657CEA4E" w:rsidR="00E822AC" w:rsidRPr="00256C9D" w:rsidRDefault="00256C9D" w:rsidP="001C6486">
      <w:pPr>
        <w:spacing w:after="0" w:line="480" w:lineRule="auto"/>
        <w:contextualSpacing/>
        <w:jc w:val="both"/>
        <w:rPr>
          <w:rFonts w:ascii="Times New Roman" w:hAnsi="Times New Roman" w:cs="Times New Roman"/>
          <w:sz w:val="24"/>
          <w:szCs w:val="24"/>
          <w:lang w:val="en-US"/>
        </w:rPr>
      </w:pPr>
      <w:r w:rsidRPr="00256C9D">
        <w:rPr>
          <w:rFonts w:ascii="Times New Roman" w:hAnsi="Times New Roman" w:cs="Times New Roman"/>
          <w:sz w:val="24"/>
          <w:szCs w:val="24"/>
        </w:rPr>
        <w:t xml:space="preserve">Los resultados de este estudio cuestionan algunas de las lógicas subyacentes de los discursos gubernamentales y de los medios de comunicación sobre el impacto transversal de la epidemia en todos los niveles de vulnerabilidad social. Como se argumentó anteriormente, la idea de que la epidemia impacta por igual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es difícil de respaldar empíricamente en el caso de CABA. La principal ventaja de este estudio, entonces, radica en la posibilidad de visibilizar las desigualdades y orientar la ponderación del impacto de la pandemia en la CABA hacia la complejidad de su </w:t>
      </w:r>
      <w:r w:rsidRPr="00256C9D">
        <w:rPr>
          <w:rFonts w:ascii="Times New Roman" w:hAnsi="Times New Roman" w:cs="Times New Roman"/>
          <w:sz w:val="24"/>
          <w:szCs w:val="24"/>
        </w:rPr>
        <w:lastRenderedPageBreak/>
        <w:t xml:space="preserve">determinación, encaminándola hacia las condiciones sociales de existencia </w:t>
      </w:r>
      <w:proofErr w:type="spellStart"/>
      <w:r w:rsidRPr="00256C9D">
        <w:rPr>
          <w:rFonts w:ascii="Times New Roman" w:hAnsi="Times New Roman" w:cs="Times New Roman"/>
          <w:sz w:val="24"/>
          <w:szCs w:val="24"/>
        </w:rPr>
        <w:t>invisibilizadas</w:t>
      </w:r>
      <w:proofErr w:type="spellEnd"/>
      <w:r w:rsidRPr="00256C9D">
        <w:rPr>
          <w:rFonts w:ascii="Times New Roman" w:hAnsi="Times New Roman" w:cs="Times New Roman"/>
          <w:sz w:val="24"/>
          <w:szCs w:val="24"/>
        </w:rPr>
        <w:t xml:space="preserve"> por los discursos basados ​​en la humanización del virus, metáforas del miedo y de la guerra, por ejemplo. Por otro lado, la descripción de la mortalidad a través de indicadores ajustados por edad, permitió superar el enfoque basado en indicadores per cápita, vulnerables a las estructuras demográficas como factores de confusión, como advierten </w:t>
      </w:r>
      <w:proofErr w:type="spellStart"/>
      <w:r w:rsidRPr="00256C9D">
        <w:rPr>
          <w:rFonts w:ascii="Times New Roman" w:hAnsi="Times New Roman" w:cs="Times New Roman"/>
          <w:sz w:val="24"/>
          <w:szCs w:val="24"/>
        </w:rPr>
        <w:t>Heuveline</w:t>
      </w:r>
      <w:proofErr w:type="spellEnd"/>
      <w:r w:rsidRPr="00256C9D">
        <w:rPr>
          <w:rFonts w:ascii="Times New Roman" w:hAnsi="Times New Roman" w:cs="Times New Roman"/>
          <w:sz w:val="24"/>
          <w:szCs w:val="24"/>
        </w:rPr>
        <w:t xml:space="preserve"> y </w:t>
      </w:r>
      <w:proofErr w:type="spellStart"/>
      <w:r w:rsidRPr="00256C9D">
        <w:rPr>
          <w:rFonts w:ascii="Times New Roman" w:hAnsi="Times New Roman" w:cs="Times New Roman"/>
          <w:sz w:val="24"/>
          <w:szCs w:val="24"/>
        </w:rPr>
        <w:t>Tzen</w:t>
      </w:r>
      <w:proofErr w:type="spellEnd"/>
      <w:r w:rsidRPr="00256C9D">
        <w:rPr>
          <w:rFonts w:ascii="Times New Roman" w:hAnsi="Times New Roman" w:cs="Times New Roman"/>
          <w:sz w:val="24"/>
          <w:szCs w:val="24"/>
        </w:rPr>
        <w:t xml:space="preserve"> </w:t>
      </w:r>
      <w:r w:rsidRPr="00EE0CA3">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Pr="00EE0CA3">
        <w:rPr>
          <w:rFonts w:ascii="Times New Roman" w:hAnsi="Times New Roman" w:cs="Times New Roman"/>
          <w:sz w:val="24"/>
          <w:szCs w:val="24"/>
        </w:rPr>
        <w:fldChar w:fldCharType="separate"/>
      </w:r>
      <w:r w:rsidRPr="001C6486">
        <w:rPr>
          <w:rFonts w:ascii="Times New Roman" w:hAnsi="Times New Roman" w:cs="Times New Roman"/>
          <w:noProof/>
          <w:sz w:val="24"/>
          <w:szCs w:val="24"/>
          <w:lang w:val="en-US"/>
        </w:rPr>
        <w:t>(16)</w:t>
      </w:r>
      <w:r w:rsidRPr="00EE0CA3">
        <w:rPr>
          <w:rFonts w:ascii="Times New Roman" w:hAnsi="Times New Roman" w:cs="Times New Roman"/>
          <w:sz w:val="24"/>
          <w:szCs w:val="24"/>
        </w:rPr>
        <w:fldChar w:fldCharType="end"/>
      </w:r>
      <w:r w:rsidRPr="004A33B9">
        <w:rPr>
          <w:rFonts w:ascii="Times New Roman" w:hAnsi="Times New Roman" w:cs="Times New Roman"/>
          <w:sz w:val="24"/>
          <w:szCs w:val="24"/>
          <w:lang w:val="en-US"/>
        </w:rPr>
        <w:t>.</w:t>
      </w:r>
    </w:p>
    <w:p w14:paraId="3EC678AD" w14:textId="21ACC986" w:rsidR="00E822AC" w:rsidRDefault="004E6D27" w:rsidP="001C6486">
      <w:pPr>
        <w:spacing w:after="0" w:line="480" w:lineRule="auto"/>
        <w:contextualSpacing/>
        <w:jc w:val="both"/>
        <w:rPr>
          <w:rFonts w:ascii="Times New Roman" w:hAnsi="Times New Roman" w:cs="Times New Roman"/>
          <w:sz w:val="24"/>
          <w:szCs w:val="24"/>
        </w:rPr>
      </w:pPr>
      <w:r w:rsidRPr="004E6D27">
        <w:rPr>
          <w:rFonts w:ascii="Times New Roman" w:hAnsi="Times New Roman" w:cs="Times New Roman"/>
          <w:sz w:val="24"/>
          <w:szCs w:val="24"/>
        </w:rPr>
        <w:t xml:space="preserve">La debilidad fundamental de este estudio radica en las limitaciones de su metodología. Los estudios agregados permiten el establecimiento de hipótesis correlacionales, pero no miden factores de riesgo o causalidades a nivel individual. Entonces, los resultados son de alcance descriptivo, lo que es una limitación a la </w:t>
      </w:r>
      <w:commentRangeStart w:id="14"/>
      <w:r w:rsidRPr="004E6D27">
        <w:rPr>
          <w:rFonts w:ascii="Times New Roman" w:hAnsi="Times New Roman" w:cs="Times New Roman"/>
          <w:sz w:val="24"/>
          <w:szCs w:val="24"/>
        </w:rPr>
        <w:t xml:space="preserve">hora de diseñar intervenciones. </w:t>
      </w:r>
      <w:commentRangeEnd w:id="14"/>
      <w:r>
        <w:rPr>
          <w:rStyle w:val="Refdecomentario"/>
        </w:rPr>
        <w:commentReference w:id="14"/>
      </w:r>
      <w:r w:rsidRPr="004E6D27">
        <w:rPr>
          <w:rFonts w:ascii="Times New Roman" w:hAnsi="Times New Roman" w:cs="Times New Roman"/>
          <w:sz w:val="24"/>
          <w:szCs w:val="24"/>
        </w:rPr>
        <w:t xml:space="preserve">En este sentido, es necesario resaltar una limitación general anclada en las características de los sistemas de información en salud: los enfoques cuantitativos de la evolución de la epidemia se basan en sistemas de vigilancia epidemiológica que en muchos casos presentan problemas de cobertura </w:t>
      </w:r>
      <w:commentRangeStart w:id="15"/>
      <w:r w:rsidRPr="004E6D27">
        <w:rPr>
          <w:rFonts w:ascii="Times New Roman" w:hAnsi="Times New Roman" w:cs="Times New Roman"/>
          <w:sz w:val="24"/>
          <w:szCs w:val="24"/>
        </w:rPr>
        <w:t>e integridad</w:t>
      </w:r>
      <w:commentRangeEnd w:id="15"/>
      <w:r>
        <w:rPr>
          <w:rStyle w:val="Refdecomentario"/>
        </w:rPr>
        <w:commentReference w:id="15"/>
      </w:r>
      <w:r w:rsidRPr="004E6D27">
        <w:rPr>
          <w:rFonts w:ascii="Times New Roman" w:hAnsi="Times New Roman" w:cs="Times New Roman"/>
          <w:sz w:val="24"/>
          <w:szCs w:val="24"/>
        </w:rPr>
        <w:t xml:space="preserve">. Por otro lado, se debe tomar en cuenta </w:t>
      </w:r>
      <w:proofErr w:type="gramStart"/>
      <w:r w:rsidRPr="004E6D27">
        <w:rPr>
          <w:rFonts w:ascii="Times New Roman" w:hAnsi="Times New Roman" w:cs="Times New Roman"/>
          <w:sz w:val="24"/>
          <w:szCs w:val="24"/>
        </w:rPr>
        <w:t>que</w:t>
      </w:r>
      <w:proofErr w:type="gramEnd"/>
      <w:r w:rsidRPr="004E6D27">
        <w:rPr>
          <w:rFonts w:ascii="Times New Roman" w:hAnsi="Times New Roman" w:cs="Times New Roman"/>
          <w:sz w:val="24"/>
          <w:szCs w:val="24"/>
        </w:rPr>
        <w:t xml:space="preserve"> a lo largo de la pandemia, los estados nacionales han ido modificando las definiciones de "caso probable" y "caso confirmado", lo que impacta la capacidad de detección de los sistemas de vigilancia. Tampoco se puede ignorar que la finalidad de generar estados de datos no es la investigación, sino la vigilancia, por lo que muchas veces existen procedimientos que no están lo suficientemente depurados, como los de determinación de la causa básica de muerte o la existencia de comorbilidades.</w:t>
      </w:r>
    </w:p>
    <w:p w14:paraId="7CBBDAA4" w14:textId="77777777" w:rsidR="004E6D27" w:rsidRDefault="004E6D27" w:rsidP="001C6486">
      <w:pPr>
        <w:spacing w:after="0" w:line="480" w:lineRule="auto"/>
        <w:contextualSpacing/>
        <w:jc w:val="both"/>
        <w:rPr>
          <w:rFonts w:ascii="Times New Roman" w:hAnsi="Times New Roman" w:cs="Times New Roman"/>
          <w:sz w:val="24"/>
          <w:szCs w:val="24"/>
        </w:rPr>
      </w:pPr>
    </w:p>
    <w:p w14:paraId="75439454" w14:textId="7BA0B3C4" w:rsidR="004E6D27" w:rsidRDefault="004E6D27" w:rsidP="001C6486">
      <w:pPr>
        <w:spacing w:after="0" w:line="480" w:lineRule="auto"/>
        <w:contextualSpacing/>
        <w:jc w:val="both"/>
        <w:rPr>
          <w:rFonts w:ascii="Times New Roman" w:hAnsi="Times New Roman" w:cs="Times New Roman"/>
          <w:sz w:val="24"/>
          <w:szCs w:val="24"/>
        </w:rPr>
      </w:pPr>
      <w:commentRangeStart w:id="16"/>
      <w:r w:rsidRPr="004E6D27">
        <w:rPr>
          <w:rFonts w:ascii="Times New Roman" w:hAnsi="Times New Roman" w:cs="Times New Roman"/>
          <w:sz w:val="24"/>
          <w:szCs w:val="24"/>
        </w:rPr>
        <w:t>A XX días del inicio de la epidemia en CABA, la descripción de morbimortalidad por COVID-19 valida la idea de reforzar drásticamente las políticas públicas orientadas a garantizar el acceso a los servicios de salud, profundizando la detección, las pruebas, la asistencia y el</w:t>
      </w:r>
      <w:r>
        <w:rPr>
          <w:rFonts w:ascii="Times New Roman" w:hAnsi="Times New Roman" w:cs="Times New Roman"/>
          <w:sz w:val="24"/>
          <w:szCs w:val="24"/>
        </w:rPr>
        <w:t xml:space="preserve"> aislamiento en poblaciones que presentan </w:t>
      </w:r>
      <w:r w:rsidRPr="004E6D27">
        <w:rPr>
          <w:rFonts w:ascii="Times New Roman" w:hAnsi="Times New Roman" w:cs="Times New Roman"/>
          <w:sz w:val="24"/>
          <w:szCs w:val="24"/>
        </w:rPr>
        <w:t xml:space="preserve">condiciones </w:t>
      </w:r>
      <w:r>
        <w:rPr>
          <w:rFonts w:ascii="Times New Roman" w:hAnsi="Times New Roman" w:cs="Times New Roman"/>
          <w:sz w:val="24"/>
          <w:szCs w:val="24"/>
        </w:rPr>
        <w:t xml:space="preserve">materiales </w:t>
      </w:r>
      <w:r w:rsidRPr="004E6D27">
        <w:rPr>
          <w:rFonts w:ascii="Times New Roman" w:hAnsi="Times New Roman" w:cs="Times New Roman"/>
          <w:sz w:val="24"/>
          <w:szCs w:val="24"/>
        </w:rPr>
        <w:t>de vida</w:t>
      </w:r>
      <w:r>
        <w:rPr>
          <w:rFonts w:ascii="Times New Roman" w:hAnsi="Times New Roman" w:cs="Times New Roman"/>
          <w:sz w:val="24"/>
          <w:szCs w:val="24"/>
        </w:rPr>
        <w:t xml:space="preserve"> deficientes.</w:t>
      </w:r>
      <w:commentRangeEnd w:id="16"/>
      <w:r w:rsidR="004D6B44">
        <w:rPr>
          <w:rStyle w:val="Refdecomentario"/>
        </w:rPr>
        <w:commentReference w:id="16"/>
      </w:r>
    </w:p>
    <w:p w14:paraId="765B4AC5" w14:textId="27504F45" w:rsidR="004E6D27" w:rsidRDefault="004E6D27" w:rsidP="001C6486">
      <w:pPr>
        <w:spacing w:after="0" w:line="480" w:lineRule="auto"/>
        <w:contextualSpacing/>
        <w:jc w:val="both"/>
        <w:rPr>
          <w:rFonts w:ascii="Times New Roman" w:hAnsi="Times New Roman" w:cs="Times New Roman"/>
          <w:sz w:val="24"/>
          <w:szCs w:val="24"/>
        </w:rPr>
      </w:pPr>
    </w:p>
    <w:p w14:paraId="4EFDCC87" w14:textId="77777777" w:rsidR="004E6D27" w:rsidRPr="004E6D27" w:rsidRDefault="004E6D27" w:rsidP="001C6486">
      <w:pPr>
        <w:spacing w:after="0" w:line="480" w:lineRule="auto"/>
        <w:contextualSpacing/>
        <w:jc w:val="both"/>
        <w:rPr>
          <w:rFonts w:ascii="Times New Roman" w:hAnsi="Times New Roman" w:cs="Times New Roman"/>
          <w:sz w:val="24"/>
          <w:szCs w:val="24"/>
        </w:rPr>
      </w:pPr>
    </w:p>
    <w:p w14:paraId="5FA92679" w14:textId="5F1D66EE" w:rsidR="008C2083" w:rsidRPr="001C6486" w:rsidRDefault="008C2083" w:rsidP="001C6486">
      <w:pPr>
        <w:spacing w:after="0" w:line="480" w:lineRule="auto"/>
        <w:contextualSpacing/>
        <w:jc w:val="both"/>
        <w:rPr>
          <w:rFonts w:ascii="Times New Roman" w:hAnsi="Times New Roman" w:cs="Times New Roman"/>
          <w:b/>
          <w:sz w:val="24"/>
          <w:szCs w:val="24"/>
          <w:lang w:val="en-US"/>
        </w:rPr>
      </w:pPr>
    </w:p>
    <w:sectPr w:rsidR="008C2083" w:rsidRPr="001C6486" w:rsidSect="0016684F">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elen pennini" w:date="2021-05-03T16:07:00Z" w:initials="vp">
    <w:p w14:paraId="1E4F0525" w14:textId="77777777" w:rsidR="00FF5ABB" w:rsidRDefault="00FF5ABB">
      <w:pPr>
        <w:pStyle w:val="Textocomentario"/>
      </w:pPr>
      <w:r>
        <w:rPr>
          <w:rStyle w:val="Refdecomentario"/>
        </w:rPr>
        <w:annotationRef/>
      </w:r>
      <w:r>
        <w:t xml:space="preserve">Ver si cambiar el concepto por </w:t>
      </w:r>
      <w:proofErr w:type="spellStart"/>
      <w:r>
        <w:t>mas</w:t>
      </w:r>
      <w:proofErr w:type="spellEnd"/>
      <w:r>
        <w:t xml:space="preserve"> pobres o </w:t>
      </w:r>
      <w:proofErr w:type="spellStart"/>
      <w:r>
        <w:t>mas</w:t>
      </w:r>
      <w:proofErr w:type="spellEnd"/>
      <w:r>
        <w:t xml:space="preserve"> vulnerables</w:t>
      </w:r>
    </w:p>
  </w:comment>
  <w:comment w:id="1" w:author="velen pennini" w:date="2021-05-03T16:16:00Z" w:initials="vp">
    <w:p w14:paraId="58851BE8" w14:textId="77777777" w:rsidR="00FF5ABB" w:rsidRDefault="00FF5ABB">
      <w:pPr>
        <w:pStyle w:val="Textocomentario"/>
      </w:pPr>
      <w:r>
        <w:rPr>
          <w:rStyle w:val="Refdecomentario"/>
        </w:rPr>
        <w:annotationRef/>
      </w:r>
      <w:r>
        <w:t>Chequear esto</w:t>
      </w:r>
    </w:p>
  </w:comment>
  <w:comment w:id="2" w:author="velen pennini" w:date="2021-05-03T20:51:00Z" w:initials="vp">
    <w:p w14:paraId="379943A2" w14:textId="77777777" w:rsidR="00FF5ABB" w:rsidRDefault="00FF5ABB" w:rsidP="00FF5ABB">
      <w:pPr>
        <w:pStyle w:val="Textocomentario"/>
      </w:pPr>
      <w:r>
        <w:rPr>
          <w:rStyle w:val="Refdecomentario"/>
        </w:rPr>
        <w:annotationRef/>
      </w:r>
      <w:r>
        <w:t>Generalmente fue un error en la carga del año</w:t>
      </w:r>
    </w:p>
  </w:comment>
  <w:comment w:id="3" w:author="velen pennini" w:date="2021-05-03T20:55:00Z" w:initials="vp">
    <w:p w14:paraId="0DC47599" w14:textId="77777777" w:rsidR="00FF5ABB" w:rsidRDefault="00FF5ABB">
      <w:pPr>
        <w:pStyle w:val="Textocomentario"/>
      </w:pPr>
      <w:r>
        <w:rPr>
          <w:rStyle w:val="Refdecomentario"/>
        </w:rPr>
        <w:annotationRef/>
      </w:r>
      <w:proofErr w:type="gramStart"/>
      <w:r>
        <w:t>Definirlos?</w:t>
      </w:r>
      <w:proofErr w:type="gramEnd"/>
    </w:p>
    <w:p w14:paraId="44E01698" w14:textId="77777777" w:rsidR="00FF5ABB" w:rsidRDefault="00FF5ABB">
      <w:pPr>
        <w:pStyle w:val="Textocomentario"/>
      </w:pPr>
    </w:p>
  </w:comment>
  <w:comment w:id="4" w:author="velen pennini" w:date="2021-05-03T21:44:00Z" w:initials="vp">
    <w:p w14:paraId="63CF9EE8" w14:textId="77777777" w:rsidR="00091BF9" w:rsidRDefault="00091BF9">
      <w:pPr>
        <w:pStyle w:val="Textocomentario"/>
      </w:pPr>
      <w:r>
        <w:rPr>
          <w:rStyle w:val="Refdecomentario"/>
        </w:rPr>
        <w:annotationRef/>
      </w:r>
      <w:r>
        <w:t>Ver sino poner la abreviatura del índice</w:t>
      </w:r>
    </w:p>
  </w:comment>
  <w:comment w:id="5" w:author="velen pennini" w:date="2021-05-04T00:19:00Z" w:initials="vp">
    <w:p w14:paraId="30495FF6" w14:textId="7EFC8F79" w:rsidR="00450930" w:rsidRDefault="00450930">
      <w:pPr>
        <w:pStyle w:val="Textocomentario"/>
      </w:pPr>
      <w:r>
        <w:rPr>
          <w:rStyle w:val="Refdecomentario"/>
        </w:rPr>
        <w:annotationRef/>
      </w:r>
      <w:r>
        <w:t>Esto es lo viejo, ver si poner razón de tasas.</w:t>
      </w:r>
    </w:p>
  </w:comment>
  <w:comment w:id="6" w:author="velen pennini" w:date="2021-05-04T00:46:00Z" w:initials="vp">
    <w:p w14:paraId="1ED9BAA7" w14:textId="7059A32C" w:rsidR="002B7E89" w:rsidRDefault="002B7E89">
      <w:pPr>
        <w:pStyle w:val="Textocomentario"/>
      </w:pPr>
      <w:r>
        <w:rPr>
          <w:rStyle w:val="Refdecomentario"/>
        </w:rPr>
        <w:annotationRef/>
      </w:r>
      <w:r>
        <w:t>Esto hay que actualizar</w:t>
      </w:r>
    </w:p>
  </w:comment>
  <w:comment w:id="7" w:author="velen pennini" w:date="2021-05-04T00:55:00Z" w:initials="vp">
    <w:p w14:paraId="5143F279" w14:textId="1D0BCEA3" w:rsidR="00842BAA" w:rsidRDefault="00842BAA">
      <w:pPr>
        <w:pStyle w:val="Textocomentario"/>
      </w:pPr>
      <w:r>
        <w:rPr>
          <w:rStyle w:val="Refdecomentario"/>
        </w:rPr>
        <w:annotationRef/>
      </w:r>
      <w:r>
        <w:t xml:space="preserve">No entiendo si esto es </w:t>
      </w:r>
      <w:proofErr w:type="spellStart"/>
      <w:r>
        <w:t>rme</w:t>
      </w:r>
      <w:proofErr w:type="spellEnd"/>
    </w:p>
  </w:comment>
  <w:comment w:id="8" w:author="velen pennini" w:date="2021-05-04T00:54:00Z" w:initials="vp">
    <w:p w14:paraId="54D75C64" w14:textId="27EEC373" w:rsidR="002B7E89" w:rsidRDefault="002B7E89">
      <w:pPr>
        <w:pStyle w:val="Textocomentario"/>
      </w:pPr>
      <w:r>
        <w:rPr>
          <w:rStyle w:val="Refdecomentario"/>
        </w:rPr>
        <w:annotationRef/>
      </w:r>
      <w:r>
        <w:t xml:space="preserve">Ver </w:t>
      </w:r>
      <w:r w:rsidR="00842BAA">
        <w:t xml:space="preserve">esto. Yo pondría que no se observó un patrón en relación a las zonas y a los ingresos medios por hogar. Posiblemente la baja letalidad observada en algunos distritos de menores ingresos en la zona Sur se relacione a diferentes estrategias de testeos implementadas en la ciudad según la situación epidemiológica. Un aumento en la capacidad de testeo, permite una mayor detección </w:t>
      </w:r>
      <w:r w:rsidR="00192B6D">
        <w:t xml:space="preserve">de casos y por tanto un descenso en la letalidad. </w:t>
      </w:r>
    </w:p>
  </w:comment>
  <w:comment w:id="9" w:author="velen pennini" w:date="2021-05-04T01:08:00Z" w:initials="vp">
    <w:p w14:paraId="5DF85C93" w14:textId="384AF1D9" w:rsidR="00192B6D" w:rsidRDefault="00192B6D">
      <w:pPr>
        <w:pStyle w:val="Textocomentario"/>
      </w:pPr>
      <w:r>
        <w:rPr>
          <w:rStyle w:val="Refdecomentario"/>
        </w:rPr>
        <w:annotationRef/>
      </w:r>
      <w:r>
        <w:t>Pensaba hacerlo por zona en lugar de por comuna a este cuadro.</w:t>
      </w:r>
    </w:p>
  </w:comment>
  <w:comment w:id="11" w:author="velen pennini" w:date="2021-05-04T01:31:00Z" w:initials="vp">
    <w:p w14:paraId="4E9EBCBA" w14:textId="0E760F2A" w:rsidR="003212B6" w:rsidRDefault="003212B6">
      <w:pPr>
        <w:pStyle w:val="Textocomentario"/>
      </w:pPr>
      <w:r>
        <w:rPr>
          <w:rStyle w:val="Refdecomentario"/>
        </w:rPr>
        <w:annotationRef/>
      </w:r>
      <w:r>
        <w:t>Agregar interpretación a este grafico</w:t>
      </w:r>
    </w:p>
  </w:comment>
  <w:comment w:id="12" w:author="velen pennini" w:date="2021-05-04T01:22:00Z" w:initials="vp">
    <w:p w14:paraId="78BA9B02" w14:textId="78FCCF01" w:rsidR="00A306DB" w:rsidRDefault="00A306DB">
      <w:pPr>
        <w:pStyle w:val="Textocomentario"/>
      </w:pPr>
      <w:r>
        <w:rPr>
          <w:rStyle w:val="Refdecomentario"/>
        </w:rPr>
        <w:annotationRef/>
      </w:r>
      <w:r>
        <w:t>actualizar</w:t>
      </w:r>
    </w:p>
  </w:comment>
  <w:comment w:id="13" w:author="velen pennini" w:date="2021-05-04T01:23:00Z" w:initials="vp">
    <w:p w14:paraId="159E5A2B" w14:textId="2339B702" w:rsidR="00A306DB" w:rsidRDefault="00A306DB">
      <w:pPr>
        <w:pStyle w:val="Textocomentario"/>
      </w:pPr>
      <w:r>
        <w:rPr>
          <w:rStyle w:val="Refdecomentario"/>
        </w:rPr>
        <w:annotationRef/>
      </w:r>
      <w:r>
        <w:t>Actualizar esto con las tablas del periodo completo</w:t>
      </w:r>
    </w:p>
  </w:comment>
  <w:comment w:id="14" w:author="velen pennini" w:date="2021-05-08T22:36:00Z" w:initials="vp">
    <w:p w14:paraId="69470A02" w14:textId="1DEE30F4" w:rsidR="004E6D27" w:rsidRDefault="004E6D27">
      <w:pPr>
        <w:pStyle w:val="Textocomentario"/>
      </w:pPr>
      <w:r>
        <w:rPr>
          <w:rStyle w:val="Refdecomentario"/>
        </w:rPr>
        <w:annotationRef/>
      </w:r>
      <w:r>
        <w:t xml:space="preserve">Esto me da dudas </w:t>
      </w:r>
      <w:proofErr w:type="spellStart"/>
      <w:r>
        <w:t>porq</w:t>
      </w:r>
      <w:proofErr w:type="spellEnd"/>
      <w:r>
        <w:t xml:space="preserve"> si la intervención es poblacional </w:t>
      </w:r>
      <w:proofErr w:type="gramStart"/>
      <w:r>
        <w:t>tu objetivos</w:t>
      </w:r>
      <w:proofErr w:type="gramEnd"/>
      <w:r>
        <w:t xml:space="preserve"> puede </w:t>
      </w:r>
      <w:proofErr w:type="spellStart"/>
      <w:r>
        <w:t>se</w:t>
      </w:r>
      <w:proofErr w:type="spellEnd"/>
      <w:r>
        <w:t xml:space="preserve"> poblacional y no es un limitación,</w:t>
      </w:r>
    </w:p>
  </w:comment>
  <w:comment w:id="15" w:author="velen pennini" w:date="2021-05-08T22:38:00Z" w:initials="vp">
    <w:p w14:paraId="55D8D263" w14:textId="26A08651" w:rsidR="004E6D27" w:rsidRDefault="004E6D27">
      <w:pPr>
        <w:pStyle w:val="Textocomentario"/>
      </w:pPr>
      <w:r>
        <w:rPr>
          <w:rStyle w:val="Refdecomentario"/>
        </w:rPr>
        <w:annotationRef/>
      </w:r>
      <w:r>
        <w:t xml:space="preserve">Ver traducción. Completitud? </w:t>
      </w:r>
      <w:proofErr w:type="gramStart"/>
      <w:r>
        <w:t>Oportunidad?</w:t>
      </w:r>
      <w:proofErr w:type="gramEnd"/>
    </w:p>
  </w:comment>
  <w:comment w:id="16" w:author="velen pennini" w:date="2021-05-08T22:48:00Z" w:initials="vp">
    <w:p w14:paraId="4791CCC3" w14:textId="0B0EA0E8" w:rsidR="004D6B44" w:rsidRDefault="004D6B44">
      <w:pPr>
        <w:pStyle w:val="Textocomentario"/>
      </w:pPr>
      <w:r>
        <w:rPr>
          <w:rStyle w:val="Refdecomentario"/>
        </w:rPr>
        <w:annotationRef/>
      </w:r>
      <w:r>
        <w:t>Yo sacaría este párrafo por una cuestión de espacio, pondría las limitaciones más arriba y terminaría la discusión con el párrafo que termina con la cita 16.</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F0525" w15:done="0"/>
  <w15:commentEx w15:paraId="58851BE8" w15:done="0"/>
  <w15:commentEx w15:paraId="379943A2" w15:done="0"/>
  <w15:commentEx w15:paraId="44E01698" w15:done="0"/>
  <w15:commentEx w15:paraId="63CF9EE8" w15:done="0"/>
  <w15:commentEx w15:paraId="30495FF6" w15:done="0"/>
  <w15:commentEx w15:paraId="1ED9BAA7" w15:done="0"/>
  <w15:commentEx w15:paraId="5143F279" w15:done="0"/>
  <w15:commentEx w15:paraId="54D75C64" w15:done="0"/>
  <w15:commentEx w15:paraId="5DF85C93" w15:done="0"/>
  <w15:commentEx w15:paraId="4E9EBCBA" w15:done="0"/>
  <w15:commentEx w15:paraId="78BA9B02" w15:done="0"/>
  <w15:commentEx w15:paraId="159E5A2B" w15:done="0"/>
  <w15:commentEx w15:paraId="69470A02" w15:done="0"/>
  <w15:commentEx w15:paraId="55D8D263" w15:done="0"/>
  <w15:commentEx w15:paraId="4791CC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len pennini">
    <w15:presenceInfo w15:providerId="Windows Live" w15:userId="3a02ed8b2024e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AE"/>
    <w:rsid w:val="00012ECE"/>
    <w:rsid w:val="00022331"/>
    <w:rsid w:val="00035090"/>
    <w:rsid w:val="000535B4"/>
    <w:rsid w:val="0008236E"/>
    <w:rsid w:val="00091BF9"/>
    <w:rsid w:val="0009618E"/>
    <w:rsid w:val="000B09AA"/>
    <w:rsid w:val="000E556B"/>
    <w:rsid w:val="000F093C"/>
    <w:rsid w:val="00116F68"/>
    <w:rsid w:val="0015734E"/>
    <w:rsid w:val="0016684F"/>
    <w:rsid w:val="00177BF9"/>
    <w:rsid w:val="00183AD3"/>
    <w:rsid w:val="00192B6D"/>
    <w:rsid w:val="001A23A1"/>
    <w:rsid w:val="001B0CCE"/>
    <w:rsid w:val="001C00FB"/>
    <w:rsid w:val="001C1E69"/>
    <w:rsid w:val="001C5E82"/>
    <w:rsid w:val="001C6486"/>
    <w:rsid w:val="001E7090"/>
    <w:rsid w:val="001F579D"/>
    <w:rsid w:val="002031D9"/>
    <w:rsid w:val="0021474A"/>
    <w:rsid w:val="00223AF7"/>
    <w:rsid w:val="00225DD9"/>
    <w:rsid w:val="002338BD"/>
    <w:rsid w:val="00234F1C"/>
    <w:rsid w:val="00245277"/>
    <w:rsid w:val="002476B5"/>
    <w:rsid w:val="00253AD9"/>
    <w:rsid w:val="00256C9D"/>
    <w:rsid w:val="00263576"/>
    <w:rsid w:val="00266441"/>
    <w:rsid w:val="00277F77"/>
    <w:rsid w:val="002837CC"/>
    <w:rsid w:val="00287CB8"/>
    <w:rsid w:val="00296331"/>
    <w:rsid w:val="002B7E89"/>
    <w:rsid w:val="002C273B"/>
    <w:rsid w:val="002C3BF8"/>
    <w:rsid w:val="002D0C55"/>
    <w:rsid w:val="002E77A3"/>
    <w:rsid w:val="00314B54"/>
    <w:rsid w:val="00317155"/>
    <w:rsid w:val="003212B6"/>
    <w:rsid w:val="00346BD3"/>
    <w:rsid w:val="003538C9"/>
    <w:rsid w:val="00384A8F"/>
    <w:rsid w:val="00387843"/>
    <w:rsid w:val="003A09B7"/>
    <w:rsid w:val="003A0EA5"/>
    <w:rsid w:val="003D313E"/>
    <w:rsid w:val="00405EFF"/>
    <w:rsid w:val="00450930"/>
    <w:rsid w:val="00460688"/>
    <w:rsid w:val="0047445C"/>
    <w:rsid w:val="004A0373"/>
    <w:rsid w:val="004A33B9"/>
    <w:rsid w:val="004B5A0A"/>
    <w:rsid w:val="004C307B"/>
    <w:rsid w:val="004D66F7"/>
    <w:rsid w:val="004D6B44"/>
    <w:rsid w:val="004E6D27"/>
    <w:rsid w:val="004F29CE"/>
    <w:rsid w:val="004F5494"/>
    <w:rsid w:val="005067ED"/>
    <w:rsid w:val="00511FDA"/>
    <w:rsid w:val="00530EC0"/>
    <w:rsid w:val="00534EB2"/>
    <w:rsid w:val="005640CF"/>
    <w:rsid w:val="00591312"/>
    <w:rsid w:val="005938C1"/>
    <w:rsid w:val="0059740D"/>
    <w:rsid w:val="00597760"/>
    <w:rsid w:val="005A13EF"/>
    <w:rsid w:val="005C36FF"/>
    <w:rsid w:val="00604D56"/>
    <w:rsid w:val="00613314"/>
    <w:rsid w:val="00620FDF"/>
    <w:rsid w:val="00623FAD"/>
    <w:rsid w:val="00624D5A"/>
    <w:rsid w:val="00625B25"/>
    <w:rsid w:val="0063065E"/>
    <w:rsid w:val="006413AE"/>
    <w:rsid w:val="00642538"/>
    <w:rsid w:val="006667C1"/>
    <w:rsid w:val="006A0045"/>
    <w:rsid w:val="006B4853"/>
    <w:rsid w:val="006D0323"/>
    <w:rsid w:val="006D6DC4"/>
    <w:rsid w:val="006E368F"/>
    <w:rsid w:val="006F5DB8"/>
    <w:rsid w:val="00706CCD"/>
    <w:rsid w:val="00726E11"/>
    <w:rsid w:val="00737A37"/>
    <w:rsid w:val="0076493B"/>
    <w:rsid w:val="007905F6"/>
    <w:rsid w:val="00791F2D"/>
    <w:rsid w:val="007927B0"/>
    <w:rsid w:val="007A69FA"/>
    <w:rsid w:val="007A7EEE"/>
    <w:rsid w:val="008005A0"/>
    <w:rsid w:val="008207A5"/>
    <w:rsid w:val="0083747C"/>
    <w:rsid w:val="00837D3B"/>
    <w:rsid w:val="00842BAA"/>
    <w:rsid w:val="00844E03"/>
    <w:rsid w:val="008533FA"/>
    <w:rsid w:val="0086600D"/>
    <w:rsid w:val="008748ED"/>
    <w:rsid w:val="008A48B8"/>
    <w:rsid w:val="008C2083"/>
    <w:rsid w:val="008D1911"/>
    <w:rsid w:val="008F0A49"/>
    <w:rsid w:val="0094227B"/>
    <w:rsid w:val="009A0571"/>
    <w:rsid w:val="009A11C8"/>
    <w:rsid w:val="009D1D54"/>
    <w:rsid w:val="009D32F7"/>
    <w:rsid w:val="009F3E07"/>
    <w:rsid w:val="00A00385"/>
    <w:rsid w:val="00A306DB"/>
    <w:rsid w:val="00A463E3"/>
    <w:rsid w:val="00A53250"/>
    <w:rsid w:val="00A82D02"/>
    <w:rsid w:val="00A92254"/>
    <w:rsid w:val="00A92FDD"/>
    <w:rsid w:val="00AA2A3F"/>
    <w:rsid w:val="00AA54C9"/>
    <w:rsid w:val="00AA6101"/>
    <w:rsid w:val="00AC5E4E"/>
    <w:rsid w:val="00AD2E4B"/>
    <w:rsid w:val="00AF4DEB"/>
    <w:rsid w:val="00B045C6"/>
    <w:rsid w:val="00B04F32"/>
    <w:rsid w:val="00B066BE"/>
    <w:rsid w:val="00B22020"/>
    <w:rsid w:val="00B3511A"/>
    <w:rsid w:val="00B43A3F"/>
    <w:rsid w:val="00B44245"/>
    <w:rsid w:val="00B53C63"/>
    <w:rsid w:val="00B66534"/>
    <w:rsid w:val="00B66F20"/>
    <w:rsid w:val="00B67051"/>
    <w:rsid w:val="00B76043"/>
    <w:rsid w:val="00B7671A"/>
    <w:rsid w:val="00B831B9"/>
    <w:rsid w:val="00B86978"/>
    <w:rsid w:val="00BA5397"/>
    <w:rsid w:val="00BC62E4"/>
    <w:rsid w:val="00C22846"/>
    <w:rsid w:val="00C27F56"/>
    <w:rsid w:val="00C375D7"/>
    <w:rsid w:val="00C43D50"/>
    <w:rsid w:val="00C62971"/>
    <w:rsid w:val="00C907FC"/>
    <w:rsid w:val="00C96D26"/>
    <w:rsid w:val="00CC68D8"/>
    <w:rsid w:val="00CD6A34"/>
    <w:rsid w:val="00CE656D"/>
    <w:rsid w:val="00CE7BAA"/>
    <w:rsid w:val="00CF09FC"/>
    <w:rsid w:val="00CF34EC"/>
    <w:rsid w:val="00CF6871"/>
    <w:rsid w:val="00D11846"/>
    <w:rsid w:val="00D15315"/>
    <w:rsid w:val="00D262C9"/>
    <w:rsid w:val="00D510C0"/>
    <w:rsid w:val="00D51DF5"/>
    <w:rsid w:val="00D53805"/>
    <w:rsid w:val="00D57FBD"/>
    <w:rsid w:val="00D66AFE"/>
    <w:rsid w:val="00D7685A"/>
    <w:rsid w:val="00D93573"/>
    <w:rsid w:val="00DB620B"/>
    <w:rsid w:val="00DD6046"/>
    <w:rsid w:val="00DE13F5"/>
    <w:rsid w:val="00DE3FAB"/>
    <w:rsid w:val="00DF0D82"/>
    <w:rsid w:val="00DF13D6"/>
    <w:rsid w:val="00E0436D"/>
    <w:rsid w:val="00E17D1B"/>
    <w:rsid w:val="00E334CD"/>
    <w:rsid w:val="00E6015C"/>
    <w:rsid w:val="00E75EC3"/>
    <w:rsid w:val="00E8197C"/>
    <w:rsid w:val="00E822AC"/>
    <w:rsid w:val="00E86067"/>
    <w:rsid w:val="00EB6BA4"/>
    <w:rsid w:val="00EE0CA3"/>
    <w:rsid w:val="00EE64E1"/>
    <w:rsid w:val="00EF1DA0"/>
    <w:rsid w:val="00EF2B6B"/>
    <w:rsid w:val="00EF4196"/>
    <w:rsid w:val="00F138DB"/>
    <w:rsid w:val="00F35E47"/>
    <w:rsid w:val="00F53972"/>
    <w:rsid w:val="00F71983"/>
    <w:rsid w:val="00F952D7"/>
    <w:rsid w:val="00F95E60"/>
    <w:rsid w:val="00FD1227"/>
    <w:rsid w:val="00FD1870"/>
    <w:rsid w:val="00FD22CD"/>
    <w:rsid w:val="00FD4BEA"/>
    <w:rsid w:val="00FD537F"/>
    <w:rsid w:val="00FF1032"/>
    <w:rsid w:val="00FF5A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EE40"/>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 w:type="character" w:styleId="Refdecomentario">
    <w:name w:val="annotation reference"/>
    <w:basedOn w:val="Fuentedeprrafopredeter"/>
    <w:uiPriority w:val="99"/>
    <w:semiHidden/>
    <w:unhideWhenUsed/>
    <w:rsid w:val="00EF4196"/>
    <w:rPr>
      <w:sz w:val="16"/>
      <w:szCs w:val="16"/>
    </w:rPr>
  </w:style>
  <w:style w:type="paragraph" w:styleId="Textocomentario">
    <w:name w:val="annotation text"/>
    <w:basedOn w:val="Normal"/>
    <w:link w:val="TextocomentarioCar"/>
    <w:uiPriority w:val="99"/>
    <w:semiHidden/>
    <w:unhideWhenUsed/>
    <w:rsid w:val="00EF41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4196"/>
    <w:rPr>
      <w:sz w:val="20"/>
      <w:szCs w:val="20"/>
    </w:rPr>
  </w:style>
  <w:style w:type="paragraph" w:styleId="Asuntodelcomentario">
    <w:name w:val="annotation subject"/>
    <w:basedOn w:val="Textocomentario"/>
    <w:next w:val="Textocomentario"/>
    <w:link w:val="AsuntodelcomentarioCar"/>
    <w:uiPriority w:val="99"/>
    <w:semiHidden/>
    <w:unhideWhenUsed/>
    <w:rsid w:val="00EF4196"/>
    <w:rPr>
      <w:b/>
      <w:bCs/>
    </w:rPr>
  </w:style>
  <w:style w:type="character" w:customStyle="1" w:styleId="AsuntodelcomentarioCar">
    <w:name w:val="Asunto del comentario Car"/>
    <w:basedOn w:val="TextocomentarioCar"/>
    <w:link w:val="Asuntodelcomentario"/>
    <w:uiPriority w:val="99"/>
    <w:semiHidden/>
    <w:rsid w:val="00EF41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55864197">
      <w:bodyDiv w:val="1"/>
      <w:marLeft w:val="0"/>
      <w:marRight w:val="0"/>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264732586">
      <w:bodyDiv w:val="1"/>
      <w:marLeft w:val="0"/>
      <w:marRight w:val="0"/>
      <w:marTop w:val="0"/>
      <w:marBottom w:val="0"/>
      <w:divBdr>
        <w:top w:val="none" w:sz="0" w:space="0" w:color="auto"/>
        <w:left w:val="none" w:sz="0" w:space="0" w:color="auto"/>
        <w:bottom w:val="none" w:sz="0" w:space="0" w:color="auto"/>
        <w:right w:val="none" w:sz="0" w:space="0" w:color="auto"/>
      </w:divBdr>
    </w:div>
    <w:div w:id="293099494">
      <w:bodyDiv w:val="1"/>
      <w:marLeft w:val="0"/>
      <w:marRight w:val="0"/>
      <w:marTop w:val="0"/>
      <w:marBottom w:val="0"/>
      <w:divBdr>
        <w:top w:val="none" w:sz="0" w:space="0" w:color="auto"/>
        <w:left w:val="none" w:sz="0" w:space="0" w:color="auto"/>
        <w:bottom w:val="none" w:sz="0" w:space="0" w:color="auto"/>
        <w:right w:val="none" w:sz="0" w:space="0" w:color="auto"/>
      </w:divBdr>
    </w:div>
    <w:div w:id="335810894">
      <w:bodyDiv w:val="1"/>
      <w:marLeft w:val="0"/>
      <w:marRight w:val="0"/>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498471681">
      <w:bodyDiv w:val="1"/>
      <w:marLeft w:val="0"/>
      <w:marRight w:val="0"/>
      <w:marTop w:val="0"/>
      <w:marBottom w:val="0"/>
      <w:divBdr>
        <w:top w:val="none" w:sz="0" w:space="0" w:color="auto"/>
        <w:left w:val="none" w:sz="0" w:space="0" w:color="auto"/>
        <w:bottom w:val="none" w:sz="0" w:space="0" w:color="auto"/>
        <w:right w:val="none" w:sz="0" w:space="0" w:color="auto"/>
      </w:divBdr>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63878143">
      <w:bodyDiv w:val="1"/>
      <w:marLeft w:val="0"/>
      <w:marRight w:val="0"/>
      <w:marTop w:val="0"/>
      <w:marBottom w:val="0"/>
      <w:divBdr>
        <w:top w:val="none" w:sz="0" w:space="0" w:color="auto"/>
        <w:left w:val="none" w:sz="0" w:space="0" w:color="auto"/>
        <w:bottom w:val="none" w:sz="0" w:space="0" w:color="auto"/>
        <w:right w:val="none" w:sz="0" w:space="0" w:color="auto"/>
      </w:divBdr>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585924028">
      <w:bodyDiv w:val="1"/>
      <w:marLeft w:val="0"/>
      <w:marRight w:val="0"/>
      <w:marTop w:val="0"/>
      <w:marBottom w:val="0"/>
      <w:divBdr>
        <w:top w:val="none" w:sz="0" w:space="0" w:color="auto"/>
        <w:left w:val="none" w:sz="0" w:space="0" w:color="auto"/>
        <w:bottom w:val="none" w:sz="0" w:space="0" w:color="auto"/>
        <w:right w:val="none" w:sz="0" w:space="0" w:color="auto"/>
      </w:divBdr>
    </w:div>
    <w:div w:id="608317937">
      <w:bodyDiv w:val="1"/>
      <w:marLeft w:val="0"/>
      <w:marRight w:val="0"/>
      <w:marTop w:val="0"/>
      <w:marBottom w:val="0"/>
      <w:divBdr>
        <w:top w:val="none" w:sz="0" w:space="0" w:color="auto"/>
        <w:left w:val="none" w:sz="0" w:space="0" w:color="auto"/>
        <w:bottom w:val="none" w:sz="0" w:space="0" w:color="auto"/>
        <w:right w:val="none" w:sz="0" w:space="0" w:color="auto"/>
      </w:divBdr>
    </w:div>
    <w:div w:id="616105063">
      <w:marLeft w:val="0"/>
      <w:marRight w:val="136"/>
      <w:marTop w:val="0"/>
      <w:marBottom w:val="0"/>
      <w:divBdr>
        <w:top w:val="none" w:sz="0" w:space="0" w:color="auto"/>
        <w:left w:val="none" w:sz="0" w:space="0" w:color="auto"/>
        <w:bottom w:val="none" w:sz="0" w:space="0" w:color="auto"/>
        <w:right w:val="none" w:sz="0" w:space="0" w:color="auto"/>
      </w:divBdr>
    </w:div>
    <w:div w:id="641663128">
      <w:bodyDiv w:val="1"/>
      <w:marLeft w:val="0"/>
      <w:marRight w:val="0"/>
      <w:marTop w:val="0"/>
      <w:marBottom w:val="0"/>
      <w:divBdr>
        <w:top w:val="none" w:sz="0" w:space="0" w:color="auto"/>
        <w:left w:val="none" w:sz="0" w:space="0" w:color="auto"/>
        <w:bottom w:val="none" w:sz="0" w:space="0" w:color="auto"/>
        <w:right w:val="none" w:sz="0" w:space="0" w:color="auto"/>
      </w:divBdr>
    </w:div>
    <w:div w:id="642202592">
      <w:bodyDiv w:val="1"/>
      <w:marLeft w:val="0"/>
      <w:marRight w:val="0"/>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3778684">
      <w:bodyDiv w:val="1"/>
      <w:marLeft w:val="0"/>
      <w:marRight w:val="0"/>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896625502">
      <w:bodyDiv w:val="1"/>
      <w:marLeft w:val="0"/>
      <w:marRight w:val="0"/>
      <w:marTop w:val="0"/>
      <w:marBottom w:val="0"/>
      <w:divBdr>
        <w:top w:val="none" w:sz="0" w:space="0" w:color="auto"/>
        <w:left w:val="none" w:sz="0" w:space="0" w:color="auto"/>
        <w:bottom w:val="none" w:sz="0" w:space="0" w:color="auto"/>
        <w:right w:val="none" w:sz="0" w:space="0" w:color="auto"/>
      </w:divBdr>
    </w:div>
    <w:div w:id="906450494">
      <w:marLeft w:val="0"/>
      <w:marRight w:val="136"/>
      <w:marTop w:val="0"/>
      <w:marBottom w:val="0"/>
      <w:divBdr>
        <w:top w:val="none" w:sz="0" w:space="0" w:color="auto"/>
        <w:left w:val="none" w:sz="0" w:space="0" w:color="auto"/>
        <w:bottom w:val="none" w:sz="0" w:space="0" w:color="auto"/>
        <w:right w:val="none" w:sz="0" w:space="0" w:color="auto"/>
      </w:divBdr>
    </w:div>
    <w:div w:id="962537503">
      <w:bodyDiv w:val="1"/>
      <w:marLeft w:val="0"/>
      <w:marRight w:val="0"/>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025592285">
      <w:bodyDiv w:val="1"/>
      <w:marLeft w:val="0"/>
      <w:marRight w:val="0"/>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2643863">
      <w:bodyDiv w:val="1"/>
      <w:marLeft w:val="0"/>
      <w:marRight w:val="0"/>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14569023">
      <w:bodyDiv w:val="1"/>
      <w:marLeft w:val="0"/>
      <w:marRight w:val="0"/>
      <w:marTop w:val="0"/>
      <w:marBottom w:val="0"/>
      <w:divBdr>
        <w:top w:val="none" w:sz="0" w:space="0" w:color="auto"/>
        <w:left w:val="none" w:sz="0" w:space="0" w:color="auto"/>
        <w:bottom w:val="none" w:sz="0" w:space="0" w:color="auto"/>
        <w:right w:val="none" w:sz="0" w:space="0" w:color="auto"/>
      </w:divBdr>
    </w:div>
    <w:div w:id="1515340444">
      <w:bodyDiv w:val="1"/>
      <w:marLeft w:val="0"/>
      <w:marRight w:val="0"/>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55849596">
      <w:bodyDiv w:val="1"/>
      <w:marLeft w:val="0"/>
      <w:marRight w:val="0"/>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02977661">
      <w:bodyDiv w:val="1"/>
      <w:marLeft w:val="0"/>
      <w:marRight w:val="0"/>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20426813">
      <w:bodyDiv w:val="1"/>
      <w:marLeft w:val="0"/>
      <w:marRight w:val="0"/>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078742422">
      <w:bodyDiv w:val="1"/>
      <w:marLeft w:val="0"/>
      <w:marRight w:val="0"/>
      <w:marTop w:val="0"/>
      <w:marBottom w:val="0"/>
      <w:divBdr>
        <w:top w:val="none" w:sz="0" w:space="0" w:color="auto"/>
        <w:left w:val="none" w:sz="0" w:space="0" w:color="auto"/>
        <w:bottom w:val="none" w:sz="0" w:space="0" w:color="auto"/>
        <w:right w:val="none" w:sz="0" w:space="0" w:color="auto"/>
      </w:divBdr>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26503-987C-4782-BF36-B710A246A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17</Pages>
  <Words>11531</Words>
  <Characters>63421</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velen pennini</cp:lastModifiedBy>
  <cp:revision>5</cp:revision>
  <dcterms:created xsi:type="dcterms:W3CDTF">2021-05-04T04:32:00Z</dcterms:created>
  <dcterms:modified xsi:type="dcterms:W3CDTF">2021-05-09T02:15:00Z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