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2470A38"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Los primeros casos de SARS-CoV-2 en Argentina se registraron en la Ciudad Autónoma de Buenos Aires (CABA) a principios de marzo de 2020 en turistas que retornaban de ciudades europeas que en ese momento presentaban altos niveles de incidencia de la enfermedad. Rápidamente, el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4A93DFEE" w14:textId="568D9801" w:rsidR="0015734E"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p>
    <w:p w14:paraId="110D4099"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602874D" w14:textId="77777777" w:rsidR="00597760" w:rsidRPr="00245277" w:rsidRDefault="00597760"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Fue determinante, entre otras medidas, el cierre de las escuelas, el cierre de las fronteras, la limitación de la circulación inter e </w:t>
      </w:r>
      <w:proofErr w:type="spellStart"/>
      <w:r w:rsidRPr="00245277">
        <w:rPr>
          <w:rFonts w:ascii="Times New Roman" w:hAnsi="Times New Roman" w:cs="Times New Roman"/>
          <w:sz w:val="24"/>
          <w:szCs w:val="24"/>
        </w:rPr>
        <w:t>intra</w:t>
      </w:r>
      <w:proofErr w:type="spellEnd"/>
      <w:r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  </w:t>
      </w:r>
    </w:p>
    <w:p w14:paraId="4A0D66A5" w14:textId="77777777" w:rsidR="00460688" w:rsidRPr="00245277" w:rsidRDefault="00460688" w:rsidP="00AD2E4B">
      <w:pPr>
        <w:spacing w:before="240" w:line="480" w:lineRule="auto"/>
        <w:contextualSpacing/>
        <w:jc w:val="both"/>
        <w:rPr>
          <w:rFonts w:ascii="Times New Roman" w:hAnsi="Times New Roman" w:cs="Times New Roman"/>
          <w:sz w:val="24"/>
          <w:szCs w:val="24"/>
        </w:rPr>
      </w:pPr>
    </w:p>
    <w:p w14:paraId="7F27A154" w14:textId="4473E614" w:rsidR="0047445C"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w:t>
      </w:r>
      <w:r w:rsidRPr="00245277">
        <w:rPr>
          <w:rFonts w:ascii="Times New Roman" w:hAnsi="Times New Roman" w:cs="Times New Roman"/>
          <w:sz w:val="24"/>
          <w:szCs w:val="24"/>
        </w:rPr>
        <w:lastRenderedPageBreak/>
        <w:t xml:space="preserve">respuestas a las demandas de la nueva situación, dada la elevada </w:t>
      </w:r>
      <w:r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Pr="00245277">
        <w:rPr>
          <w:rFonts w:ascii="Times New Roman" w:hAnsi="Times New Roman" w:cs="Times New Roman"/>
          <w:sz w:val="24"/>
          <w:szCs w:val="24"/>
          <w:highlight w:val="yellow"/>
        </w:rPr>
        <w:t xml:space="preserve"> potencial demanda de recursos que requerirá su atención.</w:t>
      </w:r>
      <w:r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77777777"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 xml:space="preserve">y adopta las </w:t>
      </w:r>
      <w:r w:rsidRPr="00245277">
        <w:rPr>
          <w:rFonts w:ascii="Times New Roman" w:hAnsi="Times New Roman" w:cs="Times New Roman"/>
          <w:sz w:val="24"/>
          <w:szCs w:val="24"/>
          <w:highlight w:val="yellow"/>
        </w:rPr>
        <w:t>regulaciones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xml:space="preserve">, la movilidad en lugares de trabajo se redujo en </w:t>
      </w:r>
      <w:proofErr w:type="spellStart"/>
      <w:r w:rsidR="00E334CD" w:rsidRPr="00245277">
        <w:rPr>
          <w:rFonts w:ascii="Times New Roman" w:hAnsi="Times New Roman" w:cs="Times New Roman"/>
          <w:sz w:val="24"/>
          <w:szCs w:val="24"/>
        </w:rPr>
        <w:t>mas</w:t>
      </w:r>
      <w:proofErr w:type="spellEnd"/>
      <w:r w:rsidR="00E334CD" w:rsidRPr="00245277">
        <w:rPr>
          <w:rFonts w:ascii="Times New Roman" w:hAnsi="Times New Roman" w:cs="Times New Roman"/>
          <w:sz w:val="24"/>
          <w:szCs w:val="24"/>
        </w:rPr>
        <w:t xml:space="preserve"> de 80% comparado con el valor de refe</w:t>
      </w:r>
      <w:r w:rsidR="00E334CD" w:rsidRPr="00245277">
        <w:rPr>
          <w:rFonts w:ascii="Times New Roman" w:hAnsi="Times New Roman" w:cs="Times New Roman"/>
          <w:sz w:val="24"/>
          <w:szCs w:val="24"/>
          <w:highlight w:val="yellow"/>
        </w:rPr>
        <w:t>rencia “normal”.</w:t>
      </w:r>
      <w:r w:rsidR="00E334CD" w:rsidRPr="00245277">
        <w:rPr>
          <w:rFonts w:ascii="Times New Roman" w:hAnsi="Times New Roman" w:cs="Times New Roman"/>
          <w:sz w:val="24"/>
          <w:szCs w:val="24"/>
        </w:rPr>
        <w:t xml:space="preserve"> </w:t>
      </w:r>
      <w:r w:rsidR="00E75EC3" w:rsidRPr="00245277">
        <w:rPr>
          <w:rFonts w:ascii="Times New Roman" w:hAnsi="Times New Roman" w:cs="Times New Roman"/>
          <w:sz w:val="24"/>
          <w:szCs w:val="24"/>
        </w:rPr>
        <w:t xml:space="preserve"> </w:t>
      </w:r>
      <w:r w:rsidR="00EF1DA0" w:rsidRPr="00245277">
        <w:rPr>
          <w:rFonts w:ascii="Times New Roman" w:hAnsi="Times New Roman" w:cs="Times New Roman"/>
          <w:sz w:val="24"/>
          <w:szCs w:val="24"/>
        </w:rPr>
        <w:tab/>
      </w:r>
      <w:r w:rsidR="00E334CD" w:rsidRPr="00245277">
        <w:rPr>
          <w:rFonts w:ascii="Times New Roman" w:hAnsi="Times New Roman" w:cs="Times New Roman"/>
          <w:sz w:val="24"/>
          <w:szCs w:val="24"/>
        </w:rPr>
        <w:t xml:space="preserve">Lo mismo sucedió con la movilidad en parques y en el tráfico vehicular. </w:t>
      </w:r>
    </w:p>
    <w:p w14:paraId="74F4BF8F" w14:textId="77AAFB43"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debemos destacar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3075646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FD22CD" w:rsidRPr="00245277">
        <w:rPr>
          <w:rFonts w:ascii="Times New Roman" w:hAnsi="Times New Roman" w:cs="Times New Roman"/>
          <w:sz w:val="24"/>
          <w:szCs w:val="24"/>
          <w:highlight w:val="yellow"/>
        </w:rPr>
        <w:t>zonas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6C65C34A" w14:textId="076CCC2B" w:rsidR="00D15315" w:rsidRDefault="00FD22CD" w:rsidP="00AD2E4B">
      <w:pPr>
        <w:spacing w:before="240" w:line="480" w:lineRule="auto"/>
        <w:contextualSpacing/>
        <w:jc w:val="both"/>
        <w:rPr>
          <w:rFonts w:ascii="Times New Roman" w:hAnsi="Times New Roman" w:cs="Times New Roman"/>
          <w:sz w:val="24"/>
          <w:szCs w:val="24"/>
          <w:lang w:val="en-US"/>
        </w:rPr>
      </w:pPr>
      <w:r w:rsidRPr="00245277">
        <w:rPr>
          <w:rFonts w:ascii="Times New Roman" w:hAnsi="Times New Roman" w:cs="Times New Roman"/>
          <w:sz w:val="24"/>
          <w:szCs w:val="24"/>
        </w:rPr>
        <w:t xml:space="preserve">Hay estudios que describieron el impacto diferencial de la pandemia en distintas metrópolis del mundo, coincidiendo en que en áreas de población con mayor vulnerabilidad social el impacto es </w:t>
      </w:r>
      <w:r w:rsidR="002D0C55" w:rsidRPr="00245277">
        <w:rPr>
          <w:rFonts w:ascii="Times New Roman" w:hAnsi="Times New Roman" w:cs="Times New Roman"/>
          <w:sz w:val="24"/>
          <w:szCs w:val="24"/>
        </w:rPr>
        <w:t>más</w:t>
      </w:r>
      <w:r w:rsidRPr="00245277">
        <w:rPr>
          <w:rFonts w:ascii="Times New Roman" w:hAnsi="Times New Roman" w:cs="Times New Roman"/>
          <w:sz w:val="24"/>
          <w:szCs w:val="24"/>
        </w:rPr>
        <w:t xml:space="preserve"> dañino. Van </w:t>
      </w:r>
      <w:proofErr w:type="spellStart"/>
      <w:r w:rsidRPr="00245277">
        <w:rPr>
          <w:rFonts w:ascii="Times New Roman" w:hAnsi="Times New Roman" w:cs="Times New Roman"/>
          <w:sz w:val="24"/>
          <w:szCs w:val="24"/>
        </w:rPr>
        <w:t>Dorm</w:t>
      </w:r>
      <w:proofErr w:type="spellEnd"/>
      <w:r w:rsidRPr="00245277">
        <w:rPr>
          <w:rFonts w:ascii="Times New Roman" w:hAnsi="Times New Roman" w:cs="Times New Roman"/>
          <w:sz w:val="24"/>
          <w:szCs w:val="24"/>
        </w:rPr>
        <w:t xml:space="preserve">, </w:t>
      </w:r>
      <w:proofErr w:type="spellStart"/>
      <w:r w:rsidRPr="00245277">
        <w:rPr>
          <w:rFonts w:ascii="Times New Roman" w:hAnsi="Times New Roman" w:cs="Times New Roman"/>
          <w:sz w:val="24"/>
          <w:szCs w:val="24"/>
        </w:rPr>
        <w:t>Cooney</w:t>
      </w:r>
      <w:proofErr w:type="spellEnd"/>
      <w:r w:rsidRPr="00245277">
        <w:rPr>
          <w:rFonts w:ascii="Times New Roman" w:hAnsi="Times New Roman" w:cs="Times New Roman"/>
          <w:sz w:val="24"/>
          <w:szCs w:val="24"/>
        </w:rPr>
        <w:t xml:space="preserve"> y Sabin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(9)</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acuerdan que en ciudades como Nueva York, los llamados “trabajadores esenciales” </w:t>
      </w:r>
      <w:r w:rsidR="002D0C55" w:rsidRPr="00245277">
        <w:rPr>
          <w:rFonts w:ascii="Times New Roman" w:hAnsi="Times New Roman" w:cs="Times New Roman"/>
          <w:sz w:val="24"/>
          <w:szCs w:val="24"/>
        </w:rPr>
        <w:t>constituyen</w:t>
      </w:r>
      <w:r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co</w:t>
      </w:r>
      <w:r w:rsidR="003212B6">
        <w:rPr>
          <w:rFonts w:ascii="Times New Roman" w:hAnsi="Times New Roman" w:cs="Times New Roman"/>
          <w:sz w:val="24"/>
          <w:szCs w:val="24"/>
        </w:rPr>
        <w:t xml:space="preserve">mo </w:t>
      </w:r>
      <w:r w:rsidR="003212B6">
        <w:rPr>
          <w:rFonts w:ascii="Times New Roman" w:hAnsi="Times New Roman" w:cs="Times New Roman"/>
          <w:sz w:val="24"/>
          <w:szCs w:val="24"/>
        </w:rPr>
        <w:lastRenderedPageBreak/>
        <w:t xml:space="preserve">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predominaba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un </w:t>
      </w:r>
      <w:proofErr w:type="gramStart"/>
      <w:r w:rsidR="003538C9" w:rsidRPr="00245277">
        <w:rPr>
          <w:rFonts w:ascii="Times New Roman" w:hAnsi="Times New Roman" w:cs="Times New Roman"/>
          <w:sz w:val="24"/>
          <w:szCs w:val="24"/>
        </w:rPr>
        <w:t>posible factores</w:t>
      </w:r>
      <w:proofErr w:type="gramEnd"/>
      <w:r w:rsidR="003538C9" w:rsidRPr="00245277">
        <w:rPr>
          <w:rFonts w:ascii="Times New Roman" w:hAnsi="Times New Roman" w:cs="Times New Roman"/>
          <w:sz w:val="24"/>
          <w:szCs w:val="24"/>
        </w:rPr>
        <w:t xml:space="preserve"> que expliquen este fenómeno.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commentRangeStart w:id="0"/>
      <w:r w:rsidR="00245277" w:rsidRPr="00245277">
        <w:rPr>
          <w:rFonts w:ascii="Times New Roman" w:hAnsi="Times New Roman" w:cs="Times New Roman"/>
          <w:sz w:val="24"/>
          <w:szCs w:val="24"/>
        </w:rPr>
        <w:t xml:space="preserve">necesitadas </w:t>
      </w:r>
      <w:commentRangeEnd w:id="0"/>
      <w:r w:rsidR="00245277">
        <w:rPr>
          <w:rStyle w:val="Refdecomentario"/>
        </w:rPr>
        <w:commentReference w:id="0"/>
      </w:r>
      <w:r w:rsidR="00245277" w:rsidRPr="00245277">
        <w:rPr>
          <w:rFonts w:ascii="Times New Roman" w:hAnsi="Times New Roman" w:cs="Times New Roman"/>
          <w:sz w:val="24"/>
          <w:szCs w:val="24"/>
        </w:rPr>
        <w:t xml:space="preserve">fue el doble que en el 10% más ricas. </w:t>
      </w:r>
      <w:commentRangeStart w:id="1"/>
      <w:proofErr w:type="spellStart"/>
      <w:r w:rsidR="00245277" w:rsidRPr="00511FDA">
        <w:rPr>
          <w:rFonts w:ascii="Times New Roman" w:hAnsi="Times New Roman" w:cs="Times New Roman"/>
          <w:sz w:val="24"/>
          <w:szCs w:val="24"/>
          <w:lang w:val="en-US"/>
        </w:rPr>
        <w:t>Además</w:t>
      </w:r>
      <w:proofErr w:type="spellEnd"/>
      <w:r w:rsidR="00245277" w:rsidRPr="00511FDA">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Moreover, for mortality from COVID-19 the inequality between these two extremes was even greater for overall mortality.</w:t>
      </w:r>
      <w:commentRangeEnd w:id="1"/>
      <w:r w:rsidR="00511FDA">
        <w:rPr>
          <w:rStyle w:val="Refdecomentario"/>
        </w:rPr>
        <w:commentReference w:id="1"/>
      </w:r>
      <w:r w:rsidR="00511FDA">
        <w:rPr>
          <w:rFonts w:ascii="Times New Roman" w:hAnsi="Times New Roman" w:cs="Times New Roman"/>
          <w:sz w:val="24"/>
          <w:szCs w:val="24"/>
          <w:lang w:val="en-US"/>
        </w:rPr>
        <w:t xml:space="preserve"> </w:t>
      </w:r>
    </w:p>
    <w:p w14:paraId="1701CEEB" w14:textId="77777777"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77777777"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periodistas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77777777"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proofErr w:type="gramStart"/>
      <w:r w:rsidRPr="002338BD">
        <w:rPr>
          <w:rFonts w:ascii="Times New Roman" w:hAnsi="Times New Roman" w:cs="Times New Roman"/>
          <w:sz w:val="24"/>
          <w:szCs w:val="24"/>
        </w:rPr>
        <w:t>Las estructuras demográficas más jóvenes generalmente se asocian con poblaciones con altos niveles de privación y</w:t>
      </w:r>
      <w:r>
        <w:rPr>
          <w:rFonts w:ascii="Times New Roman" w:hAnsi="Times New Roman" w:cs="Times New Roman"/>
          <w:sz w:val="24"/>
          <w:szCs w:val="24"/>
        </w:rPr>
        <w:t xml:space="preserve"> </w:t>
      </w:r>
      <w:r w:rsidRPr="002338BD">
        <w:rPr>
          <w:rFonts w:ascii="Times New Roman" w:hAnsi="Times New Roman" w:cs="Times New Roman"/>
          <w:sz w:val="24"/>
          <w:szCs w:val="24"/>
          <w:highlight w:val="yellow"/>
        </w:rPr>
        <w:t>enmascaramiento??</w:t>
      </w:r>
      <w:proofErr w:type="gramEnd"/>
      <w:r w:rsidRPr="002338BD">
        <w:rPr>
          <w:rFonts w:ascii="Times New Roman" w:hAnsi="Times New Roman" w:cs="Times New Roman"/>
          <w:sz w:val="24"/>
          <w:szCs w:val="24"/>
          <w:highlight w:val="yellow"/>
        </w:rPr>
        <w:t>,</w:t>
      </w:r>
      <w:r w:rsidRPr="002338BD">
        <w:rPr>
          <w:rFonts w:ascii="Times New Roman" w:hAnsi="Times New Roman" w:cs="Times New Roman"/>
          <w:sz w:val="24"/>
          <w:szCs w:val="24"/>
        </w:rPr>
        <w:t xml:space="preserve"> </w:t>
      </w:r>
      <w:r w:rsidRPr="008F0A49">
        <w:rPr>
          <w:rFonts w:ascii="Times New Roman" w:hAnsi="Times New Roman" w:cs="Times New Roman"/>
          <w:sz w:val="24"/>
          <w:szCs w:val="24"/>
          <w:highlight w:val="yellow"/>
        </w:rPr>
        <w:t>debido al efecto de confusión de la distribución por edades en la población, el nivel de daño por mortalidad, lo que determina bajas tasas brutas de mortalidad, por ejemplo.</w:t>
      </w:r>
    </w:p>
    <w:p w14:paraId="682D3F5A" w14:textId="77777777" w:rsidR="00AD2E4B" w:rsidRPr="002338BD" w:rsidRDefault="00AD2E4B" w:rsidP="00AD2E4B">
      <w:pPr>
        <w:spacing w:before="240" w:line="480" w:lineRule="auto"/>
        <w:contextualSpacing/>
        <w:jc w:val="both"/>
        <w:rPr>
          <w:rFonts w:ascii="Times New Roman" w:hAnsi="Times New Roman" w:cs="Times New Roman"/>
          <w:sz w:val="24"/>
          <w:szCs w:val="24"/>
        </w:rPr>
      </w:pPr>
    </w:p>
    <w:p w14:paraId="2AE4515D" w14:textId="73612598"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Pr="008F0A49">
        <w:rPr>
          <w:rFonts w:ascii="Times New Roman" w:hAnsi="Times New Roman" w:cs="Times New Roman"/>
          <w:sz w:val="24"/>
          <w:szCs w:val="24"/>
          <w:highlight w:val="yellow"/>
        </w:rPr>
        <w:t xml:space="preserve">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que la componen.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5DD3EB6C" w:rsidR="00AD2E4B" w:rsidRPr="00E8197C" w:rsidRDefault="001C00FB" w:rsidP="00AD2E4B">
      <w:pPr>
        <w:spacing w:before="24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METHODS</w:t>
      </w:r>
    </w:p>
    <w:p w14:paraId="0138EDE4" w14:textId="5BE89890"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de la CABA. El estudio poblacional estuvo constituido por los 15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proofErr w:type="spellStart"/>
      <w:r w:rsidR="0009618E">
        <w:rPr>
          <w:rFonts w:ascii="Times New Roman" w:hAnsi="Times New Roman" w:cs="Times New Roman"/>
          <w:sz w:val="24"/>
          <w:szCs w:val="24"/>
        </w:rPr>
        <w:t>lso</w:t>
      </w:r>
      <w:proofErr w:type="spellEnd"/>
      <w:r w:rsidRPr="008F0A49">
        <w:rPr>
          <w:rFonts w:ascii="Times New Roman" w:hAnsi="Times New Roman" w:cs="Times New Roman"/>
          <w:sz w:val="24"/>
          <w:szCs w:val="24"/>
        </w:rPr>
        <w:t xml:space="preserve"> que se divide la CABA. </w:t>
      </w:r>
    </w:p>
    <w:p w14:paraId="3ECFA7BE" w14:textId="3AA1793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distritos y zonas. La división de la ciudad en distritos responde a una división </w:t>
      </w:r>
      <w:proofErr w:type="spellStart"/>
      <w:r w:rsidRPr="008F0A49">
        <w:rPr>
          <w:rFonts w:ascii="Times New Roman" w:hAnsi="Times New Roman" w:cs="Times New Roman"/>
          <w:sz w:val="24"/>
          <w:szCs w:val="24"/>
        </w:rPr>
        <w:t>interjurisdiccional</w:t>
      </w:r>
      <w:proofErr w:type="spellEnd"/>
      <w:r w:rsidRPr="008F0A49">
        <w:rPr>
          <w:rFonts w:ascii="Times New Roman" w:hAnsi="Times New Roman" w:cs="Times New Roman"/>
          <w:sz w:val="24"/>
          <w:szCs w:val="24"/>
        </w:rPr>
        <w:t xml:space="preserve"> y político-administrativa del territorio. Las zonas representan agrupaciones de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los distritos 4, 8, 9 y 10; la zona central está formada por los distritos 1, 3, 4, 5, 6, 7, 11, 12 y 15; y la zona norte está formada por los distritos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5EE86817"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representaban a las comunas con ingresos promedio inferiores al promedio de la ciudad y viceversa. </w:t>
      </w:r>
      <w:r w:rsidRPr="0021474A">
        <w:rPr>
          <w:rFonts w:ascii="Times New Roman" w:hAnsi="Times New Roman" w:cs="Times New Roman"/>
          <w:sz w:val="24"/>
          <w:szCs w:val="24"/>
        </w:rPr>
        <w:t>Se denominó "índice de ingreso estandarizado" (IIE).</w:t>
      </w:r>
    </w:p>
    <w:p w14:paraId="697AB5FC" w14:textId="77777777"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30/04/2021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de la Salud de Argentina. Se excluyeron del análisis los casos que no tenían información sobre la edad o la comuna de residencia. Así, se rechazaron 11079 de los 339652 casos totales (3,3%). Entre </w:t>
      </w:r>
      <w:r w:rsidRPr="0021474A">
        <w:rPr>
          <w:rFonts w:ascii="Times New Roman" w:hAnsi="Times New Roman" w:cs="Times New Roman"/>
          <w:sz w:val="24"/>
          <w:szCs w:val="24"/>
        </w:rPr>
        <w:lastRenderedPageBreak/>
        <w:t>los casos confirmados, los registros descartados representaron el 2,7%.</w:t>
      </w:r>
      <w:r w:rsidR="00FF5ABB">
        <w:rPr>
          <w:rFonts w:ascii="Times New Roman" w:hAnsi="Times New Roman" w:cs="Times New Roman"/>
          <w:sz w:val="24"/>
          <w:szCs w:val="24"/>
        </w:rPr>
        <w:t xml:space="preserve"> Además, se hallaron 14 casos con error de carga en la fecha de clasificación </w:t>
      </w:r>
      <w:commentRangeStart w:id="2"/>
      <w:r w:rsidR="00FF5ABB">
        <w:rPr>
          <w:rFonts w:ascii="Times New Roman" w:hAnsi="Times New Roman" w:cs="Times New Roman"/>
          <w:sz w:val="24"/>
          <w:szCs w:val="24"/>
        </w:rPr>
        <w:t xml:space="preserve">(fecha previa al primer caso notificado en la ciudad) </w:t>
      </w:r>
      <w:commentRangeEnd w:id="2"/>
      <w:r w:rsidR="00FF5ABB">
        <w:rPr>
          <w:rStyle w:val="Refdecomentario"/>
        </w:rPr>
        <w:commentReference w:id="2"/>
      </w:r>
      <w:r w:rsidR="00FF5ABB">
        <w:rPr>
          <w:rFonts w:ascii="Times New Roman" w:hAnsi="Times New Roman" w:cs="Times New Roman"/>
          <w:sz w:val="24"/>
          <w:szCs w:val="24"/>
        </w:rPr>
        <w:t xml:space="preserve">a los que se les asignó la fecha de apertura ya que es una variable automática del sistema de notificación.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2B28974E"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commentRangeStart w:id="3"/>
      <w:r w:rsidRPr="00FF5ABB">
        <w:rPr>
          <w:rFonts w:ascii="Times New Roman" w:hAnsi="Times New Roman" w:cs="Times New Roman"/>
          <w:sz w:val="24"/>
          <w:szCs w:val="24"/>
        </w:rPr>
        <w:t>la tasa de letalidad y el porcentaje de positividad</w:t>
      </w:r>
      <w:commentRangeEnd w:id="3"/>
      <w:r>
        <w:rPr>
          <w:rStyle w:val="Refdecomentario"/>
        </w:rPr>
        <w:commentReference w:id="3"/>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3F694A0F" w14:textId="77777777"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54B09AD" w14:textId="7777777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abril 2021)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Pr>
          <w:rFonts w:ascii="Times New Roman" w:hAnsi="Times New Roman" w:cs="Times New Roman"/>
          <w:sz w:val="24"/>
          <w:szCs w:val="24"/>
        </w:rPr>
        <w:t xml:space="preserve"> periodos definidos a partir de los cambios en la incidencia semanal 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w:t>
      </w:r>
      <w:r>
        <w:rPr>
          <w:rFonts w:ascii="Times New Roman" w:hAnsi="Times New Roman" w:cs="Times New Roman"/>
          <w:sz w:val="24"/>
          <w:szCs w:val="24"/>
        </w:rPr>
        <w:lastRenderedPageBreak/>
        <w:t xml:space="preserve">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3EE6FC" w14:textId="77777777" w:rsidR="00177BF9"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 El repositorio ofrece la posibilidad de actualizar los cálculos automáticamente a la información más actualizada disponible en línea.</w:t>
      </w:r>
    </w:p>
    <w:p w14:paraId="54301AFA" w14:textId="77777777" w:rsidR="00AD2E4B" w:rsidRPr="00346BD3" w:rsidRDefault="00AD2E4B" w:rsidP="00AD2E4B">
      <w:pPr>
        <w:spacing w:before="240" w:line="480" w:lineRule="auto"/>
        <w:contextualSpacing/>
        <w:jc w:val="both"/>
        <w:rPr>
          <w:rFonts w:ascii="Times New Roman" w:hAnsi="Times New Roman" w:cs="Times New Roman"/>
          <w:sz w:val="24"/>
          <w:szCs w:val="24"/>
        </w:rPr>
      </w:pP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RESULTS</w:t>
      </w:r>
    </w:p>
    <w:p w14:paraId="774F1E8C" w14:textId="24170FDC"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t>A 30 de</w:t>
      </w:r>
      <w:r w:rsidR="004E6D27">
        <w:rPr>
          <w:rFonts w:ascii="Times New Roman" w:hAnsi="Times New Roman" w:cs="Times New Roman"/>
          <w:sz w:val="24"/>
          <w:szCs w:val="24"/>
        </w:rPr>
        <w:t xml:space="preserve"> </w:t>
      </w:r>
      <w:proofErr w:type="gramStart"/>
      <w:r w:rsidR="004E6D27">
        <w:rPr>
          <w:rFonts w:ascii="Times New Roman" w:hAnsi="Times New Roman" w:cs="Times New Roman"/>
          <w:sz w:val="24"/>
          <w:szCs w:val="24"/>
        </w:rPr>
        <w:t>Abril</w:t>
      </w:r>
      <w:proofErr w:type="gramEnd"/>
      <w:r w:rsidR="004E6D27">
        <w:rPr>
          <w:rFonts w:ascii="Times New Roman" w:hAnsi="Times New Roman" w:cs="Times New Roman"/>
          <w:sz w:val="24"/>
          <w:szCs w:val="24"/>
        </w:rPr>
        <w:t xml:space="preserve"> de 2021</w:t>
      </w:r>
      <w:r w:rsidRPr="00AD2E4B">
        <w:rPr>
          <w:rFonts w:ascii="Times New Roman" w:hAnsi="Times New Roman" w:cs="Times New Roman"/>
          <w:sz w:val="24"/>
          <w:szCs w:val="24"/>
        </w:rPr>
        <w:t xml:space="preserve">,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w:t>
      </w:r>
      <w:r w:rsidR="004E6D27">
        <w:rPr>
          <w:rFonts w:ascii="Times New Roman" w:hAnsi="Times New Roman" w:cs="Times New Roman"/>
          <w:sz w:val="24"/>
          <w:szCs w:val="24"/>
        </w:rPr>
        <w:t xml:space="preserve"> en la CABA</w:t>
      </w:r>
      <w:r w:rsidRPr="00AD2E4B">
        <w:rPr>
          <w:rFonts w:ascii="Times New Roman" w:hAnsi="Times New Roman" w:cs="Times New Roman"/>
          <w:sz w:val="24"/>
          <w:szCs w:val="24"/>
        </w:rPr>
        <w:t xml:space="preserve">.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 (</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4"/>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4"/>
      <w:r w:rsidR="00091BF9">
        <w:rPr>
          <w:rStyle w:val="Refdecomentario"/>
        </w:rPr>
        <w:commentReference w:id="4"/>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lastRenderedPageBreak/>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5"/>
      <w:r w:rsidRPr="00450930">
        <w:rPr>
          <w:rFonts w:ascii="Times New Roman" w:hAnsi="Times New Roman" w:cs="Times New Roman"/>
          <w:sz w:val="24"/>
          <w:szCs w:val="24"/>
          <w:highlight w:val="cyan"/>
        </w:rPr>
        <w:t>Los dos grupos de edad más desiguales son los de 20 a 24 años, donde la incidencia de la comuna más desfavorecida representa 2,7 veces la de la mejor situación (RR = 2,7, IC95% 2,4 - 3,0) y el grupo de 25 a 29 años, donde el primero representa 2,3 veces el segundo (RR = 2,3, IC95% 2,1 - 2,5).</w:t>
      </w:r>
      <w:commentRangeEnd w:id="5"/>
      <w:r>
        <w:rPr>
          <w:rStyle w:val="Refdecomentario"/>
        </w:rPr>
        <w:commentReference w:id="5"/>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6"/>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6"/>
      <w:r w:rsidR="002B7E89">
        <w:rPr>
          <w:rStyle w:val="Refdecomentario"/>
        </w:rPr>
        <w:commentReference w:id="6"/>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 xml:space="preserve">promedio.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4F1652ED" w14:textId="77777777" w:rsidR="00842BAA"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 xml:space="preserve">En relación a la mortalidad, el porcentaje varió entre </w:t>
      </w:r>
      <w:commentRangeStart w:id="7"/>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w:t>
      </w:r>
      <w:commentRangeEnd w:id="7"/>
      <w:r w:rsidR="00842BAA">
        <w:rPr>
          <w:rStyle w:val="Refdecomentario"/>
        </w:rPr>
        <w:commentReference w:id="7"/>
      </w:r>
      <w:r w:rsidRPr="002B7E89">
        <w:rPr>
          <w:rFonts w:ascii="Times New Roman" w:hAnsi="Times New Roman" w:cs="Times New Roman"/>
          <w:sz w:val="24"/>
          <w:szCs w:val="24"/>
        </w:rPr>
        <w:t xml:space="preserve">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commentRangeStart w:id="8"/>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8"/>
      <w:r>
        <w:rPr>
          <w:rStyle w:val="Refdecomentario"/>
        </w:rPr>
        <w:commentReference w:id="8"/>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564CDE48" w:rsidR="00384A8F" w:rsidRPr="002B7E89" w:rsidRDefault="00192B6D"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lastRenderedPageBreak/>
        <w:t>Al analizar la letalidad por</w:t>
      </w:r>
      <w:r w:rsidR="002B7E89" w:rsidRPr="002B7E89">
        <w:rPr>
          <w:rFonts w:ascii="Times New Roman" w:hAnsi="Times New Roman" w:cs="Times New Roman"/>
          <w:sz w:val="24"/>
          <w:szCs w:val="24"/>
        </w:rPr>
        <w:t xml:space="preserve"> grupos de edad, como se muestra en la Figura X. </w:t>
      </w:r>
      <w:r>
        <w:rPr>
          <w:rFonts w:ascii="Times New Roman" w:hAnsi="Times New Roman" w:cs="Times New Roman"/>
          <w:sz w:val="24"/>
          <w:szCs w:val="24"/>
        </w:rPr>
        <w:t xml:space="preserve"> en </w:t>
      </w:r>
      <w:r w:rsidR="002B7E89" w:rsidRPr="002B7E89">
        <w:rPr>
          <w:rFonts w:ascii="Times New Roman" w:hAnsi="Times New Roman" w:cs="Times New Roman"/>
          <w:sz w:val="24"/>
          <w:szCs w:val="24"/>
        </w:rPr>
        <w:t>los grupos de edad mayores de 60 años, se encontró que la concentración en las comunas más desfavorecidas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9"/>
      <w:r w:rsidRPr="007905F6">
        <w:rPr>
          <w:rFonts w:ascii="Times New Roman" w:hAnsi="Times New Roman" w:cs="Times New Roman"/>
          <w:b/>
          <w:sz w:val="24"/>
          <w:szCs w:val="24"/>
        </w:rPr>
        <w:t>AGREGAR INDEX</w:t>
      </w:r>
      <w:commentRangeEnd w:id="9"/>
      <w:r w:rsidR="00192B6D">
        <w:rPr>
          <w:rStyle w:val="Refdecomentario"/>
        </w:rPr>
        <w:commentReference w:id="9"/>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2DDB4E84" w:rsidR="00EE64E1" w:rsidRDefault="00EE64E1" w:rsidP="0016684F">
      <w:pPr>
        <w:spacing w:after="0" w:line="480" w:lineRule="auto"/>
        <w:contextualSpacing/>
        <w:jc w:val="both"/>
        <w:rPr>
          <w:rFonts w:ascii="Times New Roman" w:hAnsi="Times New Roman" w:cs="Times New Roman"/>
          <w:sz w:val="24"/>
          <w:szCs w:val="24"/>
        </w:rPr>
      </w:pPr>
    </w:p>
    <w:p w14:paraId="515FF8C4" w14:textId="55E5E4C6" w:rsidR="00DF5264" w:rsidRDefault="00DF5264" w:rsidP="0016684F">
      <w:pPr>
        <w:spacing w:after="0" w:line="480" w:lineRule="auto"/>
        <w:contextualSpacing/>
        <w:jc w:val="both"/>
        <w:rPr>
          <w:rFonts w:ascii="Times New Roman" w:hAnsi="Times New Roman" w:cs="Times New Roman"/>
          <w:sz w:val="24"/>
          <w:szCs w:val="24"/>
        </w:rPr>
      </w:pPr>
      <w:commentRangeStart w:id="10"/>
      <w:r>
        <w:rPr>
          <w:noProof/>
          <w:lang w:eastAsia="es-AR"/>
        </w:rPr>
        <w:lastRenderedPageBreak/>
        <w:drawing>
          <wp:inline distT="0" distB="0" distL="0" distR="0" wp14:anchorId="6F865678" wp14:editId="0729AB3B">
            <wp:extent cx="5971540" cy="19977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997710"/>
                    </a:xfrm>
                    <a:prstGeom prst="rect">
                      <a:avLst/>
                    </a:prstGeom>
                  </pic:spPr>
                </pic:pic>
              </a:graphicData>
            </a:graphic>
          </wp:inline>
        </w:drawing>
      </w:r>
      <w:commentRangeEnd w:id="10"/>
      <w:r>
        <w:rPr>
          <w:rStyle w:val="Refdecomentario"/>
        </w:rPr>
        <w:commentReference w:id="10"/>
      </w:r>
      <w:bookmarkStart w:id="11" w:name="_GoBack"/>
      <w:bookmarkEnd w:id="11"/>
    </w:p>
    <w:p w14:paraId="05275AD8" w14:textId="51D4BD33" w:rsidR="00DF5264" w:rsidRDefault="00DF5264" w:rsidP="0016684F">
      <w:pPr>
        <w:spacing w:after="0" w:line="480" w:lineRule="auto"/>
        <w:contextualSpacing/>
        <w:jc w:val="both"/>
        <w:rPr>
          <w:rFonts w:ascii="Times New Roman" w:hAnsi="Times New Roman" w:cs="Times New Roman"/>
          <w:sz w:val="24"/>
          <w:szCs w:val="24"/>
        </w:rPr>
      </w:pPr>
    </w:p>
    <w:p w14:paraId="696B3839" w14:textId="77777777" w:rsidR="00DF5264" w:rsidRDefault="00DF5264" w:rsidP="0016684F">
      <w:pPr>
        <w:spacing w:after="0" w:line="480" w:lineRule="auto"/>
        <w:contextualSpacing/>
        <w:jc w:val="both"/>
        <w:rPr>
          <w:rFonts w:ascii="Times New Roman" w:hAnsi="Times New Roman" w:cs="Times New Roman"/>
          <w:sz w:val="24"/>
          <w:szCs w:val="24"/>
        </w:rPr>
      </w:pPr>
    </w:p>
    <w:p w14:paraId="70C27C9E" w14:textId="6FF472AA"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de la zona sur 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372E970C" w:rsidR="003212B6" w:rsidRDefault="003212B6" w:rsidP="0016684F">
      <w:pPr>
        <w:spacing w:after="0" w:line="480" w:lineRule="auto"/>
        <w:contextualSpacing/>
        <w:jc w:val="both"/>
        <w:rPr>
          <w:rFonts w:ascii="Times New Roman" w:hAnsi="Times New Roman" w:cs="Times New Roman"/>
          <w:sz w:val="24"/>
          <w:szCs w:val="24"/>
        </w:rPr>
      </w:pPr>
      <w:commentRangeStart w:id="12"/>
      <w:r>
        <w:rPr>
          <w:noProof/>
          <w:lang w:eastAsia="es-AR"/>
        </w:rPr>
        <w:lastRenderedPageBreak/>
        <w:drawing>
          <wp:inline distT="0" distB="0" distL="0" distR="0" wp14:anchorId="11656CF9" wp14:editId="594BDE5F">
            <wp:extent cx="5971540" cy="1990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1990725"/>
                    </a:xfrm>
                    <a:prstGeom prst="rect">
                      <a:avLst/>
                    </a:prstGeom>
                  </pic:spPr>
                </pic:pic>
              </a:graphicData>
            </a:graphic>
          </wp:inline>
        </w:drawing>
      </w:r>
      <w:commentRangeEnd w:id="12"/>
      <w:r>
        <w:rPr>
          <w:rStyle w:val="Refdecomentario"/>
        </w:rPr>
        <w:commentReference w:id="12"/>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la fallecidos. </w:t>
      </w:r>
      <w:commentRangeStart w:id="13"/>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w:t>
      </w:r>
      <w:r w:rsidRPr="00A306DB">
        <w:rPr>
          <w:rFonts w:ascii="Times New Roman" w:hAnsi="Times New Roman" w:cs="Times New Roman"/>
          <w:sz w:val="24"/>
          <w:szCs w:val="24"/>
        </w:rPr>
        <w:lastRenderedPageBreak/>
        <w:t>de edad 70-74 y 65-69 respectivamente,</w:t>
      </w:r>
      <w:commentRangeEnd w:id="13"/>
      <w:r>
        <w:rPr>
          <w:rStyle w:val="Refdecomentario"/>
        </w:rPr>
        <w:commentReference w:id="13"/>
      </w:r>
      <w:r w:rsidRPr="00A306DB">
        <w:rPr>
          <w:rFonts w:ascii="Times New Roman" w:hAnsi="Times New Roman" w:cs="Times New Roman"/>
          <w:sz w:val="24"/>
          <w:szCs w:val="24"/>
        </w:rPr>
        <w:t xml:space="preserve"> </w:t>
      </w:r>
      <w:commentRangeStart w:id="14"/>
      <w:r w:rsidRPr="00A306DB">
        <w:rPr>
          <w:rFonts w:ascii="Times New Roman" w:hAnsi="Times New Roman" w:cs="Times New Roman"/>
          <w:sz w:val="24"/>
          <w:szCs w:val="24"/>
        </w:rPr>
        <w:t>mientras que esta acumulación se esperaba en el grupo de edad 75-59. Para otros distritos, el valor mediano estuvo en el mismo grupo de edad para las muertes observadas y esperadas, excepto para los distritos 10 (zona sur), 12 (zona central), 14 (zona 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4"/>
      <w:r>
        <w:rPr>
          <w:rStyle w:val="Refdecomentario"/>
        </w:rPr>
        <w:commentReference w:id="14"/>
      </w:r>
    </w:p>
    <w:p w14:paraId="40276C02" w14:textId="2C0F6182" w:rsidR="00E8197C" w:rsidRPr="00E8197C" w:rsidRDefault="004C307B" w:rsidP="003A09B7">
      <w:pPr>
        <w:spacing w:after="0" w:line="480" w:lineRule="auto"/>
        <w:contextualSpacing/>
        <w:jc w:val="both"/>
        <w:rPr>
          <w:rFonts w:ascii="Times New Roman" w:hAnsi="Times New Roman" w:cs="Times New Roman"/>
          <w:b/>
          <w:sz w:val="24"/>
          <w:szCs w:val="24"/>
        </w:rPr>
      </w:pPr>
      <w:r w:rsidRPr="004A33B9">
        <w:rPr>
          <w:rFonts w:ascii="Times New Roman" w:hAnsi="Times New Roman" w:cs="Times New Roman"/>
          <w:b/>
          <w:sz w:val="24"/>
          <w:szCs w:val="24"/>
        </w:rPr>
        <w:t>DISCUSSION</w:t>
      </w:r>
    </w:p>
    <w:p w14:paraId="65F3CB0A" w14:textId="6A59AE15"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describir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por grupo etario, a partir de los grupos mayores de 50 años, se vuelve a observar el mismo patrón de distribución de la incidencia, con valores más altos en las comunas de la zona sur y más bajos en las de la zona norte. </w:t>
      </w:r>
    </w:p>
    <w:p w14:paraId="1C90F280" w14:textId="0CD6BB15"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Además, los hallazgos son con</w:t>
      </w:r>
      <w:r w:rsidR="004A33B9">
        <w:rPr>
          <w:rFonts w:ascii="Times New Roman" w:hAnsi="Times New Roman" w:cs="Times New Roman"/>
          <w:sz w:val="24"/>
          <w:szCs w:val="24"/>
        </w:rPr>
        <w:t>sistentes</w:t>
      </w:r>
      <w:r w:rsidRPr="00604D56">
        <w:rPr>
          <w:rFonts w:ascii="Times New Roman" w:hAnsi="Times New Roman" w:cs="Times New Roman"/>
          <w:sz w:val="24"/>
          <w:szCs w:val="24"/>
        </w:rPr>
        <w:t xml:space="preserve">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w:t>
      </w:r>
      <w:r w:rsidRPr="00604D56">
        <w:rPr>
          <w:rFonts w:ascii="Times New Roman" w:hAnsi="Times New Roman" w:cs="Times New Roman"/>
          <w:sz w:val="24"/>
          <w:szCs w:val="24"/>
        </w:rPr>
        <w:lastRenderedPageBreak/>
        <w:t xml:space="preserve">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0DDA0E2A"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Es posible que este contexto sea el resultado de un elemento estructurante como las condiciones materiales de existencia que, como se </w:t>
      </w:r>
      <w:r w:rsidR="004A33B9">
        <w:rPr>
          <w:rFonts w:ascii="Times New Roman" w:hAnsi="Times New Roman" w:cs="Times New Roman"/>
          <w:sz w:val="24"/>
          <w:szCs w:val="24"/>
        </w:rPr>
        <w:t>mostró</w:t>
      </w:r>
      <w:r w:rsidRPr="00256C9D">
        <w:rPr>
          <w:rFonts w:ascii="Times New Roman" w:hAnsi="Times New Roman" w:cs="Times New Roman"/>
          <w:sz w:val="24"/>
          <w:szCs w:val="24"/>
        </w:rPr>
        <w:t xml:space="preserve"> en este estudio, se mostraron asociadas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4A33B9">
        <w:rPr>
          <w:rFonts w:ascii="Times New Roman" w:hAnsi="Times New Roman" w:cs="Times New Roman"/>
          <w:sz w:val="24"/>
          <w:szCs w:val="24"/>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7E5E9BB3" w14:textId="6D682E93" w:rsidR="00C96D26"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Un hallazgo notable es la mayor incidencia de COVID-19 entre los adultos jóvenes en las comunas del sur de CABA</w:t>
      </w:r>
      <w:r w:rsidR="004A33B9">
        <w:rPr>
          <w:rFonts w:ascii="Times New Roman" w:hAnsi="Times New Roman" w:cs="Times New Roman"/>
          <w:sz w:val="24"/>
          <w:szCs w:val="24"/>
        </w:rPr>
        <w:t xml:space="preserve"> en el primer sub periodo estudiado</w:t>
      </w:r>
      <w:r w:rsidRPr="00256C9D">
        <w:rPr>
          <w:rFonts w:ascii="Times New Roman" w:hAnsi="Times New Roman" w:cs="Times New Roman"/>
          <w:sz w:val="24"/>
          <w:szCs w:val="24"/>
        </w:rPr>
        <w:t xml:space="preserve">.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limpieza, enfermería). </w:t>
      </w:r>
      <w:r w:rsidR="004A33B9">
        <w:rPr>
          <w:rFonts w:ascii="Times New Roman" w:hAnsi="Times New Roman" w:cs="Times New Roman"/>
          <w:sz w:val="24"/>
          <w:szCs w:val="24"/>
        </w:rPr>
        <w:t>Por otro lado, el cambio de patrón en la incidencia</w:t>
      </w:r>
      <w:r w:rsidR="006D0323">
        <w:rPr>
          <w:rFonts w:ascii="Times New Roman" w:hAnsi="Times New Roman" w:cs="Times New Roman"/>
          <w:sz w:val="24"/>
          <w:szCs w:val="24"/>
        </w:rPr>
        <w:t xml:space="preserve"> entre comunas y grupos de edad</w:t>
      </w:r>
      <w:r w:rsidR="004A33B9">
        <w:rPr>
          <w:rFonts w:ascii="Times New Roman" w:hAnsi="Times New Roman" w:cs="Times New Roman"/>
          <w:sz w:val="24"/>
          <w:szCs w:val="24"/>
        </w:rPr>
        <w:t xml:space="preserve"> observado en el segundo sub </w:t>
      </w:r>
      <w:r w:rsidR="006D0323">
        <w:rPr>
          <w:rFonts w:ascii="Times New Roman" w:hAnsi="Times New Roman" w:cs="Times New Roman"/>
          <w:sz w:val="24"/>
          <w:szCs w:val="24"/>
        </w:rPr>
        <w:t xml:space="preserve">periodo, </w:t>
      </w:r>
      <w:r w:rsidR="00C96D26">
        <w:rPr>
          <w:rFonts w:ascii="Times New Roman" w:hAnsi="Times New Roman" w:cs="Times New Roman"/>
          <w:sz w:val="24"/>
          <w:szCs w:val="24"/>
        </w:rPr>
        <w:t>se puede relacionas</w:t>
      </w:r>
      <w:r w:rsidR="004A33B9">
        <w:rPr>
          <w:rFonts w:ascii="Times New Roman" w:hAnsi="Times New Roman" w:cs="Times New Roman"/>
          <w:sz w:val="24"/>
          <w:szCs w:val="24"/>
        </w:rPr>
        <w:t xml:space="preserve"> </w:t>
      </w:r>
      <w:r w:rsidR="00C96D26">
        <w:rPr>
          <w:rFonts w:ascii="Times New Roman" w:hAnsi="Times New Roman" w:cs="Times New Roman"/>
          <w:sz w:val="24"/>
          <w:szCs w:val="24"/>
        </w:rPr>
        <w:t>a la</w:t>
      </w:r>
      <w:r w:rsidR="006D0323">
        <w:rPr>
          <w:rFonts w:ascii="Times New Roman" w:hAnsi="Times New Roman" w:cs="Times New Roman"/>
          <w:sz w:val="24"/>
          <w:szCs w:val="24"/>
        </w:rPr>
        <w:t xml:space="preserve"> mayor exposición de sectores que en el primer</w:t>
      </w:r>
      <w:r w:rsidR="00C96D26">
        <w:rPr>
          <w:rFonts w:ascii="Times New Roman" w:hAnsi="Times New Roman" w:cs="Times New Roman"/>
          <w:sz w:val="24"/>
          <w:szCs w:val="24"/>
        </w:rPr>
        <w:t xml:space="preserve"> sub</w:t>
      </w:r>
      <w:r w:rsidR="006D0323">
        <w:rPr>
          <w:rFonts w:ascii="Times New Roman" w:hAnsi="Times New Roman" w:cs="Times New Roman"/>
          <w:sz w:val="24"/>
          <w:szCs w:val="24"/>
        </w:rPr>
        <w:t xml:space="preserve"> periodo de la pandemia habían estado menos expuestos</w:t>
      </w:r>
      <w:r w:rsidR="00C96D26">
        <w:rPr>
          <w:rFonts w:ascii="Times New Roman" w:hAnsi="Times New Roman" w:cs="Times New Roman"/>
          <w:sz w:val="24"/>
          <w:szCs w:val="24"/>
        </w:rPr>
        <w:t xml:space="preserve"> debido a la obligatoriedad del</w:t>
      </w:r>
      <w:r w:rsidR="006D0323">
        <w:rPr>
          <w:rFonts w:ascii="Times New Roman" w:hAnsi="Times New Roman" w:cs="Times New Roman"/>
          <w:sz w:val="24"/>
          <w:szCs w:val="24"/>
        </w:rPr>
        <w:t xml:space="preserve"> trabajo remoto y las clases no presenciales implementadas por </w:t>
      </w:r>
      <w:r w:rsidR="00C96D26">
        <w:rPr>
          <w:rFonts w:ascii="Times New Roman" w:hAnsi="Times New Roman" w:cs="Times New Roman"/>
          <w:sz w:val="24"/>
          <w:szCs w:val="24"/>
        </w:rPr>
        <w:t>decreto</w:t>
      </w:r>
      <w:r w:rsidR="006D0323">
        <w:rPr>
          <w:rFonts w:ascii="Times New Roman" w:hAnsi="Times New Roman" w:cs="Times New Roman"/>
          <w:sz w:val="24"/>
          <w:szCs w:val="24"/>
        </w:rPr>
        <w:t xml:space="preserve">. Además, el segundo sub periodo coincide con la salida de vacaciones de verano (enero y febrero) mayormente a otras provincias del país y los testeos obligatorios para turistas que implementó </w:t>
      </w:r>
      <w:r w:rsidR="00C96D26">
        <w:rPr>
          <w:rFonts w:ascii="Times New Roman" w:hAnsi="Times New Roman" w:cs="Times New Roman"/>
          <w:sz w:val="24"/>
          <w:szCs w:val="24"/>
        </w:rPr>
        <w:t xml:space="preserve">la CABA al ingresar a la ciudad, aumentando la exposición sobre todo en jóvenes y población económicamente activa, pero </w:t>
      </w:r>
      <w:proofErr w:type="gramStart"/>
      <w:r w:rsidR="00C96D26">
        <w:rPr>
          <w:rFonts w:ascii="Times New Roman" w:hAnsi="Times New Roman" w:cs="Times New Roman"/>
          <w:sz w:val="24"/>
          <w:szCs w:val="24"/>
        </w:rPr>
        <w:t>también  aumentando</w:t>
      </w:r>
      <w:proofErr w:type="gramEnd"/>
      <w:r w:rsidR="00C96D26">
        <w:rPr>
          <w:rFonts w:ascii="Times New Roman" w:hAnsi="Times New Roman" w:cs="Times New Roman"/>
          <w:sz w:val="24"/>
          <w:szCs w:val="24"/>
        </w:rPr>
        <w:t xml:space="preserve"> la sensibilidad de los testeos.</w:t>
      </w:r>
    </w:p>
    <w:p w14:paraId="18D7F4B3" w14:textId="77777777" w:rsidR="00C96D26" w:rsidRDefault="00C96D26" w:rsidP="001C6486">
      <w:pPr>
        <w:spacing w:after="0" w:line="480" w:lineRule="auto"/>
        <w:contextualSpacing/>
        <w:jc w:val="both"/>
        <w:rPr>
          <w:rFonts w:ascii="Times New Roman" w:hAnsi="Times New Roman" w:cs="Times New Roman"/>
          <w:sz w:val="24"/>
          <w:szCs w:val="24"/>
        </w:rPr>
      </w:pPr>
    </w:p>
    <w:p w14:paraId="062FC73A" w14:textId="7037936B" w:rsidR="004A33B9" w:rsidRDefault="006D0323" w:rsidP="001C64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Se destaca que este cambio de patrón en la incidencia, siendo la más alta en la zona de </w:t>
      </w:r>
      <w:r w:rsidR="00C96D26">
        <w:rPr>
          <w:rFonts w:ascii="Times New Roman" w:hAnsi="Times New Roman" w:cs="Times New Roman"/>
          <w:sz w:val="24"/>
          <w:szCs w:val="24"/>
        </w:rPr>
        <w:t>mayores recursos</w:t>
      </w:r>
      <w:r>
        <w:rPr>
          <w:rFonts w:ascii="Times New Roman" w:hAnsi="Times New Roman" w:cs="Times New Roman"/>
          <w:sz w:val="24"/>
          <w:szCs w:val="24"/>
        </w:rPr>
        <w:t>, no se observó en la mortalidad para el mismo periodo</w:t>
      </w:r>
      <w:r w:rsidR="00C96D26">
        <w:rPr>
          <w:rFonts w:ascii="Times New Roman" w:hAnsi="Times New Roman" w:cs="Times New Roman"/>
          <w:sz w:val="24"/>
          <w:szCs w:val="24"/>
        </w:rPr>
        <w:t>. Es decir que, en el segundo sub periodo, las mayores tasas de incidencia se asociar</w:t>
      </w:r>
      <w:r w:rsidR="004D6B44">
        <w:rPr>
          <w:rFonts w:ascii="Times New Roman" w:hAnsi="Times New Roman" w:cs="Times New Roman"/>
          <w:sz w:val="24"/>
          <w:szCs w:val="24"/>
        </w:rPr>
        <w:t xml:space="preserve">on con </w:t>
      </w:r>
      <w:proofErr w:type="spellStart"/>
      <w:r w:rsidR="004D6B44">
        <w:rPr>
          <w:rFonts w:ascii="Times New Roman" w:hAnsi="Times New Roman" w:cs="Times New Roman"/>
          <w:sz w:val="24"/>
          <w:szCs w:val="24"/>
        </w:rPr>
        <w:t>indicadocadores</w:t>
      </w:r>
      <w:proofErr w:type="spellEnd"/>
      <w:r w:rsidR="004D6B44">
        <w:rPr>
          <w:rFonts w:ascii="Times New Roman" w:hAnsi="Times New Roman" w:cs="Times New Roman"/>
          <w:sz w:val="24"/>
          <w:szCs w:val="24"/>
        </w:rPr>
        <w:t xml:space="preserve"> de mortalidad ajustados por edad </w:t>
      </w:r>
      <w:proofErr w:type="spellStart"/>
      <w:r w:rsidR="004D6B44">
        <w:rPr>
          <w:rFonts w:ascii="Times New Roman" w:hAnsi="Times New Roman" w:cs="Times New Roman"/>
          <w:sz w:val="24"/>
          <w:szCs w:val="24"/>
        </w:rPr>
        <w:t>mas</w:t>
      </w:r>
      <w:proofErr w:type="spellEnd"/>
      <w:r w:rsidR="004D6B44">
        <w:rPr>
          <w:rFonts w:ascii="Times New Roman" w:hAnsi="Times New Roman" w:cs="Times New Roman"/>
          <w:sz w:val="24"/>
          <w:szCs w:val="24"/>
        </w:rPr>
        <w:t xml:space="preserve"> bajos</w:t>
      </w:r>
      <w:r w:rsidR="00C96D26">
        <w:rPr>
          <w:rFonts w:ascii="Times New Roman" w:hAnsi="Times New Roman" w:cs="Times New Roman"/>
          <w:sz w:val="24"/>
          <w:szCs w:val="24"/>
        </w:rPr>
        <w:t>. Esta situación agudiza aún más la</w:t>
      </w:r>
      <w:r w:rsidR="004D6B44">
        <w:rPr>
          <w:rFonts w:ascii="Times New Roman" w:hAnsi="Times New Roman" w:cs="Times New Roman"/>
          <w:sz w:val="24"/>
          <w:szCs w:val="24"/>
        </w:rPr>
        <w:t xml:space="preserve"> situación de</w:t>
      </w:r>
      <w:r w:rsidR="00C96D26">
        <w:rPr>
          <w:rFonts w:ascii="Times New Roman" w:hAnsi="Times New Roman" w:cs="Times New Roman"/>
          <w:sz w:val="24"/>
          <w:szCs w:val="24"/>
        </w:rPr>
        <w:t xml:space="preserve"> vulnerabilidad </w:t>
      </w:r>
      <w:r w:rsidR="004D6B44">
        <w:rPr>
          <w:rFonts w:ascii="Times New Roman" w:hAnsi="Times New Roman" w:cs="Times New Roman"/>
          <w:sz w:val="24"/>
          <w:szCs w:val="24"/>
        </w:rPr>
        <w:t>observada en</w:t>
      </w:r>
      <w:r w:rsidR="00C96D26">
        <w:rPr>
          <w:rFonts w:ascii="Times New Roman" w:hAnsi="Times New Roman" w:cs="Times New Roman"/>
          <w:sz w:val="24"/>
          <w:szCs w:val="24"/>
        </w:rPr>
        <w:t xml:space="preserve"> las comunas con peores condiciones socioeconómicas, ya que nos conduce a pensar en dos </w:t>
      </w:r>
      <w:r w:rsidR="004D6B44">
        <w:rPr>
          <w:rFonts w:ascii="Times New Roman" w:hAnsi="Times New Roman" w:cs="Times New Roman"/>
          <w:sz w:val="24"/>
          <w:szCs w:val="24"/>
        </w:rPr>
        <w:t xml:space="preserve">posibles hipótesis: Hubo </w:t>
      </w:r>
      <w:r w:rsidR="00C96D26">
        <w:rPr>
          <w:rFonts w:ascii="Times New Roman" w:hAnsi="Times New Roman" w:cs="Times New Roman"/>
          <w:sz w:val="24"/>
          <w:szCs w:val="24"/>
        </w:rPr>
        <w:t>más casos que los detectados en la zona sur en el segundo sub periodo, en comparación con el primero, o efectivamente, aun con una incidencia menor, el riesgo de morir en la zona sur fue mayor que en la zona norte</w:t>
      </w:r>
      <w:r w:rsidR="004D6B44">
        <w:rPr>
          <w:rFonts w:ascii="Times New Roman" w:hAnsi="Times New Roman" w:cs="Times New Roman"/>
          <w:sz w:val="24"/>
          <w:szCs w:val="24"/>
        </w:rPr>
        <w:t xml:space="preserve"> en el segundo sub periodo</w:t>
      </w:r>
      <w:r w:rsidR="00C96D26">
        <w:rPr>
          <w:rFonts w:ascii="Times New Roman" w:hAnsi="Times New Roman" w:cs="Times New Roman"/>
          <w:sz w:val="24"/>
          <w:szCs w:val="24"/>
        </w:rPr>
        <w:t xml:space="preserve">. </w:t>
      </w:r>
    </w:p>
    <w:p w14:paraId="3B18E96B" w14:textId="77777777" w:rsidR="004A33B9" w:rsidRDefault="004A33B9" w:rsidP="001C6486">
      <w:pPr>
        <w:spacing w:after="0" w:line="480" w:lineRule="auto"/>
        <w:contextualSpacing/>
        <w:jc w:val="both"/>
        <w:rPr>
          <w:rFonts w:ascii="Times New Roman" w:hAnsi="Times New Roman" w:cs="Times New Roman"/>
          <w:sz w:val="24"/>
          <w:szCs w:val="24"/>
        </w:rPr>
      </w:pPr>
    </w:p>
    <w:p w14:paraId="6143EFA5" w14:textId="71FABC5B"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4A33B9">
        <w:rPr>
          <w:rFonts w:ascii="Times New Roman" w:hAnsi="Times New Roman" w:cs="Times New Roman"/>
          <w:sz w:val="24"/>
          <w:szCs w:val="24"/>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sidRPr="004A33B9">
        <w:rPr>
          <w:rFonts w:ascii="Times New Roman" w:hAnsi="Times New Roman" w:cs="Times New Roman"/>
          <w:sz w:val="24"/>
          <w:szCs w:val="24"/>
          <w:lang w:val="en-US"/>
        </w:rPr>
        <w:t>.</w:t>
      </w:r>
    </w:p>
    <w:p w14:paraId="3EC678AD" w14:textId="21ACC986" w:rsidR="00E822AC" w:rsidRDefault="004E6D27" w:rsidP="001C6486">
      <w:pPr>
        <w:spacing w:after="0" w:line="480" w:lineRule="auto"/>
        <w:contextualSpacing/>
        <w:jc w:val="both"/>
        <w:rPr>
          <w:rFonts w:ascii="Times New Roman" w:hAnsi="Times New Roman" w:cs="Times New Roman"/>
          <w:sz w:val="24"/>
          <w:szCs w:val="24"/>
        </w:rPr>
      </w:pPr>
      <w:r w:rsidRPr="004E6D27">
        <w:rPr>
          <w:rFonts w:ascii="Times New Roman" w:hAnsi="Times New Roman" w:cs="Times New Roman"/>
          <w:sz w:val="24"/>
          <w:szCs w:val="24"/>
        </w:rPr>
        <w:lastRenderedPageBreak/>
        <w:t xml:space="preserve">La debilidad fundamental de este estudio radica en las limitaciones de su metodología. Los estudios agregados permiten el establecimiento de hipótesis correlacionales, pero no miden factores de riesgo o causalidades a nivel individual. Entonces, los resultados son de alcance descriptivo, lo que es una limitación a la </w:t>
      </w:r>
      <w:commentRangeStart w:id="15"/>
      <w:r w:rsidRPr="004E6D27">
        <w:rPr>
          <w:rFonts w:ascii="Times New Roman" w:hAnsi="Times New Roman" w:cs="Times New Roman"/>
          <w:sz w:val="24"/>
          <w:szCs w:val="24"/>
        </w:rPr>
        <w:t xml:space="preserve">hora de diseñar intervenciones. </w:t>
      </w:r>
      <w:commentRangeEnd w:id="15"/>
      <w:r>
        <w:rPr>
          <w:rStyle w:val="Refdecomentario"/>
        </w:rPr>
        <w:commentReference w:id="15"/>
      </w:r>
      <w:r w:rsidRPr="004E6D27">
        <w:rPr>
          <w:rFonts w:ascii="Times New Roman" w:hAnsi="Times New Roman" w:cs="Times New Roman"/>
          <w:sz w:val="24"/>
          <w:szCs w:val="24"/>
        </w:rPr>
        <w:t xml:space="preserve">En este sentido, es necesario resaltar una limitación general anclada en las características de los sistemas de información en salud: los enfoques cuantitativos de la evolución de la epidemia se basan en sistemas de vigilancia epidemiológica que en muchos casos presentan problemas de cobertura </w:t>
      </w:r>
      <w:commentRangeStart w:id="16"/>
      <w:r w:rsidRPr="004E6D27">
        <w:rPr>
          <w:rFonts w:ascii="Times New Roman" w:hAnsi="Times New Roman" w:cs="Times New Roman"/>
          <w:sz w:val="24"/>
          <w:szCs w:val="24"/>
        </w:rPr>
        <w:t>e integridad</w:t>
      </w:r>
      <w:commentRangeEnd w:id="16"/>
      <w:r>
        <w:rPr>
          <w:rStyle w:val="Refdecomentario"/>
        </w:rPr>
        <w:commentReference w:id="16"/>
      </w:r>
      <w:r w:rsidRPr="004E6D27">
        <w:rPr>
          <w:rFonts w:ascii="Times New Roman" w:hAnsi="Times New Roman" w:cs="Times New Roman"/>
          <w:sz w:val="24"/>
          <w:szCs w:val="24"/>
        </w:rPr>
        <w:t xml:space="preserve">. Por otro lado, se debe tomar en cuenta </w:t>
      </w:r>
      <w:proofErr w:type="gramStart"/>
      <w:r w:rsidRPr="004E6D27">
        <w:rPr>
          <w:rFonts w:ascii="Times New Roman" w:hAnsi="Times New Roman" w:cs="Times New Roman"/>
          <w:sz w:val="24"/>
          <w:szCs w:val="24"/>
        </w:rPr>
        <w:t>que</w:t>
      </w:r>
      <w:proofErr w:type="gramEnd"/>
      <w:r w:rsidRPr="004E6D27">
        <w:rPr>
          <w:rFonts w:ascii="Times New Roman" w:hAnsi="Times New Roman" w:cs="Times New Roman"/>
          <w:sz w:val="24"/>
          <w:szCs w:val="24"/>
        </w:rPr>
        <w:t xml:space="preserve"> a lo largo de la pandemia, los estados nacionales han ido modificando las definiciones de "caso probable" y "caso confirmado", lo que impacta la capacidad de detección de los sistemas de vigilancia. Tampoco se puede ignorar que la finalidad de generar estados de datos no es la investigación, sino la vigilancia, por lo que muchas veces existen procedimientos que no están lo suficientemente depurados, como los de determinación de la causa básica de muerte o la existencia de comorbilidades.</w:t>
      </w:r>
    </w:p>
    <w:p w14:paraId="7CBBDAA4" w14:textId="77777777" w:rsidR="004E6D27" w:rsidRDefault="004E6D27" w:rsidP="001C6486">
      <w:pPr>
        <w:spacing w:after="0" w:line="480" w:lineRule="auto"/>
        <w:contextualSpacing/>
        <w:jc w:val="both"/>
        <w:rPr>
          <w:rFonts w:ascii="Times New Roman" w:hAnsi="Times New Roman" w:cs="Times New Roman"/>
          <w:sz w:val="24"/>
          <w:szCs w:val="24"/>
        </w:rPr>
      </w:pPr>
    </w:p>
    <w:p w14:paraId="75439454" w14:textId="7BA0B3C4" w:rsidR="004E6D27" w:rsidRDefault="004E6D27" w:rsidP="001C6486">
      <w:pPr>
        <w:spacing w:after="0" w:line="480" w:lineRule="auto"/>
        <w:contextualSpacing/>
        <w:jc w:val="both"/>
        <w:rPr>
          <w:rFonts w:ascii="Times New Roman" w:hAnsi="Times New Roman" w:cs="Times New Roman"/>
          <w:sz w:val="24"/>
          <w:szCs w:val="24"/>
        </w:rPr>
      </w:pPr>
      <w:commentRangeStart w:id="17"/>
      <w:r w:rsidRPr="004E6D27">
        <w:rPr>
          <w:rFonts w:ascii="Times New Roman" w:hAnsi="Times New Roman" w:cs="Times New Roman"/>
          <w:sz w:val="24"/>
          <w:szCs w:val="24"/>
        </w:rPr>
        <w:t>A XX días del inicio de la epidemia en CABA, la descripción de morbimortalidad por COVID-19 valida la idea de reforzar drásticamente las políticas públicas orientadas a garantizar el acceso a los servicios de salud, profundizando la detección, las pruebas, la asistencia y el</w:t>
      </w:r>
      <w:r>
        <w:rPr>
          <w:rFonts w:ascii="Times New Roman" w:hAnsi="Times New Roman" w:cs="Times New Roman"/>
          <w:sz w:val="24"/>
          <w:szCs w:val="24"/>
        </w:rPr>
        <w:t xml:space="preserve"> aislamiento en poblaciones que presentan </w:t>
      </w:r>
      <w:r w:rsidRPr="004E6D27">
        <w:rPr>
          <w:rFonts w:ascii="Times New Roman" w:hAnsi="Times New Roman" w:cs="Times New Roman"/>
          <w:sz w:val="24"/>
          <w:szCs w:val="24"/>
        </w:rPr>
        <w:t xml:space="preserve">condiciones </w:t>
      </w:r>
      <w:r>
        <w:rPr>
          <w:rFonts w:ascii="Times New Roman" w:hAnsi="Times New Roman" w:cs="Times New Roman"/>
          <w:sz w:val="24"/>
          <w:szCs w:val="24"/>
        </w:rPr>
        <w:t xml:space="preserve">materiales </w:t>
      </w:r>
      <w:r w:rsidRPr="004E6D27">
        <w:rPr>
          <w:rFonts w:ascii="Times New Roman" w:hAnsi="Times New Roman" w:cs="Times New Roman"/>
          <w:sz w:val="24"/>
          <w:szCs w:val="24"/>
        </w:rPr>
        <w:t>de vida</w:t>
      </w:r>
      <w:r>
        <w:rPr>
          <w:rFonts w:ascii="Times New Roman" w:hAnsi="Times New Roman" w:cs="Times New Roman"/>
          <w:sz w:val="24"/>
          <w:szCs w:val="24"/>
        </w:rPr>
        <w:t xml:space="preserve"> deficientes.</w:t>
      </w:r>
      <w:commentRangeEnd w:id="17"/>
      <w:r w:rsidR="004D6B44">
        <w:rPr>
          <w:rStyle w:val="Refdecomentario"/>
        </w:rPr>
        <w:commentReference w:id="17"/>
      </w:r>
    </w:p>
    <w:p w14:paraId="765B4AC5" w14:textId="27504F45" w:rsidR="004E6D27" w:rsidRDefault="004E6D27" w:rsidP="001C6486">
      <w:pPr>
        <w:spacing w:after="0" w:line="480" w:lineRule="auto"/>
        <w:contextualSpacing/>
        <w:jc w:val="both"/>
        <w:rPr>
          <w:rFonts w:ascii="Times New Roman" w:hAnsi="Times New Roman" w:cs="Times New Roman"/>
          <w:sz w:val="24"/>
          <w:szCs w:val="24"/>
        </w:rPr>
      </w:pPr>
    </w:p>
    <w:p w14:paraId="4EFDCC87" w14:textId="77777777" w:rsidR="004E6D27" w:rsidRPr="004E6D27" w:rsidRDefault="004E6D27" w:rsidP="001C6486">
      <w:pPr>
        <w:spacing w:after="0" w:line="480" w:lineRule="auto"/>
        <w:contextualSpacing/>
        <w:jc w:val="both"/>
        <w:rPr>
          <w:rFonts w:ascii="Times New Roman" w:hAnsi="Times New Roman" w:cs="Times New Roman"/>
          <w:sz w:val="24"/>
          <w:szCs w:val="24"/>
        </w:rPr>
      </w:pPr>
    </w:p>
    <w:p w14:paraId="5FA92679" w14:textId="5F1D66EE" w:rsidR="008C2083" w:rsidRPr="0097451B" w:rsidRDefault="008C2083" w:rsidP="001C6486">
      <w:pPr>
        <w:spacing w:after="0" w:line="480" w:lineRule="auto"/>
        <w:contextualSpacing/>
        <w:jc w:val="both"/>
        <w:rPr>
          <w:rFonts w:ascii="Times New Roman" w:hAnsi="Times New Roman" w:cs="Times New Roman"/>
          <w:b/>
          <w:sz w:val="24"/>
          <w:szCs w:val="24"/>
        </w:rPr>
      </w:pPr>
    </w:p>
    <w:sectPr w:rsidR="008C2083" w:rsidRPr="0097451B"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03T16:07:00Z" w:initials="vp">
    <w:p w14:paraId="1E4F0525" w14:textId="77777777" w:rsidR="00402F9A" w:rsidRDefault="00402F9A">
      <w:pPr>
        <w:pStyle w:val="Textocomentario"/>
      </w:pPr>
      <w:r>
        <w:rPr>
          <w:rStyle w:val="Refdecomentario"/>
        </w:rPr>
        <w:annotationRef/>
      </w:r>
      <w:r>
        <w:t xml:space="preserve">Ver si cambiar el concepto por </w:t>
      </w:r>
      <w:proofErr w:type="spellStart"/>
      <w:r>
        <w:t>mas</w:t>
      </w:r>
      <w:proofErr w:type="spellEnd"/>
      <w:r>
        <w:t xml:space="preserve"> pobres o </w:t>
      </w:r>
      <w:proofErr w:type="spellStart"/>
      <w:r>
        <w:t>mas</w:t>
      </w:r>
      <w:proofErr w:type="spellEnd"/>
      <w:r>
        <w:t xml:space="preserve"> vulnerables</w:t>
      </w:r>
    </w:p>
  </w:comment>
  <w:comment w:id="1" w:author="velen pennini" w:date="2021-05-03T16:16:00Z" w:initials="vp">
    <w:p w14:paraId="58851BE8" w14:textId="77777777" w:rsidR="00402F9A" w:rsidRDefault="00402F9A">
      <w:pPr>
        <w:pStyle w:val="Textocomentario"/>
      </w:pPr>
      <w:r>
        <w:rPr>
          <w:rStyle w:val="Refdecomentario"/>
        </w:rPr>
        <w:annotationRef/>
      </w:r>
      <w:r>
        <w:t>Chequear esto</w:t>
      </w:r>
    </w:p>
  </w:comment>
  <w:comment w:id="2" w:author="velen pennini" w:date="2021-05-03T20:51:00Z" w:initials="vp">
    <w:p w14:paraId="379943A2" w14:textId="77777777" w:rsidR="00402F9A" w:rsidRDefault="00402F9A" w:rsidP="00FF5ABB">
      <w:pPr>
        <w:pStyle w:val="Textocomentario"/>
      </w:pPr>
      <w:r>
        <w:rPr>
          <w:rStyle w:val="Refdecomentario"/>
        </w:rPr>
        <w:annotationRef/>
      </w:r>
      <w:r>
        <w:t>Generalmente fue un error en la carga del año</w:t>
      </w:r>
    </w:p>
  </w:comment>
  <w:comment w:id="3" w:author="velen pennini" w:date="2021-05-03T20:55:00Z" w:initials="vp">
    <w:p w14:paraId="0DC47599" w14:textId="77777777" w:rsidR="00402F9A" w:rsidRDefault="00402F9A">
      <w:pPr>
        <w:pStyle w:val="Textocomentario"/>
      </w:pPr>
      <w:r>
        <w:rPr>
          <w:rStyle w:val="Refdecomentario"/>
        </w:rPr>
        <w:annotationRef/>
      </w:r>
      <w:proofErr w:type="gramStart"/>
      <w:r>
        <w:t>Definirlos?</w:t>
      </w:r>
      <w:proofErr w:type="gramEnd"/>
    </w:p>
    <w:p w14:paraId="44E01698" w14:textId="77777777" w:rsidR="00402F9A" w:rsidRDefault="00402F9A">
      <w:pPr>
        <w:pStyle w:val="Textocomentario"/>
      </w:pPr>
    </w:p>
  </w:comment>
  <w:comment w:id="4" w:author="velen pennini" w:date="2021-05-03T21:44:00Z" w:initials="vp">
    <w:p w14:paraId="63CF9EE8" w14:textId="77777777" w:rsidR="00402F9A" w:rsidRDefault="00402F9A">
      <w:pPr>
        <w:pStyle w:val="Textocomentario"/>
      </w:pPr>
      <w:r>
        <w:rPr>
          <w:rStyle w:val="Refdecomentario"/>
        </w:rPr>
        <w:annotationRef/>
      </w:r>
      <w:r>
        <w:t>Ver sino poner la abreviatura del índice</w:t>
      </w:r>
    </w:p>
  </w:comment>
  <w:comment w:id="5" w:author="velen pennini" w:date="2021-05-04T00:19:00Z" w:initials="vp">
    <w:p w14:paraId="30495FF6" w14:textId="7EFC8F79" w:rsidR="00402F9A" w:rsidRDefault="00402F9A">
      <w:pPr>
        <w:pStyle w:val="Textocomentario"/>
      </w:pPr>
      <w:r>
        <w:rPr>
          <w:rStyle w:val="Refdecomentario"/>
        </w:rPr>
        <w:annotationRef/>
      </w:r>
      <w:r>
        <w:t>Esto es lo viejo, ver si poner razón de tasas.</w:t>
      </w:r>
    </w:p>
  </w:comment>
  <w:comment w:id="6" w:author="velen pennini" w:date="2021-05-04T00:46:00Z" w:initials="vp">
    <w:p w14:paraId="1ED9BAA7" w14:textId="7059A32C" w:rsidR="00402F9A" w:rsidRDefault="00402F9A">
      <w:pPr>
        <w:pStyle w:val="Textocomentario"/>
      </w:pPr>
      <w:r>
        <w:rPr>
          <w:rStyle w:val="Refdecomentario"/>
        </w:rPr>
        <w:annotationRef/>
      </w:r>
      <w:r>
        <w:t>Esto hay que actualizar</w:t>
      </w:r>
    </w:p>
  </w:comment>
  <w:comment w:id="7" w:author="velen pennini" w:date="2021-05-04T00:55:00Z" w:initials="vp">
    <w:p w14:paraId="5143F279" w14:textId="1D0BCEA3" w:rsidR="00402F9A" w:rsidRDefault="00402F9A">
      <w:pPr>
        <w:pStyle w:val="Textocomentario"/>
      </w:pPr>
      <w:r>
        <w:rPr>
          <w:rStyle w:val="Refdecomentario"/>
        </w:rPr>
        <w:annotationRef/>
      </w:r>
      <w:r>
        <w:t xml:space="preserve">No entiendo si esto es </w:t>
      </w:r>
      <w:proofErr w:type="spellStart"/>
      <w:r>
        <w:t>rme</w:t>
      </w:r>
      <w:proofErr w:type="spellEnd"/>
    </w:p>
  </w:comment>
  <w:comment w:id="8" w:author="velen pennini" w:date="2021-05-04T00:54:00Z" w:initials="vp">
    <w:p w14:paraId="54D75C64" w14:textId="27EEC373" w:rsidR="00402F9A" w:rsidRDefault="00402F9A">
      <w:pPr>
        <w:pStyle w:val="Textocomentario"/>
      </w:pPr>
      <w:r>
        <w:rPr>
          <w:rStyle w:val="Refdecomentario"/>
        </w:rPr>
        <w:annotationRef/>
      </w:r>
      <w:r>
        <w:t xml:space="preserve">Ver 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de casos y por tanto un descenso en la letalidad. </w:t>
      </w:r>
    </w:p>
  </w:comment>
  <w:comment w:id="9" w:author="velen pennini" w:date="2021-05-04T01:08:00Z" w:initials="vp">
    <w:p w14:paraId="5DF85C93" w14:textId="384AF1D9" w:rsidR="00402F9A" w:rsidRDefault="00402F9A">
      <w:pPr>
        <w:pStyle w:val="Textocomentario"/>
      </w:pPr>
      <w:r>
        <w:rPr>
          <w:rStyle w:val="Refdecomentario"/>
        </w:rPr>
        <w:annotationRef/>
      </w:r>
      <w:r>
        <w:t>Pensaba hacerlo por zona en lugar de por comuna a este cuadro.</w:t>
      </w:r>
    </w:p>
  </w:comment>
  <w:comment w:id="10" w:author="velen pennini" w:date="2021-05-09T03:28:00Z" w:initials="vp">
    <w:p w14:paraId="649A9CA5" w14:textId="19896E9C" w:rsidR="00DF5264" w:rsidRDefault="00DF5264">
      <w:pPr>
        <w:pStyle w:val="Textocomentario"/>
      </w:pPr>
      <w:r>
        <w:rPr>
          <w:rStyle w:val="Refdecomentario"/>
        </w:rPr>
        <w:annotationRef/>
      </w:r>
      <w:r>
        <w:t>Ver cual poner</w:t>
      </w:r>
    </w:p>
  </w:comment>
  <w:comment w:id="12" w:author="velen pennini" w:date="2021-05-04T01:31:00Z" w:initials="vp">
    <w:p w14:paraId="4E9EBCBA" w14:textId="0E760F2A" w:rsidR="00402F9A" w:rsidRDefault="00402F9A">
      <w:pPr>
        <w:pStyle w:val="Textocomentario"/>
      </w:pPr>
      <w:r>
        <w:rPr>
          <w:rStyle w:val="Refdecomentario"/>
        </w:rPr>
        <w:annotationRef/>
      </w:r>
      <w:r>
        <w:t>Agregar interpretación a este grafico</w:t>
      </w:r>
    </w:p>
  </w:comment>
  <w:comment w:id="13" w:author="velen pennini" w:date="2021-05-04T01:22:00Z" w:initials="vp">
    <w:p w14:paraId="78BA9B02" w14:textId="78FCCF01" w:rsidR="00402F9A" w:rsidRDefault="00402F9A">
      <w:pPr>
        <w:pStyle w:val="Textocomentario"/>
      </w:pPr>
      <w:r>
        <w:rPr>
          <w:rStyle w:val="Refdecomentario"/>
        </w:rPr>
        <w:annotationRef/>
      </w:r>
      <w:r>
        <w:t>actualizar</w:t>
      </w:r>
    </w:p>
  </w:comment>
  <w:comment w:id="14" w:author="velen pennini" w:date="2021-05-04T01:23:00Z" w:initials="vp">
    <w:p w14:paraId="159E5A2B" w14:textId="2339B702" w:rsidR="00402F9A" w:rsidRDefault="00402F9A">
      <w:pPr>
        <w:pStyle w:val="Textocomentario"/>
      </w:pPr>
      <w:r>
        <w:rPr>
          <w:rStyle w:val="Refdecomentario"/>
        </w:rPr>
        <w:annotationRef/>
      </w:r>
      <w:r>
        <w:t>Actualizar esto con las tablas del periodo completo</w:t>
      </w:r>
    </w:p>
  </w:comment>
  <w:comment w:id="15" w:author="velen pennini" w:date="2021-05-08T22:36:00Z" w:initials="vp">
    <w:p w14:paraId="69470A02" w14:textId="1DEE30F4" w:rsidR="00402F9A" w:rsidRDefault="00402F9A">
      <w:pPr>
        <w:pStyle w:val="Textocomentario"/>
      </w:pPr>
      <w:r>
        <w:rPr>
          <w:rStyle w:val="Refdecomentario"/>
        </w:rPr>
        <w:annotationRef/>
      </w:r>
      <w:r>
        <w:t xml:space="preserve">Esto me da dudas </w:t>
      </w:r>
      <w:proofErr w:type="spellStart"/>
      <w:r>
        <w:t>porq</w:t>
      </w:r>
      <w:proofErr w:type="spellEnd"/>
      <w:r>
        <w:t xml:space="preserve"> si la intervención es poblacional </w:t>
      </w:r>
      <w:proofErr w:type="gramStart"/>
      <w:r>
        <w:t>tu objetivos</w:t>
      </w:r>
      <w:proofErr w:type="gramEnd"/>
      <w:r>
        <w:t xml:space="preserve"> puede </w:t>
      </w:r>
      <w:proofErr w:type="spellStart"/>
      <w:r>
        <w:t>se</w:t>
      </w:r>
      <w:proofErr w:type="spellEnd"/>
      <w:r>
        <w:t xml:space="preserve"> poblacional y no es un limitación,</w:t>
      </w:r>
    </w:p>
  </w:comment>
  <w:comment w:id="16" w:author="velen pennini" w:date="2021-05-08T22:38:00Z" w:initials="vp">
    <w:p w14:paraId="55D8D263" w14:textId="26A08651" w:rsidR="00402F9A" w:rsidRDefault="00402F9A">
      <w:pPr>
        <w:pStyle w:val="Textocomentario"/>
      </w:pPr>
      <w:r>
        <w:rPr>
          <w:rStyle w:val="Refdecomentario"/>
        </w:rPr>
        <w:annotationRef/>
      </w:r>
      <w:r>
        <w:t xml:space="preserve">Ver traducción. Completitud? </w:t>
      </w:r>
      <w:proofErr w:type="gramStart"/>
      <w:r>
        <w:t>Oportunidad?</w:t>
      </w:r>
      <w:proofErr w:type="gramEnd"/>
    </w:p>
  </w:comment>
  <w:comment w:id="17" w:author="velen pennini" w:date="2021-05-08T22:48:00Z" w:initials="vp">
    <w:p w14:paraId="4791CCC3" w14:textId="0B0EA0E8" w:rsidR="00402F9A" w:rsidRDefault="00402F9A">
      <w:pPr>
        <w:pStyle w:val="Textocomentario"/>
      </w:pPr>
      <w:r>
        <w:rPr>
          <w:rStyle w:val="Refdecomentario"/>
        </w:rPr>
        <w:annotationRef/>
      </w:r>
      <w:r>
        <w:t>Yo sacaría este párrafo por una cuestión de espacio, pondría las limitaciones más arriba y terminaría la discusión con el párrafo que termina con la cita 16.</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0525" w15:done="0"/>
  <w15:commentEx w15:paraId="58851BE8" w15:done="0"/>
  <w15:commentEx w15:paraId="379943A2" w15:done="0"/>
  <w15:commentEx w15:paraId="44E01698" w15:done="0"/>
  <w15:commentEx w15:paraId="63CF9EE8" w15:done="0"/>
  <w15:commentEx w15:paraId="30495FF6" w15:done="0"/>
  <w15:commentEx w15:paraId="1ED9BAA7" w15:done="0"/>
  <w15:commentEx w15:paraId="5143F279" w15:done="0"/>
  <w15:commentEx w15:paraId="54D75C64" w15:done="0"/>
  <w15:commentEx w15:paraId="5DF85C93" w15:done="0"/>
  <w15:commentEx w15:paraId="649A9CA5" w15:done="0"/>
  <w15:commentEx w15:paraId="4E9EBCBA" w15:done="0"/>
  <w15:commentEx w15:paraId="78BA9B02" w15:done="0"/>
  <w15:commentEx w15:paraId="159E5A2B" w15:done="0"/>
  <w15:commentEx w15:paraId="69470A02" w15:done="0"/>
  <w15:commentEx w15:paraId="55D8D263" w15:done="0"/>
  <w15:commentEx w15:paraId="4791C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56C9D"/>
    <w:rsid w:val="00263576"/>
    <w:rsid w:val="00266441"/>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84A8F"/>
    <w:rsid w:val="00387843"/>
    <w:rsid w:val="003A09B7"/>
    <w:rsid w:val="003A0EA5"/>
    <w:rsid w:val="003D313E"/>
    <w:rsid w:val="00402F9A"/>
    <w:rsid w:val="00405EFF"/>
    <w:rsid w:val="00450930"/>
    <w:rsid w:val="00460688"/>
    <w:rsid w:val="0047445C"/>
    <w:rsid w:val="004A0373"/>
    <w:rsid w:val="004A33B9"/>
    <w:rsid w:val="004B5A0A"/>
    <w:rsid w:val="004C307B"/>
    <w:rsid w:val="004D66F7"/>
    <w:rsid w:val="004D6B44"/>
    <w:rsid w:val="004E6D27"/>
    <w:rsid w:val="004F29CE"/>
    <w:rsid w:val="004F5494"/>
    <w:rsid w:val="005067ED"/>
    <w:rsid w:val="00511FDA"/>
    <w:rsid w:val="00530EC0"/>
    <w:rsid w:val="00534EB2"/>
    <w:rsid w:val="005640CF"/>
    <w:rsid w:val="00591312"/>
    <w:rsid w:val="005938C1"/>
    <w:rsid w:val="0059740D"/>
    <w:rsid w:val="00597760"/>
    <w:rsid w:val="005A13EF"/>
    <w:rsid w:val="005C36FF"/>
    <w:rsid w:val="00604D56"/>
    <w:rsid w:val="00613314"/>
    <w:rsid w:val="00620FDF"/>
    <w:rsid w:val="00623FAD"/>
    <w:rsid w:val="00624D5A"/>
    <w:rsid w:val="00625B25"/>
    <w:rsid w:val="0063065E"/>
    <w:rsid w:val="006413AE"/>
    <w:rsid w:val="00642538"/>
    <w:rsid w:val="006667C1"/>
    <w:rsid w:val="006A0045"/>
    <w:rsid w:val="006B4853"/>
    <w:rsid w:val="006D0323"/>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BAA"/>
    <w:rsid w:val="00844E03"/>
    <w:rsid w:val="008533FA"/>
    <w:rsid w:val="0086600D"/>
    <w:rsid w:val="008748ED"/>
    <w:rsid w:val="008A48B8"/>
    <w:rsid w:val="008C2083"/>
    <w:rsid w:val="008D1911"/>
    <w:rsid w:val="008F0A49"/>
    <w:rsid w:val="0094227B"/>
    <w:rsid w:val="0097451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7051"/>
    <w:rsid w:val="00B76043"/>
    <w:rsid w:val="00B7671A"/>
    <w:rsid w:val="00B831B9"/>
    <w:rsid w:val="00B86978"/>
    <w:rsid w:val="00BA5397"/>
    <w:rsid w:val="00BC62E4"/>
    <w:rsid w:val="00C22846"/>
    <w:rsid w:val="00C27F56"/>
    <w:rsid w:val="00C375D7"/>
    <w:rsid w:val="00C43D50"/>
    <w:rsid w:val="00C62971"/>
    <w:rsid w:val="00C907FC"/>
    <w:rsid w:val="00C96D26"/>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DF5264"/>
    <w:rsid w:val="00E0436D"/>
    <w:rsid w:val="00E17D1B"/>
    <w:rsid w:val="00E334CD"/>
    <w:rsid w:val="00E6015C"/>
    <w:rsid w:val="00E75EC3"/>
    <w:rsid w:val="00E8197C"/>
    <w:rsid w:val="00E822AC"/>
    <w:rsid w:val="00E86067"/>
    <w:rsid w:val="00EB6BA4"/>
    <w:rsid w:val="00EE0CA3"/>
    <w:rsid w:val="00EE64E1"/>
    <w:rsid w:val="00EF1DA0"/>
    <w:rsid w:val="00EF2B6B"/>
    <w:rsid w:val="00EF4196"/>
    <w:rsid w:val="00F138DB"/>
    <w:rsid w:val="00F35E47"/>
    <w:rsid w:val="00F53972"/>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1C610-00B8-4C4D-8E9E-60660435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17</Pages>
  <Words>11531</Words>
  <Characters>63426</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velen pennini</cp:lastModifiedBy>
  <cp:revision>6</cp:revision>
  <dcterms:created xsi:type="dcterms:W3CDTF">2021-05-04T04:32:00Z</dcterms:created>
  <dcterms:modified xsi:type="dcterms:W3CDTF">2021-05-09T06:29:00Z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