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Linux.</w:t>
      </w:r>
    </w:p>
    <w:bookmarkEnd w:id="20"/>
    <w:bookmarkStart w:id="21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Настройка прав доступа пользователей в Linux осуществляется с использованием механизма управления правами файлов и каталогов. Основные особенности этой настройки включают:</w:t>
      </w:r>
    </w:p>
    <w:p>
      <w:pPr>
        <w:numPr>
          <w:ilvl w:val="0"/>
          <w:numId w:val="1001"/>
        </w:numPr>
      </w:pPr>
      <w:r>
        <w:t xml:space="preserve">Роли пользователей: В Linux существуют разные роли пользователей, такие как обычные пользователи, администраторы (суперпользователи), и другие пользовательские группы. Каждая роль имеет свои права и ограничения.</w:t>
      </w:r>
    </w:p>
    <w:p>
      <w:pPr>
        <w:numPr>
          <w:ilvl w:val="0"/>
          <w:numId w:val="1001"/>
        </w:numPr>
      </w:pPr>
      <w:r>
        <w:t xml:space="preserve">Права доступа: Права доступа к файлам и каталогам определяются для трех основных категорий пользователей: владельцев файла, группы и всех остальных. Эти права включают в себя чтение (r), запись (w) и выполнение (x).</w:t>
      </w:r>
    </w:p>
    <w:p>
      <w:pPr>
        <w:numPr>
          <w:ilvl w:val="0"/>
          <w:numId w:val="1001"/>
        </w:numPr>
      </w:pPr>
      <w:r>
        <w:t xml:space="preserve">Команды chmod и chown: Для изменения прав доступа и владельцев файлов и каталогов в Linux используются команды chmod и chown. chmod позволяет изменять права доступа, а chown - владельцев.</w:t>
      </w:r>
    </w:p>
    <w:p>
      <w:pPr>
        <w:numPr>
          <w:ilvl w:val="0"/>
          <w:numId w:val="1001"/>
        </w:numPr>
      </w:pPr>
      <w:r>
        <w:t xml:space="preserve">Наследование прав: Права доступа могут быть унаследованы от родительских каталогов. Это означает, что если у родительского каталога есть определенные права доступа, то новые файлы и подкаталоги в нем будут иметь те же права по умолчанию.</w:t>
      </w:r>
    </w:p>
    <w:p>
      <w:pPr>
        <w:numPr>
          <w:ilvl w:val="0"/>
          <w:numId w:val="1001"/>
        </w:numPr>
      </w:pPr>
      <w:r>
        <w:t xml:space="preserve">Переменные права доступа: В Linux также существует концепция переменных прав доступа, таких как SUID (Set User ID), SGID (Set Group ID) и sticky bit. Они позволяют изменять поведение файлов и каталогов в отношении прав доступа и выполняемых команд.</w:t>
      </w:r>
    </w:p>
    <w:p>
      <w:pPr>
        <w:numPr>
          <w:ilvl w:val="0"/>
          <w:numId w:val="1001"/>
        </w:numPr>
      </w:pPr>
      <w:r>
        <w:t xml:space="preserve">Управление группами: В Linux пользователи могут быть объединены в группы. Права доступа могут быть назначены как для отдельных пользователей, так и для групп, что позволяет более гибко управлять доступом.</w:t>
      </w:r>
    </w:p>
    <w:p>
      <w:pPr>
        <w:numPr>
          <w:ilvl w:val="0"/>
          <w:numId w:val="1001"/>
        </w:numPr>
      </w:pPr>
      <w:r>
        <w:t xml:space="preserve">Аудит и журналирование: Linux предоставляет средства аудита и журналирования, которые позволяют отслеживать действия пользователей и проверять соответствие прав доступа установленным политикам.</w:t>
      </w:r>
    </w:p>
    <w:p>
      <w:pPr>
        <w:pStyle w:val="FirstParagraph"/>
      </w:pPr>
      <w:r>
        <w:t xml:space="preserve">Настройка прав доступа пользователей в Linux является фундаментальным аспектом безопасности и управления файловой системой. Она позволяет определить, кто имеет доступ к каким файлам и какие операции с ними могут быть выполнены, обеспечивая таким образом защиту данных и системы (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,</w:t>
      </w:r>
      <w:r>
        <w:t xml:space="preserve"> </w:t>
      </w:r>
      <w:r>
        <w:t xml:space="preserve">[3]</w:t>
      </w:r>
      <w:r>
        <w:t xml:space="preserve">).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ранее ОС создали пользователя guest, задали ему пароль и зашли в систему под данного пользователя (Рис. ??)</w:t>
      </w:r>
    </w:p>
    <w:p>
      <w:pPr>
        <w:pStyle w:val="CaptionedFigure"/>
      </w:pPr>
      <w:r>
        <w:drawing>
          <wp:inline>
            <wp:extent cx="3733800" cy="2373423"/>
            <wp:effectExtent b="0" l="0" r="0" t="0"/>
            <wp:docPr descr="создание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lab2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numPr>
          <w:ilvl w:val="0"/>
          <w:numId w:val="1003"/>
        </w:numPr>
        <w:pStyle w:val="Compact"/>
      </w:pPr>
      <w:r>
        <w:t xml:space="preserve">Уточнил имя пользователя, группы, в которые он входит (Рис. ??)</w:t>
      </w:r>
    </w:p>
    <w:p>
      <w:pPr>
        <w:pStyle w:val="CaptionedFigure"/>
      </w:pPr>
      <w:r>
        <w:drawing>
          <wp:inline>
            <wp:extent cx="3733800" cy="758763"/>
            <wp:effectExtent b="0" l="0" r="0" t="0"/>
            <wp:docPr descr="проверка данных" title="fig:" id="26" name="Picture"/>
            <a:graphic>
              <a:graphicData uri="http://schemas.openxmlformats.org/drawingml/2006/picture">
                <pic:pic>
                  <pic:nvPicPr>
                    <pic:cNvPr descr="image/lab2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данных</w:t>
      </w:r>
    </w:p>
    <w:p>
      <w:pPr>
        <w:numPr>
          <w:ilvl w:val="0"/>
          <w:numId w:val="1004"/>
        </w:numPr>
        <w:pStyle w:val="Compact"/>
      </w:pPr>
      <w:r>
        <w:t xml:space="preserve">В установленной ранее ОС создали пользователя guest, задали ему пароль и зашли в систему под данного пользователя (Рис. ??)</w:t>
      </w:r>
    </w:p>
    <w:p>
      <w:pPr>
        <w:pStyle w:val="CaptionedFigure"/>
      </w:pPr>
      <w:r>
        <w:drawing>
          <wp:inline>
            <wp:extent cx="3733800" cy="2509704"/>
            <wp:effectExtent b="0" l="0" r="0" t="0"/>
            <wp:docPr descr="изменение прав" title="fig:" id="29" name="Picture"/>
            <a:graphic>
              <a:graphicData uri="http://schemas.openxmlformats.org/drawingml/2006/picture">
                <pic:pic>
                  <pic:nvPicPr>
                    <pic:cNvPr descr="image/lab2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numPr>
          <w:ilvl w:val="0"/>
          <w:numId w:val="1005"/>
        </w:numPr>
        <w:pStyle w:val="Compact"/>
      </w:pPr>
      <w:r>
        <w:t xml:space="preserve">Заполнил таблицу (@#tbl:rules) .</w:t>
      </w:r>
    </w:p>
    <w:p>
      <w:pPr>
        <w:pStyle w:val="FirstParagraph"/>
      </w:pPr>
      <w:r>
        <w:t xml:space="preserve">1-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0" w:name="tbl:rules"/>
    <w:bookmarkStart w:id="31" w:name="tbl:rules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bookmarkEnd w:id="0"/>
    <w:p>
      <w:pPr>
        <w:numPr>
          <w:ilvl w:val="0"/>
          <w:numId w:val="1006"/>
        </w:numPr>
        <w:pStyle w:val="Compac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.</w:t>
      </w:r>
    </w:p>
    <w:bookmarkStart w:id="0" w:name="tbl:min-rig"/>
    <w:bookmarkStart w:id="32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6" w:name="ref-Vugt20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Vugt S. van.</w:t>
      </w:r>
      <w:r>
        <w:t xml:space="preserve"> </w:t>
      </w:r>
      <w:hyperlink r:id="rId35">
        <w:r>
          <w:rPr>
            <w:rStyle w:val="Hyperlink"/>
          </w:rPr>
          <w:t xml:space="preserve">Red Hat RHCSA/RHCE 7 Cert Guide: Red Hat Enterprise Linux 7 (EX200 and EX300)</w:t>
        </w:r>
      </w:hyperlink>
      <w:r>
        <w:t xml:space="preserve">. Pearson, 2015.</w:t>
      </w:r>
    </w:p>
    <w:bookmarkEnd w:id="36"/>
    <w:bookmarkStart w:id="38" w:name="ref-Chiang_201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Chiang J.K., Yen E.H.-W., Chen Y.-H.</w:t>
      </w:r>
      <w:r>
        <w:t xml:space="preserve"> </w:t>
      </w:r>
      <w:hyperlink r:id="rId37">
        <w:r>
          <w:rPr>
            <w:rStyle w:val="Hyperlink"/>
          </w:rPr>
          <w:t xml:space="preserve">Authentication, Authorization and File Synchronization in Hybrid Cloud: On Case of Google Docs, Hadoop and Linux Local Hosts</w:t>
        </w:r>
      </w:hyperlink>
      <w:r>
        <w:t xml:space="preserve">.</w:t>
      </w:r>
      <w:r>
        <w:t xml:space="preserve"> </w:t>
      </w:r>
      <w:r>
        <w:t xml:space="preserve">IEEE</w:t>
      </w:r>
      <w:r>
        <w:t xml:space="preserve">, 2013.</w:t>
      </w:r>
    </w:p>
    <w:bookmarkEnd w:id="38"/>
    <w:bookmarkStart w:id="39" w:name="ref-robachevsky:unix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Робачевский А., Немнюгин С., Стесик О.</w:t>
      </w:r>
      <w:r>
        <w:t xml:space="preserve"> </w:t>
      </w:r>
      <w:r>
        <w:t xml:space="preserve">Операционная система UNIX</w:t>
      </w:r>
      <w:r>
        <w:t xml:space="preserve">. 2-е изд. БХВ-Петербург, 2010. 656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5" Target="https://books.google.ru/books?id=U0aAjwEACAAJ" TargetMode="External" /><Relationship Type="http://schemas.openxmlformats.org/officeDocument/2006/relationships/hyperlink" Id="rId37" Target="https://doi.org/ 10.1109/ISBAST.2013.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books.google.ru/books?id=U0aAjwEACAAJ" TargetMode="External" /><Relationship Type="http://schemas.openxmlformats.org/officeDocument/2006/relationships/hyperlink" Id="rId37" Target="https://doi.org/ 10.1109/ISBAST.2013.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Саргсян Арам Грачьяевич</dc:creator>
  <dc:language>ru-RU</dc:language>
  <cp:keywords/>
  <dcterms:created xsi:type="dcterms:W3CDTF">2023-09-14T07:40:13Z</dcterms:created>
  <dcterms:modified xsi:type="dcterms:W3CDTF">2023-09-14T07:40:13Z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