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Neuromelanine</w:t>
      </w:r>
      <w:r>
        <w:t xml:space="preserve"> </w:t>
      </w:r>
      <w:r>
        <w:t xml:space="preserve">sensitive</w:t>
      </w:r>
      <w:r>
        <w:t xml:space="preserve"> </w:t>
      </w:r>
      <w:r>
        <w:t xml:space="preserve">MRI</w:t>
      </w:r>
      <w:r>
        <w:t xml:space="preserve"> </w:t>
      </w:r>
      <w:r>
        <w:t xml:space="preserve">in</w:t>
      </w:r>
      <w:r>
        <w:t xml:space="preserve"> </w:t>
      </w:r>
      <w:r>
        <w:t xml:space="preserve">SZ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A.</w:t>
      </w:r>
      <w:r>
        <w:t xml:space="preserve"> </w:t>
      </w:r>
      <w:r>
        <w:t xml:space="preserve">Kaminski,</w:t>
      </w:r>
      <w:r>
        <w:t xml:space="preserve"> </w:t>
      </w:r>
      <w:r>
        <w:t xml:space="preserve">Lara</w:t>
      </w:r>
      <w:r>
        <w:t xml:space="preserve"> </w:t>
      </w:r>
      <w:r>
        <w:t xml:space="preserve">Wieland,</w:t>
      </w:r>
      <w:r>
        <w:t xml:space="preserve"> </w:t>
      </w:r>
      <w:r>
        <w:t xml:space="preserve">Sophie</w:t>
      </w:r>
      <w:r>
        <w:t xml:space="preserve"> </w:t>
      </w:r>
      <w:r>
        <w:t xml:space="preserve">Fromm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2021</w:t>
      </w:r>
    </w:p>
    <w:bookmarkStart w:id="20" w:name="data-import"/>
    <w:p>
      <w:pPr>
        <w:pStyle w:val="Heading1"/>
      </w:pPr>
      <w:r>
        <w:t xml:space="preserve">Data import</w:t>
      </w:r>
    </w:p>
    <w:bookmarkEnd w:id="20"/>
    <w:bookmarkStart w:id="21" w:name="meta-analysis"/>
    <w:p>
      <w:pPr>
        <w:pStyle w:val="Heading1"/>
      </w:pPr>
      <w:r>
        <w:t xml:space="preserve">Meta-analysis</w:t>
      </w:r>
    </w:p>
    <w:p>
      <w:pPr>
        <w:pStyle w:val="FirstParagraph"/>
      </w:pPr>
      <w:r>
        <w:t xml:space="preserve">The fixed effects model suggests significant differences between between patients and controls in mean estimates for neuromelanine content in the substantia nigra (SN) (d=</w:t>
      </w:r>
      <w:r>
        <w:rPr>
          <w:rStyle w:val="VerbatimChar"/>
        </w:rPr>
        <w:t xml:space="preserve">0.22835</w:t>
      </w:r>
      <w:r>
        <w:t xml:space="preserve">[</w:t>
      </w:r>
      <w:r>
        <w:rPr>
          <w:rStyle w:val="VerbatimChar"/>
        </w:rPr>
        <w:t xml:space="preserve">-0.09867</w:t>
      </w:r>
      <w:r>
        <w:t xml:space="preserve">;</w:t>
      </w:r>
      <w:r>
        <w:t xml:space="preserve"> </w:t>
      </w:r>
      <w:r>
        <w:rPr>
          <w:rStyle w:val="VerbatimChar"/>
        </w:rPr>
        <w:t xml:space="preserve">0.55537</w:t>
      </w:r>
      <w:r>
        <w:t xml:space="preserve">], z=</w:t>
      </w:r>
      <w:r>
        <w:rPr>
          <w:rStyle w:val="VerbatimChar"/>
        </w:rPr>
        <w:t xml:space="preserve">2.54572</w:t>
      </w:r>
      <w:r>
        <w:t xml:space="preserve">, p=</w:t>
      </w:r>
      <w:r>
        <w:rPr>
          <w:rStyle w:val="VerbatimChar"/>
        </w:rPr>
        <w:t xml:space="preserve">0.01091</w:t>
      </w:r>
      <w:r>
        <w:t xml:space="preserve">, see Figure x). Including only studies where contrast ratios of signal intensity from SN and white matter (locus ceruleus) were available, the effect remained significant (d=</w:t>
      </w:r>
      <w:r>
        <w:rPr>
          <w:rStyle w:val="VerbatimChar"/>
        </w:rPr>
        <w:t xml:space="preserve">0.36923</w:t>
      </w:r>
      <w:r>
        <w:t xml:space="preserve">[</w:t>
      </w:r>
      <w:r>
        <w:rPr>
          <w:rStyle w:val="VerbatimChar"/>
        </w:rPr>
        <w:t xml:space="preserve">0.14329</w:t>
      </w:r>
      <w:r>
        <w:t xml:space="preserve">;</w:t>
      </w:r>
      <w:r>
        <w:t xml:space="preserve"> </w:t>
      </w:r>
      <w:r>
        <w:rPr>
          <w:rStyle w:val="VerbatimChar"/>
        </w:rPr>
        <w:t xml:space="preserve">0.59517</w:t>
      </w:r>
      <w:r>
        <w:t xml:space="preserve">], z=</w:t>
      </w:r>
      <w:r>
        <w:rPr>
          <w:rStyle w:val="VerbatimChar"/>
        </w:rPr>
        <w:t xml:space="preserve">3.30555</w:t>
      </w:r>
      <w:r>
        <w:t xml:space="preserve">, p=</w:t>
      </w:r>
      <w:r>
        <w:rPr>
          <w:rStyle w:val="VerbatimChar"/>
        </w:rPr>
        <w:t xml:space="preserve">0.00095</w:t>
      </w:r>
      <w:r>
        <w:t xml:space="preserve">, see Figure x).</w:t>
      </w:r>
    </w:p>
    <w:p>
      <w:pPr>
        <w:pStyle w:val="BodyText"/>
      </w:pPr>
      <w:r>
        <w:t xml:space="preserve">The random effects model revealed no difference between patients and controls in mean estimates (d=</w:t>
      </w:r>
      <w:r>
        <w:rPr>
          <w:rStyle w:val="VerbatimChar"/>
        </w:rPr>
        <w:t xml:space="preserve">0.22835</w:t>
      </w:r>
      <w:r>
        <w:t xml:space="preserve">[</w:t>
      </w:r>
      <w:r>
        <w:rPr>
          <w:rStyle w:val="VerbatimChar"/>
        </w:rPr>
        <w:t xml:space="preserve">-0.09867</w:t>
      </w:r>
      <w:r>
        <w:t xml:space="preserve">;</w:t>
      </w:r>
      <w:r>
        <w:t xml:space="preserve"> </w:t>
      </w:r>
      <w:r>
        <w:rPr>
          <w:rStyle w:val="VerbatimChar"/>
        </w:rPr>
        <w:t xml:space="preserve">0.55537</w:t>
      </w:r>
      <w:r>
        <w:t xml:space="preserve">], z=</w:t>
      </w:r>
      <w:r>
        <w:rPr>
          <w:rStyle w:val="VerbatimChar"/>
        </w:rPr>
        <w:t xml:space="preserve">1.36858</w:t>
      </w:r>
      <w:r>
        <w:t xml:space="preserve">, p=</w:t>
      </w:r>
      <w:r>
        <w:rPr>
          <w:rStyle w:val="VerbatimChar"/>
        </w:rPr>
        <w:t xml:space="preserve">0.17113</w:t>
      </w:r>
      <w:r>
        <w:t xml:space="preserve">, see Figure x). However, the group effect was rendered significant when including only studies with contrast rations available (d=</w:t>
      </w:r>
      <w:r>
        <w:rPr>
          <w:rStyle w:val="VerbatimChar"/>
        </w:rPr>
        <w:t xml:space="preserve">0.36923</w:t>
      </w:r>
      <w:r>
        <w:t xml:space="preserve">[</w:t>
      </w:r>
      <w:r>
        <w:rPr>
          <w:rStyle w:val="VerbatimChar"/>
        </w:rPr>
        <w:t xml:space="preserve">0.14329</w:t>
      </w:r>
      <w:r>
        <w:t xml:space="preserve">;</w:t>
      </w:r>
      <w:r>
        <w:t xml:space="preserve"> </w:t>
      </w:r>
      <w:r>
        <w:rPr>
          <w:rStyle w:val="VerbatimChar"/>
        </w:rPr>
        <w:t xml:space="preserve">0.59517</w:t>
      </w:r>
      <w:r>
        <w:t xml:space="preserve">], z=</w:t>
      </w:r>
      <w:r>
        <w:rPr>
          <w:rStyle w:val="VerbatimChar"/>
        </w:rPr>
        <w:t xml:space="preserve">3.20292</w:t>
      </w:r>
      <w:r>
        <w:t xml:space="preserve">, p=</w:t>
      </w:r>
      <w:r>
        <w:rPr>
          <w:rStyle w:val="VerbatimChar"/>
        </w:rPr>
        <w:t xml:space="preserve">0.00136</w:t>
      </w:r>
      <w:r>
        <w:t xml:space="preserve">, see Figure x)</w:t>
      </w:r>
    </w:p>
    <w:p>
      <w:pPr>
        <w:pStyle w:val="BodyText"/>
      </w:pPr>
      <w:r>
        <w:t xml:space="preserve">The test for heterogeneity between studies shows a low amount of heterogeneity (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=</w:t>
      </w:r>
      <w:r>
        <w:rPr>
          <w:rStyle w:val="VerbatimChar"/>
        </w:rPr>
        <w:t xml:space="preserve">0.10596</w:t>
      </w:r>
      <w:r>
        <w:t xml:space="preserve">,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=</w:t>
      </w:r>
      <w:r>
        <w:rPr>
          <w:rStyle w:val="VerbatimChar"/>
        </w:rPr>
        <w:t xml:space="preserve">56.05864</w:t>
      </w:r>
      <w:r>
        <w:t xml:space="preserve">%) according to established standards (insert reference).</w:t>
      </w:r>
    </w:p>
    <w:p>
      <w:pPr>
        <w:pStyle w:val="BodyText"/>
      </w:pPr>
      <w:r>
        <w:t xml:space="preserve">Filling in those studies, showed a slightly lower estimate in patients, but no significant overall difference in DLPFC glutamate ((d=</w:t>
      </w:r>
      <w:r>
        <w:rPr>
          <w:rStyle w:val="VerbatimChar"/>
        </w:rPr>
        <w:t xml:space="preserve">0.36923</w:t>
      </w:r>
      <w:r>
        <w:t xml:space="preserve">[</w:t>
      </w:r>
      <w:r>
        <w:rPr>
          <w:rStyle w:val="VerbatimChar"/>
        </w:rPr>
        <w:t xml:space="preserve">0.14329</w:t>
      </w:r>
      <w:r>
        <w:t xml:space="preserve">;</w:t>
      </w:r>
      <w:r>
        <w:t xml:space="preserve"> </w:t>
      </w:r>
      <w:r>
        <w:rPr>
          <w:rStyle w:val="VerbatimChar"/>
        </w:rPr>
        <w:t xml:space="preserve">0.59517</w:t>
      </w:r>
      <w:r>
        <w:t xml:space="preserve">], z=`</w:t>
      </w:r>
      <w:r>
        <w:rPr>
          <w:rStyle w:val="VerbatimChar"/>
        </w:rPr>
        <w:t xml:space="preserve">, p=</w:t>
      </w:r>
      <w:r>
        <w:t xml:space="preserve">0.00136`).</w:t>
      </w:r>
    </w:p>
    <w:bookmarkEnd w:id="21"/>
    <w:bookmarkStart w:id="22" w:name="X734704f6f0526c0c2e9a8547b60bf4c44715f73"/>
    <w:p>
      <w:pPr>
        <w:pStyle w:val="Heading1"/>
      </w:pPr>
      <w:r>
        <w:t xml:space="preserve">Subgroup Analysis not applicable for our sample, correct? Only a few studies collected FEP and UHR but provide no separate analyses</w:t>
      </w:r>
    </w:p>
    <w:bookmarkEnd w:id="22"/>
    <w:bookmarkStart w:id="23" w:name="X70ef4cabf397edae7d7912946946976fc93be8e"/>
    <w:p>
      <w:pPr>
        <w:pStyle w:val="Heading1"/>
      </w:pPr>
      <w:r>
        <w:t xml:space="preserve">Subgroup analyses also need sufficient power, so it makes no sense to compare two or more subgroups when your entire number of studies in the meta-analysis is smaller than</w:t>
      </w:r>
    </w:p>
    <w:bookmarkEnd w:id="23"/>
    <w:bookmarkStart w:id="24" w:name="k10-higgins-and-thompson-2004."/>
    <w:p>
      <w:pPr>
        <w:pStyle w:val="Heading1"/>
      </w:pPr>
      <w:r>
        <w:t xml:space="preserve">k=10 (Higgins and Thompson 2004).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Neuromelanine sensitive MRI in SZ</dc:title>
  <dc:creator>Jakob A. Kaminski, Lara Wieland, Sophie Fromm</dc:creator>
  <cp:keywords/>
  <dcterms:created xsi:type="dcterms:W3CDTF">2021-02-05T12:44:52Z</dcterms:created>
  <dcterms:modified xsi:type="dcterms:W3CDTF">2021-02-05T12:44:52Z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 2021</vt:lpwstr>
  </property>
  <property fmtid="{D5CDD505-2E9C-101B-9397-08002B2CF9AE}" pid="3" name="output">
    <vt:lpwstr>word_document</vt:lpwstr>
  </property>
</Properties>
</file>