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ECONOMICS 340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#3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Ethan Clark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number: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218307113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widowControl w:val="0"/>
        <w:spacing w:line="264.3717384338379" w:lineRule="auto"/>
        <w:ind w:left="6.60003662109375" w:right="68.377685546875" w:firstLine="5.93994140625"/>
        <w:rPr/>
      </w:pPr>
      <w:bookmarkStart w:colFirst="0" w:colLast="0" w:name="_gxija8mz94gi" w:id="0"/>
      <w:bookmarkEnd w:id="0"/>
      <w:r w:rsidDel="00000000" w:rsidR="00000000" w:rsidRPr="00000000">
        <w:rPr>
          <w:b w:val="0"/>
          <w:sz w:val="22"/>
          <w:szCs w:val="22"/>
          <w:rtl w:val="0"/>
        </w:rPr>
        <w:t xml:space="preserve">2. How does inflation impact consumer spending behavior?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Inflation erodes the purchasing power of consumers, making goods and services more expensive. This reduces the quantity of goods consumers can afford.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As prices rise, consumers tend to substitute more expensive items with cheaper alternatives to maintain their standard of living.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High inflation may cause consumers to delay non-essential purchases, expecting prices to stabilize or drop in the future.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Inflation often leads to higher interest rates, increasing the cost of borrowing and discouraging consumer spending on big-ticket items like homes and cars.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Inflation decreases the real value of savings, prompting consumers to either spend now or seek higher-yield investments, potentially reducing the overall savings rate.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Fixed-income earners, such as retirees, are particularly affected as their incomes do not adjust with inflation, reducing their purchasing power significantly.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24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Anticipation of future price increases can lead to a surge in current spending as consumers try to buy before prices go up further, potentially leading to hoarding and supply shortages.</w:t>
      </w:r>
    </w:p>
    <w:p w:rsidR="00000000" w:rsidDel="00000000" w:rsidP="00000000" w:rsidRDefault="00000000" w:rsidRPr="00000000" w14:paraId="0000000E">
      <w:pPr>
        <w:widowControl w:val="0"/>
        <w:spacing w:line="264.3717384338379" w:lineRule="auto"/>
        <w:ind w:left="6.60003662109375" w:right="68.3776855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widowControl w:val="0"/>
        <w:spacing w:line="264.3717384338379" w:lineRule="auto"/>
        <w:ind w:left="6.60003662109375" w:right="68.377685546875" w:firstLine="5.93994140625"/>
        <w:rPr/>
      </w:pPr>
      <w:bookmarkStart w:colFirst="0" w:colLast="0" w:name="_65ujjqvgsf32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5. Discuss the economic impacts of a minimum wage increase.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before="24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Raises the earnings of the lowest-paid workers, enhancing their purchasing power and potentially reducing poverty levels.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Higher disposable income for low-wage workers can lead to increased consumer spending, boosting demand for goods and services.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Some businesses may reduce their workforce or cut hours to offset the increased labor costs, potentially leading to higher unemployment or underemployment among low-wage workers.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Businesses may pass on the higher labor costs to consumers through increased prices for goods and services, contributing to inflation.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Higher wages can lead to better employee morale, reduced turnover, and increased productivity as workers feel more valued and motivated.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Helps reduce income inequality by increasing the earnings of the lowest-paid workers relative to higher earners.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The impact can vary significantly by region, depending on the local cost of living and economic conditions. Areas with a higher cost of living may see more pronounced effects.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24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Small businesses might struggle more with increased labor costs compared to larger corporations, which could lead to business closures or reduced business growth.</w:t>
      </w:r>
    </w:p>
    <w:p w:rsidR="00000000" w:rsidDel="00000000" w:rsidP="00000000" w:rsidRDefault="00000000" w:rsidRPr="00000000" w14:paraId="00000018">
      <w:pPr>
        <w:widowControl w:val="0"/>
        <w:spacing w:line="264.3717384338379" w:lineRule="auto"/>
        <w:ind w:left="0" w:right="68.3776855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0"/>
        <w:spacing w:line="264.3717384338379" w:lineRule="auto"/>
        <w:ind w:left="6.60003662109375" w:right="68.377685546875" w:firstLine="5.93994140625"/>
        <w:rPr/>
      </w:pPr>
      <w:bookmarkStart w:colFirst="0" w:colLast="0" w:name="_g97ceu4rwhv8" w:id="2"/>
      <w:bookmarkEnd w:id="2"/>
      <w:r w:rsidDel="00000000" w:rsidR="00000000" w:rsidRPr="00000000">
        <w:rPr>
          <w:b w:val="0"/>
          <w:sz w:val="22"/>
          <w:szCs w:val="22"/>
          <w:rtl w:val="0"/>
        </w:rPr>
        <w:t xml:space="preserve">6. What are the potential effects of government debt on an economy?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24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Higher government debt leads to increased spending on interest payments, which can reduce the funds available for other public services and investments.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Government borrowing can lead to higher interest rates as it competes with the private sector for available funds, potentially reducing private investment and slowing economic growth.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Excessive government debt, if monetized, can lead to higher inflation rates, eroding purchasing power and destabilizing the economy.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High levels of debt may necessitate future tax increases to service the debt, potentially reducing disposable income and consumer spending.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A high debt-to-GDP ratio can lead to a downgrade of the country's credit rating, increasing borrowing costs and reducing investor confidence.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If debt is used for productive investments (e.g., infrastructure, education), it can stimulate economic growth and enhance the country's future economic potential.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Current borrowing may impose a financial burden on future generations, who will have to bear the costs of repaying the debt.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40" w:before="0" w:beforeAutospacing="0" w:line="264.3717384338379" w:lineRule="auto"/>
        <w:ind w:left="720" w:hanging="360"/>
        <w:rPr/>
      </w:pPr>
      <w:r w:rsidDel="00000000" w:rsidR="00000000" w:rsidRPr="00000000">
        <w:rPr>
          <w:rtl w:val="0"/>
        </w:rPr>
        <w:t xml:space="preserve">Sustainable levels of government debt can help stabilize the economy during downturns, but excessive debt can lead to financial crises and loss of economic stability.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6.60003662109375" w:right="68.377685546875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83.85498046875" w:top="1426.357421875" w:left="1441.97998046875" w:right="1427.9455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