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44D" w:rsidRPr="001C7C5F" w:rsidRDefault="004F623D" w:rsidP="00DE15F1">
      <w:pPr>
        <w:tabs>
          <w:tab w:val="left" w:pos="567"/>
          <w:tab w:val="left" w:pos="1191"/>
          <w:tab w:val="left" w:pos="5670"/>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rsidR="00E137FB" w:rsidRPr="001C7C5F" w:rsidRDefault="00A4644D" w:rsidP="006B7A68">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rsidR="00E137FB" w:rsidRPr="001C7C5F" w:rsidRDefault="00E137FB" w:rsidP="006B7A68">
      <w:pPr>
        <w:tabs>
          <w:tab w:val="left" w:pos="567"/>
          <w:tab w:val="left" w:pos="1191"/>
          <w:tab w:val="left" w:pos="5812"/>
        </w:tabs>
        <w:jc w:val="both"/>
        <w:rPr>
          <w:rFonts w:ascii="Arial" w:hAnsi="Arial" w:cs="Arial"/>
          <w:sz w:val="24"/>
          <w:szCs w:val="24"/>
        </w:rPr>
      </w:pPr>
    </w:p>
    <w:p w:rsidR="006B7A68" w:rsidRPr="001C7C5F" w:rsidRDefault="00E137FB" w:rsidP="001C7C5F">
      <w:pPr>
        <w:tabs>
          <w:tab w:val="left" w:pos="567"/>
          <w:tab w:val="left" w:pos="1191"/>
          <w:tab w:val="left" w:pos="5812"/>
        </w:tabs>
        <w:jc w:val="both"/>
        <w:rPr>
          <w:rFonts w:ascii="Arial" w:hAnsi="Arial" w:cs="Arial"/>
          <w:b/>
          <w:sz w:val="24"/>
          <w:szCs w:val="24"/>
        </w:rPr>
      </w:pPr>
      <w:r w:rsidRPr="001C7C5F">
        <w:rPr>
          <w:rFonts w:ascii="Arial" w:hAnsi="Arial" w:cs="Arial"/>
          <w:sz w:val="24"/>
          <w:szCs w:val="24"/>
        </w:rPr>
        <w:tab/>
      </w:r>
      <w:r w:rsidRPr="001C7C5F">
        <w:rPr>
          <w:rFonts w:ascii="Arial" w:hAnsi="Arial" w:cs="Arial"/>
          <w:sz w:val="24"/>
          <w:szCs w:val="24"/>
        </w:rPr>
        <w:tab/>
      </w:r>
      <w:r w:rsidR="001C7C5F">
        <w:rPr>
          <w:rFonts w:ascii="Arial" w:hAnsi="Arial" w:cs="Arial"/>
          <w:sz w:val="24"/>
          <w:szCs w:val="24"/>
        </w:rPr>
        <w:t xml:space="preserve">                                                   </w:t>
      </w:r>
      <w:r w:rsidR="00195E01" w:rsidRPr="001C7C5F">
        <w:rPr>
          <w:rFonts w:ascii="Arial" w:hAnsi="Arial" w:cs="Arial"/>
          <w:b/>
          <w:sz w:val="24"/>
          <w:szCs w:val="24"/>
        </w:rPr>
        <w:t>A mano / Raccomandata</w:t>
      </w:r>
    </w:p>
    <w:p w:rsidR="000C6E1F" w:rsidRPr="001C7C5F" w:rsidRDefault="006B7A68" w:rsidP="001C7C5F">
      <w:pPr>
        <w:tabs>
          <w:tab w:val="left" w:pos="567"/>
          <w:tab w:val="left" w:pos="1191"/>
          <w:tab w:val="left" w:pos="5812"/>
        </w:tabs>
        <w:jc w:val="both"/>
        <w:rPr>
          <w:rFonts w:ascii="Arial" w:hAnsi="Arial" w:cs="Arial"/>
          <w:b/>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rsidR="002D3E83" w:rsidRPr="001C7C5F" w:rsidRDefault="002D3E83" w:rsidP="001C7C5F">
      <w:pPr>
        <w:tabs>
          <w:tab w:val="left" w:pos="567"/>
          <w:tab w:val="left" w:pos="1191"/>
          <w:tab w:val="left" w:pos="5812"/>
        </w:tabs>
        <w:jc w:val="both"/>
        <w:rPr>
          <w:rFonts w:ascii="Arial" w:hAnsi="Arial" w:cs="Arial"/>
          <w:sz w:val="24"/>
          <w:szCs w:val="24"/>
        </w:rPr>
      </w:pPr>
    </w:p>
    <w:p w:rsidR="004F623D" w:rsidRPr="001C7C5F" w:rsidRDefault="000C6E1F"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Indirizzo cliente</w:t>
      </w:r>
    </w:p>
    <w:p w:rsidR="006B7A68"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w:t>
      </w:r>
    </w:p>
    <w:p w:rsidR="006B7A68"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w:t>
      </w:r>
    </w:p>
    <w:p w:rsidR="006B7A68"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w:t>
      </w:r>
    </w:p>
    <w:p w:rsidR="000C5FE0"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rsidR="006B7A68" w:rsidRPr="001C7C5F" w:rsidRDefault="000C5FE0"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CE1B3D" w:rsidRPr="001C7C5F">
        <w:rPr>
          <w:rFonts w:ascii="Arial" w:hAnsi="Arial" w:cs="Arial"/>
          <w:sz w:val="24"/>
          <w:szCs w:val="24"/>
        </w:rPr>
        <w:t>Chiasso,……</w:t>
      </w:r>
    </w:p>
    <w:p w:rsidR="006B7A68" w:rsidRPr="001C7C5F" w:rsidRDefault="006B7A68" w:rsidP="001C7C5F">
      <w:pPr>
        <w:tabs>
          <w:tab w:val="left" w:pos="567"/>
          <w:tab w:val="left" w:pos="1191"/>
          <w:tab w:val="left" w:pos="5812"/>
        </w:tabs>
        <w:jc w:val="both"/>
        <w:rPr>
          <w:rFonts w:ascii="Arial" w:hAnsi="Arial" w:cs="Arial"/>
          <w:sz w:val="24"/>
          <w:szCs w:val="24"/>
        </w:rPr>
      </w:pPr>
    </w:p>
    <w:p w:rsidR="000C5FE0" w:rsidRPr="001C7C5F" w:rsidRDefault="000C5FE0" w:rsidP="001C7C5F">
      <w:pPr>
        <w:tabs>
          <w:tab w:val="left" w:pos="567"/>
          <w:tab w:val="left" w:pos="1191"/>
          <w:tab w:val="left" w:pos="5812"/>
        </w:tabs>
        <w:jc w:val="both"/>
        <w:rPr>
          <w:rFonts w:ascii="Arial" w:hAnsi="Arial" w:cs="Arial"/>
          <w:sz w:val="22"/>
          <w:szCs w:val="22"/>
        </w:rPr>
      </w:pPr>
    </w:p>
    <w:p w:rsidR="000C6E1F" w:rsidRPr="001C7C5F" w:rsidRDefault="00195E01" w:rsidP="001C7C5F">
      <w:pPr>
        <w:pBdr>
          <w:bottom w:val="single" w:sz="6" w:space="1" w:color="auto"/>
        </w:pBdr>
        <w:spacing w:line="240" w:lineRule="atLeast"/>
        <w:jc w:val="both"/>
        <w:rPr>
          <w:rFonts w:ascii="Arial" w:hAnsi="Arial" w:cs="Arial"/>
          <w:sz w:val="22"/>
          <w:szCs w:val="22"/>
          <w:lang w:val="it-CH" w:eastAsia="de-DE"/>
        </w:rPr>
      </w:pPr>
      <w:r w:rsidRPr="001C7C5F">
        <w:rPr>
          <w:rFonts w:ascii="Arial" w:hAnsi="Arial" w:cs="Arial"/>
          <w:b/>
          <w:sz w:val="22"/>
          <w:szCs w:val="22"/>
          <w:lang w:val="it-CH" w:eastAsia="de-DE"/>
        </w:rPr>
        <w:t>Informativa relativa alla possibilità di effettuare Opting Out</w:t>
      </w:r>
      <w:r w:rsidR="000C6E1F" w:rsidRPr="001C7C5F">
        <w:rPr>
          <w:rFonts w:ascii="Arial" w:hAnsi="Arial" w:cs="Arial"/>
          <w:b/>
          <w:sz w:val="22"/>
          <w:szCs w:val="22"/>
          <w:lang w:val="it-CH" w:eastAsia="de-DE"/>
        </w:rPr>
        <w:t xml:space="preserve"> </w:t>
      </w:r>
      <w:r w:rsidR="000C6E1F" w:rsidRPr="001C7C5F">
        <w:rPr>
          <w:rFonts w:ascii="Arial" w:hAnsi="Arial" w:cs="Arial"/>
          <w:sz w:val="22"/>
          <w:szCs w:val="22"/>
          <w:lang w:val="it-CH" w:eastAsia="de-DE"/>
        </w:rPr>
        <w:t xml:space="preserve"> </w:t>
      </w:r>
    </w:p>
    <w:p w:rsidR="000C6E1F" w:rsidRPr="001C7C5F" w:rsidRDefault="000C6E1F" w:rsidP="001C7C5F">
      <w:pPr>
        <w:spacing w:line="240" w:lineRule="atLeast"/>
        <w:jc w:val="both"/>
        <w:rPr>
          <w:rFonts w:ascii="Arial" w:hAnsi="Arial" w:cs="Arial"/>
          <w:sz w:val="22"/>
          <w:szCs w:val="22"/>
          <w:lang w:val="it-CH" w:eastAsia="de-DE"/>
        </w:rPr>
      </w:pPr>
    </w:p>
    <w:p w:rsidR="000C6E1F" w:rsidRPr="001C7C5F" w:rsidRDefault="00195E01" w:rsidP="001C7C5F">
      <w:pPr>
        <w:jc w:val="both"/>
        <w:rPr>
          <w:rFonts w:ascii="Arial" w:hAnsi="Arial" w:cs="Arial"/>
          <w:sz w:val="22"/>
          <w:szCs w:val="22"/>
          <w:lang w:val="it-CH" w:eastAsia="de-DE"/>
        </w:rPr>
      </w:pPr>
      <w:r w:rsidRPr="001C7C5F">
        <w:rPr>
          <w:rFonts w:ascii="Arial" w:hAnsi="Arial" w:cs="Arial"/>
          <w:sz w:val="22"/>
          <w:szCs w:val="22"/>
          <w:lang w:val="it-CH" w:eastAsia="de-DE"/>
        </w:rPr>
        <w:t>Gentile Cliente</w:t>
      </w:r>
      <w:r w:rsidR="00F51CB8" w:rsidRPr="001C7C5F">
        <w:rPr>
          <w:rFonts w:ascii="Arial" w:hAnsi="Arial" w:cs="Arial"/>
          <w:sz w:val="22"/>
          <w:szCs w:val="22"/>
          <w:lang w:val="it-CH" w:eastAsia="de-DE"/>
        </w:rPr>
        <w:t>,</w:t>
      </w:r>
    </w:p>
    <w:p w:rsidR="000C6E1F" w:rsidRPr="001C7C5F" w:rsidRDefault="000C6E1F" w:rsidP="001C7C5F">
      <w:pPr>
        <w:jc w:val="both"/>
        <w:rPr>
          <w:rFonts w:ascii="Arial" w:hAnsi="Arial" w:cs="Arial"/>
          <w:sz w:val="22"/>
          <w:szCs w:val="22"/>
          <w:lang w:val="it-CH" w:eastAsia="de-DE"/>
        </w:rPr>
      </w:pPr>
    </w:p>
    <w:p w:rsidR="004B084C" w:rsidRPr="001C7C5F" w:rsidRDefault="00F51CB8" w:rsidP="001C7C5F">
      <w:pPr>
        <w:jc w:val="both"/>
        <w:rPr>
          <w:rFonts w:ascii="Arial" w:hAnsi="Arial" w:cs="Arial"/>
          <w:sz w:val="22"/>
          <w:szCs w:val="22"/>
          <w:lang w:val="it-CH" w:eastAsia="de-DE"/>
        </w:rPr>
      </w:pPr>
      <w:r w:rsidRPr="001C7C5F">
        <w:rPr>
          <w:rFonts w:ascii="Arial" w:hAnsi="Arial" w:cs="Arial"/>
          <w:sz w:val="22"/>
          <w:szCs w:val="22"/>
          <w:lang w:val="it-CH" w:eastAsia="de-DE"/>
        </w:rPr>
        <w:t>c</w:t>
      </w:r>
      <w:r w:rsidR="004B084C" w:rsidRPr="001C7C5F">
        <w:rPr>
          <w:rFonts w:ascii="Arial" w:hAnsi="Arial" w:cs="Arial"/>
          <w:sz w:val="22"/>
          <w:szCs w:val="22"/>
          <w:lang w:val="it-CH" w:eastAsia="de-DE"/>
        </w:rPr>
        <w:t>on riferimento alla recente revisione della Legge federale sugli investimenti collettivi di capitale (LICOL), le indirizziamo la presente al fine di informarla su alcuni cambiamenti che la riguardano direttamente.</w:t>
      </w:r>
    </w:p>
    <w:p w:rsidR="004B084C" w:rsidRPr="001C7C5F" w:rsidRDefault="004B084C" w:rsidP="001C7C5F">
      <w:pPr>
        <w:jc w:val="both"/>
        <w:rPr>
          <w:rFonts w:ascii="Arial" w:hAnsi="Arial" w:cs="Arial"/>
          <w:sz w:val="22"/>
          <w:szCs w:val="22"/>
          <w:lang w:val="it-CH" w:eastAsia="de-DE"/>
        </w:rPr>
      </w:pPr>
    </w:p>
    <w:p w:rsidR="004B084C" w:rsidRPr="001C7C5F" w:rsidRDefault="004B084C" w:rsidP="001C7C5F">
      <w:pPr>
        <w:jc w:val="both"/>
        <w:rPr>
          <w:rFonts w:ascii="Arial" w:hAnsi="Arial" w:cs="Arial"/>
          <w:sz w:val="22"/>
          <w:szCs w:val="22"/>
          <w:lang w:val="it-CH" w:eastAsia="de-DE"/>
        </w:rPr>
      </w:pPr>
      <w:r w:rsidRPr="001C7C5F">
        <w:rPr>
          <w:rFonts w:ascii="Arial" w:hAnsi="Arial" w:cs="Arial"/>
          <w:sz w:val="22"/>
          <w:szCs w:val="22"/>
          <w:lang w:val="it-CH" w:eastAsia="de-DE"/>
        </w:rPr>
        <w:t xml:space="preserve">In base all’art. 10 cpv. 3ter LICOL, il cui testo </w:t>
      </w:r>
      <w:r w:rsidR="0030214B" w:rsidRPr="001C7C5F">
        <w:rPr>
          <w:rFonts w:ascii="Arial" w:hAnsi="Arial" w:cs="Arial"/>
          <w:sz w:val="22"/>
          <w:szCs w:val="22"/>
          <w:lang w:val="it-CH" w:eastAsia="de-DE"/>
        </w:rPr>
        <w:t xml:space="preserve">è qui allegato </w:t>
      </w:r>
      <w:r w:rsidRPr="001C7C5F">
        <w:rPr>
          <w:rFonts w:ascii="Arial" w:hAnsi="Arial" w:cs="Arial"/>
          <w:sz w:val="22"/>
          <w:szCs w:val="22"/>
          <w:lang w:val="it-CH" w:eastAsia="de-DE"/>
        </w:rPr>
        <w:t>per comodità (</w:t>
      </w:r>
      <w:r w:rsidRPr="001C7C5F">
        <w:rPr>
          <w:rFonts w:ascii="Arial" w:hAnsi="Arial" w:cs="Arial"/>
          <w:b/>
          <w:sz w:val="22"/>
          <w:szCs w:val="22"/>
          <w:lang w:val="it-CH" w:eastAsia="de-DE"/>
        </w:rPr>
        <w:t>allegato 1</w:t>
      </w:r>
      <w:r w:rsidRPr="001C7C5F">
        <w:rPr>
          <w:rFonts w:ascii="Arial" w:hAnsi="Arial" w:cs="Arial"/>
          <w:sz w:val="22"/>
          <w:szCs w:val="22"/>
          <w:lang w:val="it-CH" w:eastAsia="de-DE"/>
        </w:rPr>
        <w:t>)</w:t>
      </w:r>
      <w:r w:rsidR="0030214B" w:rsidRPr="001C7C5F">
        <w:rPr>
          <w:rFonts w:ascii="Arial" w:hAnsi="Arial" w:cs="Arial"/>
          <w:sz w:val="22"/>
          <w:szCs w:val="22"/>
          <w:lang w:val="it-CH" w:eastAsia="de-DE"/>
        </w:rPr>
        <w:t xml:space="preserve">, investitori che hanno come lei concluso un contratto scritto di gestione patrimoniale </w:t>
      </w:r>
      <w:r w:rsidR="00323EA3" w:rsidRPr="001C7C5F">
        <w:rPr>
          <w:rFonts w:ascii="Arial" w:hAnsi="Arial" w:cs="Arial"/>
          <w:sz w:val="22"/>
          <w:szCs w:val="22"/>
          <w:lang w:val="it-CH" w:eastAsia="de-DE"/>
        </w:rPr>
        <w:t xml:space="preserve">con gestori patrimoniali indipendenti sono considerati </w:t>
      </w:r>
      <w:r w:rsidR="00323EA3" w:rsidRPr="001C7C5F">
        <w:rPr>
          <w:rFonts w:ascii="Arial" w:hAnsi="Arial" w:cs="Arial"/>
          <w:i/>
          <w:sz w:val="22"/>
          <w:szCs w:val="22"/>
          <w:lang w:val="it-CH" w:eastAsia="de-DE"/>
        </w:rPr>
        <w:t>investitori qualificati,</w:t>
      </w:r>
      <w:r w:rsidR="00323EA3" w:rsidRPr="001C7C5F">
        <w:rPr>
          <w:rFonts w:ascii="Arial" w:hAnsi="Arial" w:cs="Arial"/>
          <w:sz w:val="22"/>
          <w:szCs w:val="22"/>
          <w:lang w:val="it-CH" w:eastAsia="de-DE"/>
        </w:rPr>
        <w:t xml:space="preserve"> se il gestore rispetta in particolare le norme di comportamento riconosciute come standard minimi dalla FINMA, soggiace alle norme antiriciclaggio ed il mandato di gestione sottoscritto è pure rispettoso degli standards minimi approvati dalla FINMA. </w:t>
      </w:r>
    </w:p>
    <w:p w:rsidR="00323EA3" w:rsidRPr="001C7C5F" w:rsidRDefault="00323EA3" w:rsidP="001C7C5F">
      <w:pPr>
        <w:jc w:val="both"/>
        <w:rPr>
          <w:rFonts w:ascii="Arial" w:hAnsi="Arial" w:cs="Arial"/>
          <w:sz w:val="22"/>
          <w:szCs w:val="22"/>
          <w:lang w:val="it-CH" w:eastAsia="de-DE"/>
        </w:rPr>
      </w:pPr>
    </w:p>
    <w:p w:rsidR="0030214B" w:rsidRPr="001C7C5F" w:rsidRDefault="0030214B" w:rsidP="001C7C5F">
      <w:pPr>
        <w:jc w:val="both"/>
        <w:rPr>
          <w:rFonts w:ascii="Arial" w:hAnsi="Arial" w:cs="Arial"/>
          <w:sz w:val="22"/>
          <w:szCs w:val="22"/>
          <w:lang w:val="it-CH" w:eastAsia="de-DE"/>
        </w:rPr>
      </w:pPr>
      <w:r w:rsidRPr="001C7C5F">
        <w:rPr>
          <w:rFonts w:ascii="Arial" w:hAnsi="Arial" w:cs="Arial"/>
          <w:sz w:val="22"/>
          <w:szCs w:val="22"/>
          <w:lang w:val="it-CH" w:eastAsia="de-DE"/>
        </w:rPr>
        <w:t>Adempiendo la nostra societ</w:t>
      </w:r>
      <w:r w:rsidR="00E137FB" w:rsidRPr="001C7C5F">
        <w:rPr>
          <w:rFonts w:ascii="Arial" w:hAnsi="Arial" w:cs="Arial"/>
          <w:sz w:val="22"/>
          <w:szCs w:val="22"/>
          <w:lang w:val="it-CH" w:eastAsia="de-DE"/>
        </w:rPr>
        <w:t xml:space="preserve">à le </w:t>
      </w:r>
      <w:r w:rsidR="00323EA3" w:rsidRPr="001C7C5F">
        <w:rPr>
          <w:rFonts w:ascii="Arial" w:hAnsi="Arial" w:cs="Arial"/>
          <w:sz w:val="22"/>
          <w:szCs w:val="22"/>
          <w:lang w:val="it-CH" w:eastAsia="de-DE"/>
        </w:rPr>
        <w:t xml:space="preserve">predette </w:t>
      </w:r>
      <w:r w:rsidR="00E137FB" w:rsidRPr="001C7C5F">
        <w:rPr>
          <w:rFonts w:ascii="Arial" w:hAnsi="Arial" w:cs="Arial"/>
          <w:sz w:val="22"/>
          <w:szCs w:val="22"/>
          <w:lang w:val="it-CH" w:eastAsia="de-DE"/>
        </w:rPr>
        <w:t>condizioni</w:t>
      </w:r>
      <w:r w:rsidRPr="001C7C5F">
        <w:rPr>
          <w:rFonts w:ascii="Arial" w:hAnsi="Arial" w:cs="Arial"/>
          <w:sz w:val="22"/>
          <w:szCs w:val="22"/>
          <w:lang w:val="it-CH" w:eastAsia="de-DE"/>
        </w:rPr>
        <w:t xml:space="preserve">, la informiamo quindi che di principio lei è considerato per legge un </w:t>
      </w:r>
      <w:r w:rsidRPr="001C7C5F">
        <w:rPr>
          <w:rFonts w:ascii="Arial" w:hAnsi="Arial" w:cs="Arial"/>
          <w:i/>
          <w:sz w:val="22"/>
          <w:szCs w:val="22"/>
          <w:lang w:val="it-CH" w:eastAsia="de-DE"/>
        </w:rPr>
        <w:t>investitore qualificato</w:t>
      </w:r>
      <w:r w:rsidRPr="001C7C5F">
        <w:rPr>
          <w:rFonts w:ascii="Arial" w:hAnsi="Arial" w:cs="Arial"/>
          <w:sz w:val="22"/>
          <w:szCs w:val="22"/>
          <w:lang w:val="it-CH" w:eastAsia="de-DE"/>
        </w:rPr>
        <w:t xml:space="preserve"> a partire dal 1° giugno 2013.</w:t>
      </w:r>
    </w:p>
    <w:p w:rsidR="0030214B" w:rsidRPr="001C7C5F" w:rsidRDefault="0030214B" w:rsidP="001C7C5F">
      <w:pPr>
        <w:jc w:val="both"/>
        <w:rPr>
          <w:rFonts w:ascii="Arial" w:hAnsi="Arial" w:cs="Arial"/>
          <w:sz w:val="22"/>
          <w:szCs w:val="22"/>
          <w:lang w:val="it-CH" w:eastAsia="de-DE"/>
        </w:rPr>
      </w:pPr>
    </w:p>
    <w:p w:rsidR="001B23E7" w:rsidRPr="001C7C5F" w:rsidRDefault="0030214B" w:rsidP="001C7C5F">
      <w:pPr>
        <w:jc w:val="both"/>
        <w:rPr>
          <w:rFonts w:ascii="Arial" w:hAnsi="Arial" w:cs="Arial"/>
          <w:sz w:val="22"/>
          <w:szCs w:val="22"/>
          <w:lang w:val="it-CH" w:eastAsia="de-DE"/>
        </w:rPr>
      </w:pPr>
      <w:r w:rsidRPr="001C7C5F">
        <w:rPr>
          <w:rFonts w:ascii="Arial" w:hAnsi="Arial" w:cs="Arial"/>
          <w:sz w:val="22"/>
          <w:szCs w:val="22"/>
          <w:lang w:val="it-CH" w:eastAsia="de-DE"/>
        </w:rPr>
        <w:t xml:space="preserve">La stessa norma su indicata prevede tuttavia che ogni cliente considerato automaticamente </w:t>
      </w:r>
      <w:r w:rsidRPr="001C7C5F">
        <w:rPr>
          <w:rFonts w:ascii="Arial" w:hAnsi="Arial" w:cs="Arial"/>
          <w:i/>
          <w:sz w:val="22"/>
          <w:szCs w:val="22"/>
          <w:lang w:val="it-CH" w:eastAsia="de-DE"/>
        </w:rPr>
        <w:t>investitore qualificato</w:t>
      </w:r>
      <w:r w:rsidRPr="001C7C5F">
        <w:rPr>
          <w:rFonts w:ascii="Arial" w:hAnsi="Arial" w:cs="Arial"/>
          <w:sz w:val="22"/>
          <w:szCs w:val="22"/>
          <w:lang w:val="it-CH" w:eastAsia="de-DE"/>
        </w:rPr>
        <w:t xml:space="preserve"> ai sensi dell’art. 10 cpv. 3ter LICOL, possa dichiarare per iscritto di non voler essere considerato </w:t>
      </w:r>
      <w:r w:rsidRPr="001C7C5F">
        <w:rPr>
          <w:rFonts w:ascii="Arial" w:hAnsi="Arial" w:cs="Arial"/>
          <w:i/>
          <w:sz w:val="22"/>
          <w:szCs w:val="22"/>
          <w:lang w:val="it-CH" w:eastAsia="de-DE"/>
        </w:rPr>
        <w:t>investitore qualificato</w:t>
      </w:r>
      <w:r w:rsidRPr="001C7C5F">
        <w:rPr>
          <w:rFonts w:ascii="Arial" w:hAnsi="Arial" w:cs="Arial"/>
          <w:sz w:val="22"/>
          <w:szCs w:val="22"/>
          <w:lang w:val="it-CH" w:eastAsia="de-DE"/>
        </w:rPr>
        <w:t>. Inoltre</w:t>
      </w:r>
      <w:r w:rsidR="00E137FB" w:rsidRPr="001C7C5F">
        <w:rPr>
          <w:rFonts w:ascii="Arial" w:hAnsi="Arial" w:cs="Arial"/>
          <w:sz w:val="22"/>
          <w:szCs w:val="22"/>
          <w:lang w:val="it-CH" w:eastAsia="de-DE"/>
        </w:rPr>
        <w:t>,</w:t>
      </w:r>
      <w:r w:rsidRPr="001C7C5F">
        <w:rPr>
          <w:rFonts w:ascii="Arial" w:hAnsi="Arial" w:cs="Arial"/>
          <w:sz w:val="22"/>
          <w:szCs w:val="22"/>
          <w:lang w:val="it-CH" w:eastAsia="de-DE"/>
        </w:rPr>
        <w:t xml:space="preserve"> l’art. 6a cpv. 2 dell’Ordinanza sugli investimenti collettivi di capitale, </w:t>
      </w:r>
      <w:r w:rsidR="001B23E7" w:rsidRPr="001C7C5F">
        <w:rPr>
          <w:rFonts w:ascii="Arial" w:hAnsi="Arial" w:cs="Arial"/>
          <w:sz w:val="22"/>
          <w:szCs w:val="22"/>
          <w:lang w:val="it-CH" w:eastAsia="de-DE"/>
        </w:rPr>
        <w:t xml:space="preserve">indica che il gestore patrimoniale indipendente deve informare gli investitori toccati dall’art. 10 cpv. 3ter LICOL </w:t>
      </w:r>
      <w:r w:rsidR="00E137FB" w:rsidRPr="001C7C5F">
        <w:rPr>
          <w:rFonts w:ascii="Arial" w:hAnsi="Arial" w:cs="Arial"/>
          <w:sz w:val="22"/>
          <w:szCs w:val="22"/>
          <w:lang w:val="it-CH" w:eastAsia="de-DE"/>
        </w:rPr>
        <w:t>de</w:t>
      </w:r>
      <w:r w:rsidR="001B23E7" w:rsidRPr="001C7C5F">
        <w:rPr>
          <w:rFonts w:ascii="Arial" w:hAnsi="Arial" w:cs="Arial"/>
          <w:sz w:val="22"/>
          <w:szCs w:val="22"/>
          <w:lang w:val="it-CH" w:eastAsia="de-DE"/>
        </w:rPr>
        <w:t xml:space="preserve">i rischi derivanti dalla loro classificazione quali </w:t>
      </w:r>
      <w:r w:rsidR="001B23E7" w:rsidRPr="001C7C5F">
        <w:rPr>
          <w:rFonts w:ascii="Arial" w:hAnsi="Arial" w:cs="Arial"/>
          <w:i/>
          <w:sz w:val="22"/>
          <w:szCs w:val="22"/>
          <w:lang w:val="it-CH" w:eastAsia="de-DE"/>
        </w:rPr>
        <w:t>investitori qualificati</w:t>
      </w:r>
      <w:r w:rsidR="00E137FB" w:rsidRPr="001C7C5F">
        <w:rPr>
          <w:rFonts w:ascii="Arial" w:hAnsi="Arial" w:cs="Arial"/>
          <w:sz w:val="22"/>
          <w:szCs w:val="22"/>
          <w:lang w:val="it-CH" w:eastAsia="de-DE"/>
        </w:rPr>
        <w:t>,</w:t>
      </w:r>
      <w:r w:rsidR="001B23E7" w:rsidRPr="001C7C5F">
        <w:rPr>
          <w:rFonts w:ascii="Arial" w:hAnsi="Arial" w:cs="Arial"/>
          <w:sz w:val="22"/>
          <w:szCs w:val="22"/>
          <w:lang w:val="it-CH" w:eastAsia="de-DE"/>
        </w:rPr>
        <w:t xml:space="preserve"> nonché la possibilità di poter dichiarare per iscritto di non voler essere considerati tali. </w:t>
      </w:r>
    </w:p>
    <w:p w:rsidR="001B23E7" w:rsidRPr="001C7C5F" w:rsidRDefault="001B23E7" w:rsidP="001C7C5F">
      <w:pPr>
        <w:jc w:val="both"/>
        <w:rPr>
          <w:rFonts w:ascii="Arial" w:hAnsi="Arial" w:cs="Arial"/>
          <w:sz w:val="22"/>
          <w:szCs w:val="22"/>
          <w:lang w:val="it-CH" w:eastAsia="de-DE"/>
        </w:rPr>
      </w:pPr>
    </w:p>
    <w:p w:rsidR="001F19ED" w:rsidRPr="001C7C5F" w:rsidRDefault="00C23B42" w:rsidP="001C7C5F">
      <w:pPr>
        <w:jc w:val="both"/>
        <w:rPr>
          <w:rFonts w:ascii="Arial" w:hAnsi="Arial" w:cs="Arial"/>
          <w:sz w:val="22"/>
          <w:szCs w:val="22"/>
          <w:lang w:val="it-CH" w:eastAsia="de-DE"/>
        </w:rPr>
      </w:pPr>
      <w:r w:rsidRPr="001C7C5F">
        <w:rPr>
          <w:rFonts w:ascii="Arial" w:hAnsi="Arial" w:cs="Arial"/>
          <w:sz w:val="22"/>
          <w:szCs w:val="22"/>
          <w:lang w:val="it-CH" w:eastAsia="de-DE"/>
        </w:rPr>
        <w:t>Qui di seguito trova</w:t>
      </w:r>
      <w:r w:rsidR="001F19ED" w:rsidRPr="001C7C5F">
        <w:rPr>
          <w:rFonts w:ascii="Arial" w:hAnsi="Arial" w:cs="Arial"/>
          <w:sz w:val="22"/>
          <w:szCs w:val="22"/>
          <w:lang w:val="it-CH" w:eastAsia="de-DE"/>
        </w:rPr>
        <w:t xml:space="preserve"> quindi una spiegazione generale relativa ai rischi insiti </w:t>
      </w:r>
      <w:r w:rsidR="00D201CA" w:rsidRPr="001C7C5F">
        <w:rPr>
          <w:rFonts w:ascii="Arial" w:hAnsi="Arial" w:cs="Arial"/>
          <w:sz w:val="22"/>
          <w:szCs w:val="22"/>
          <w:lang w:val="it-CH" w:eastAsia="de-DE"/>
        </w:rPr>
        <w:t xml:space="preserve">nella sua </w:t>
      </w:r>
      <w:r w:rsidR="001F19ED" w:rsidRPr="001C7C5F">
        <w:rPr>
          <w:rFonts w:ascii="Arial" w:hAnsi="Arial" w:cs="Arial"/>
          <w:sz w:val="22"/>
          <w:szCs w:val="22"/>
          <w:lang w:val="it-CH" w:eastAsia="de-DE"/>
        </w:rPr>
        <w:t xml:space="preserve">inclusione nel novero degli </w:t>
      </w:r>
      <w:r w:rsidR="001F19ED" w:rsidRPr="001C7C5F">
        <w:rPr>
          <w:rFonts w:ascii="Arial" w:hAnsi="Arial" w:cs="Arial"/>
          <w:i/>
          <w:sz w:val="22"/>
          <w:szCs w:val="22"/>
          <w:lang w:val="it-CH" w:eastAsia="de-DE"/>
        </w:rPr>
        <w:t>investitori qualificati</w:t>
      </w:r>
      <w:r w:rsidR="001F19ED" w:rsidRPr="001C7C5F">
        <w:rPr>
          <w:rFonts w:ascii="Arial" w:hAnsi="Arial" w:cs="Arial"/>
          <w:sz w:val="22"/>
          <w:szCs w:val="22"/>
          <w:lang w:val="it-CH" w:eastAsia="de-DE"/>
        </w:rPr>
        <w:t>, fermo restando che</w:t>
      </w:r>
      <w:r w:rsidR="00E137FB" w:rsidRPr="001C7C5F">
        <w:rPr>
          <w:rFonts w:ascii="Arial" w:hAnsi="Arial" w:cs="Arial"/>
          <w:sz w:val="22"/>
          <w:szCs w:val="22"/>
          <w:lang w:val="it-CH" w:eastAsia="de-DE"/>
        </w:rPr>
        <w:t>,</w:t>
      </w:r>
      <w:r w:rsidR="001F19ED" w:rsidRPr="001C7C5F">
        <w:rPr>
          <w:rFonts w:ascii="Arial" w:hAnsi="Arial" w:cs="Arial"/>
          <w:sz w:val="22"/>
          <w:szCs w:val="22"/>
          <w:lang w:val="it-CH" w:eastAsia="de-DE"/>
        </w:rPr>
        <w:t xml:space="preserve"> per il rimanente</w:t>
      </w:r>
      <w:r w:rsidR="00E137FB" w:rsidRPr="001C7C5F">
        <w:rPr>
          <w:rFonts w:ascii="Arial" w:hAnsi="Arial" w:cs="Arial"/>
          <w:sz w:val="22"/>
          <w:szCs w:val="22"/>
          <w:lang w:val="it-CH" w:eastAsia="de-DE"/>
        </w:rPr>
        <w:t>,</w:t>
      </w:r>
      <w:r w:rsidR="001F19ED" w:rsidRPr="001C7C5F">
        <w:rPr>
          <w:rFonts w:ascii="Arial" w:hAnsi="Arial" w:cs="Arial"/>
          <w:sz w:val="22"/>
          <w:szCs w:val="22"/>
          <w:lang w:val="it-CH" w:eastAsia="de-DE"/>
        </w:rPr>
        <w:t xml:space="preserve"> valgono comunque le norme pattuite con il gestore patrimoniale relative a</w:t>
      </w:r>
      <w:r w:rsidR="00D201CA" w:rsidRPr="001C7C5F">
        <w:rPr>
          <w:rFonts w:ascii="Arial" w:hAnsi="Arial" w:cs="Arial"/>
          <w:sz w:val="22"/>
          <w:szCs w:val="22"/>
          <w:lang w:val="it-CH" w:eastAsia="de-DE"/>
        </w:rPr>
        <w:t>l profilo gestionale prescelto:</w:t>
      </w:r>
    </w:p>
    <w:p w:rsidR="00D201CA" w:rsidRPr="001C7C5F" w:rsidRDefault="00D201CA" w:rsidP="001C7C5F">
      <w:pPr>
        <w:jc w:val="both"/>
        <w:rPr>
          <w:rFonts w:ascii="Arial" w:hAnsi="Arial" w:cs="Arial"/>
          <w:sz w:val="22"/>
          <w:szCs w:val="22"/>
          <w:lang w:val="it-CH" w:eastAsia="de-DE"/>
        </w:rPr>
      </w:pPr>
    </w:p>
    <w:p w:rsidR="00FA6E67" w:rsidRPr="001C7C5F" w:rsidRDefault="00FA6E67" w:rsidP="001C7C5F">
      <w:pPr>
        <w:numPr>
          <w:ilvl w:val="0"/>
          <w:numId w:val="20"/>
        </w:numPr>
        <w:jc w:val="both"/>
        <w:rPr>
          <w:rFonts w:ascii="Arial" w:hAnsi="Arial" w:cs="Arial"/>
          <w:sz w:val="22"/>
          <w:szCs w:val="22"/>
          <w:lang w:val="it-CH" w:eastAsia="de-DE"/>
        </w:rPr>
      </w:pPr>
      <w:r w:rsidRPr="001C7C5F">
        <w:rPr>
          <w:rFonts w:ascii="Arial" w:hAnsi="Arial" w:cs="Arial"/>
          <w:sz w:val="22"/>
          <w:szCs w:val="22"/>
          <w:lang w:val="it-CH" w:eastAsia="de-DE"/>
        </w:rPr>
        <w:t xml:space="preserve">Un investitore qualificato </w:t>
      </w:r>
      <w:r w:rsidRPr="001C7C5F">
        <w:rPr>
          <w:rFonts w:ascii="Arial" w:hAnsi="Arial" w:cs="Arial"/>
          <w:sz w:val="22"/>
          <w:szCs w:val="22"/>
          <w:u w:val="single"/>
          <w:lang w:val="it-CH" w:eastAsia="de-DE"/>
        </w:rPr>
        <w:t>non</w:t>
      </w:r>
      <w:r w:rsidRPr="001C7C5F">
        <w:rPr>
          <w:rFonts w:ascii="Arial" w:hAnsi="Arial" w:cs="Arial"/>
          <w:sz w:val="22"/>
          <w:szCs w:val="22"/>
          <w:lang w:val="it-CH" w:eastAsia="de-DE"/>
        </w:rPr>
        <w:t xml:space="preserve"> gode della protezione prevista dalla LICOL</w:t>
      </w:r>
      <w:r w:rsidR="00D201CA" w:rsidRPr="001C7C5F">
        <w:rPr>
          <w:rFonts w:ascii="Arial" w:hAnsi="Arial" w:cs="Arial"/>
          <w:sz w:val="22"/>
          <w:szCs w:val="22"/>
          <w:lang w:val="it-CH" w:eastAsia="de-DE"/>
        </w:rPr>
        <w:t>,</w:t>
      </w:r>
      <w:r w:rsidRPr="001C7C5F">
        <w:rPr>
          <w:rFonts w:ascii="Arial" w:hAnsi="Arial" w:cs="Arial"/>
          <w:sz w:val="22"/>
          <w:szCs w:val="22"/>
          <w:lang w:val="it-CH" w:eastAsia="de-DE"/>
        </w:rPr>
        <w:t xml:space="preserve"> e relativa ordinanza</w:t>
      </w:r>
      <w:r w:rsidR="00D201CA" w:rsidRPr="001C7C5F">
        <w:rPr>
          <w:rFonts w:ascii="Arial" w:hAnsi="Arial" w:cs="Arial"/>
          <w:sz w:val="22"/>
          <w:szCs w:val="22"/>
          <w:lang w:val="it-CH" w:eastAsia="de-DE"/>
        </w:rPr>
        <w:t>,</w:t>
      </w:r>
      <w:r w:rsidRPr="001C7C5F">
        <w:rPr>
          <w:rFonts w:ascii="Arial" w:hAnsi="Arial" w:cs="Arial"/>
          <w:sz w:val="22"/>
          <w:szCs w:val="22"/>
          <w:lang w:val="it-CH" w:eastAsia="de-DE"/>
        </w:rPr>
        <w:t xml:space="preserve"> in favore di investitori non qualificati;</w:t>
      </w:r>
    </w:p>
    <w:p w:rsidR="00FA6E67" w:rsidRPr="001C7C5F" w:rsidRDefault="00C17E16" w:rsidP="001C7C5F">
      <w:pPr>
        <w:numPr>
          <w:ilvl w:val="0"/>
          <w:numId w:val="20"/>
        </w:numPr>
        <w:jc w:val="both"/>
        <w:rPr>
          <w:rFonts w:ascii="Arial" w:hAnsi="Arial" w:cs="Arial"/>
          <w:sz w:val="22"/>
          <w:szCs w:val="22"/>
          <w:lang w:val="it-CH" w:eastAsia="de-DE"/>
        </w:rPr>
      </w:pPr>
      <w:r w:rsidRPr="001C7C5F">
        <w:rPr>
          <w:rFonts w:ascii="Arial" w:hAnsi="Arial" w:cs="Arial"/>
          <w:sz w:val="22"/>
          <w:szCs w:val="22"/>
          <w:lang w:val="it-CH" w:eastAsia="de-DE"/>
        </w:rPr>
        <w:t>A sua volta, per investitori non qualificati, l</w:t>
      </w:r>
      <w:r w:rsidR="00FA6E67" w:rsidRPr="001C7C5F">
        <w:rPr>
          <w:rFonts w:ascii="Arial" w:hAnsi="Arial" w:cs="Arial"/>
          <w:sz w:val="22"/>
          <w:szCs w:val="22"/>
          <w:lang w:val="it-CH" w:eastAsia="de-DE"/>
        </w:rPr>
        <w:t xml:space="preserve">a LICOL prevede che </w:t>
      </w:r>
      <w:r w:rsidR="00FA6E67" w:rsidRPr="001C7C5F">
        <w:rPr>
          <w:rFonts w:ascii="Arial" w:hAnsi="Arial" w:cs="Arial"/>
          <w:sz w:val="22"/>
          <w:szCs w:val="22"/>
          <w:u w:val="single"/>
          <w:lang w:val="it-CH" w:eastAsia="de-DE"/>
        </w:rPr>
        <w:t>attività di distribuzione</w:t>
      </w:r>
      <w:r w:rsidR="00FA6E67" w:rsidRPr="001C7C5F">
        <w:rPr>
          <w:rFonts w:ascii="Arial" w:hAnsi="Arial" w:cs="Arial"/>
          <w:sz w:val="22"/>
          <w:szCs w:val="22"/>
          <w:lang w:val="it-CH" w:eastAsia="de-DE"/>
        </w:rPr>
        <w:t xml:space="preserve"> di investimenti collettivi di capitale ad investitori </w:t>
      </w:r>
      <w:r w:rsidR="00D201CA" w:rsidRPr="001C7C5F">
        <w:rPr>
          <w:rFonts w:ascii="Arial" w:hAnsi="Arial" w:cs="Arial"/>
          <w:sz w:val="22"/>
          <w:szCs w:val="22"/>
          <w:lang w:val="it-CH" w:eastAsia="de-DE"/>
        </w:rPr>
        <w:t>può</w:t>
      </w:r>
      <w:r w:rsidR="00FA6E67" w:rsidRPr="001C7C5F">
        <w:rPr>
          <w:rFonts w:ascii="Arial" w:hAnsi="Arial" w:cs="Arial"/>
          <w:sz w:val="22"/>
          <w:szCs w:val="22"/>
          <w:lang w:val="it-CH" w:eastAsia="de-DE"/>
        </w:rPr>
        <w:t xml:space="preserve"> essere svolta in Svizzera, o a partire dalla Svizzera, solo da distributori regolarmente autorizzati dalla FINMA, e che adempi</w:t>
      </w:r>
      <w:r w:rsidR="00D201CA" w:rsidRPr="001C7C5F">
        <w:rPr>
          <w:rFonts w:ascii="Arial" w:hAnsi="Arial" w:cs="Arial"/>
          <w:sz w:val="22"/>
          <w:szCs w:val="22"/>
          <w:lang w:val="it-CH" w:eastAsia="de-DE"/>
        </w:rPr>
        <w:t>o</w:t>
      </w:r>
      <w:r w:rsidR="00FA6E67" w:rsidRPr="001C7C5F">
        <w:rPr>
          <w:rFonts w:ascii="Arial" w:hAnsi="Arial" w:cs="Arial"/>
          <w:sz w:val="22"/>
          <w:szCs w:val="22"/>
          <w:lang w:val="it-CH" w:eastAsia="de-DE"/>
        </w:rPr>
        <w:t xml:space="preserve">no quindi le condizioni autorizzative </w:t>
      </w:r>
      <w:r w:rsidR="00FA6E67" w:rsidRPr="001C7C5F">
        <w:rPr>
          <w:rFonts w:ascii="Arial" w:hAnsi="Arial" w:cs="Arial"/>
          <w:sz w:val="22"/>
          <w:szCs w:val="22"/>
          <w:lang w:val="it-CH" w:eastAsia="de-DE"/>
        </w:rPr>
        <w:lastRenderedPageBreak/>
        <w:t xml:space="preserve">per distributori previste </w:t>
      </w:r>
      <w:r w:rsidR="00B0142C" w:rsidRPr="001C7C5F">
        <w:rPr>
          <w:rFonts w:ascii="Arial" w:hAnsi="Arial" w:cs="Arial"/>
          <w:sz w:val="22"/>
          <w:szCs w:val="22"/>
          <w:lang w:val="it-CH" w:eastAsia="de-DE"/>
        </w:rPr>
        <w:t>dalla</w:t>
      </w:r>
      <w:r w:rsidR="00FA6E67" w:rsidRPr="001C7C5F">
        <w:rPr>
          <w:rFonts w:ascii="Arial" w:hAnsi="Arial" w:cs="Arial"/>
          <w:sz w:val="22"/>
          <w:szCs w:val="22"/>
          <w:lang w:val="it-CH" w:eastAsia="de-DE"/>
        </w:rPr>
        <w:t xml:space="preserve"> LICOL, segnatamente in punto all’esigenza di un’adeguata organizzazione e dell’irreprensibilità degli organi societari. Inoltre dist</w:t>
      </w:r>
      <w:r w:rsidR="00B0142C" w:rsidRPr="001C7C5F">
        <w:rPr>
          <w:rFonts w:ascii="Arial" w:hAnsi="Arial" w:cs="Arial"/>
          <w:sz w:val="22"/>
          <w:szCs w:val="22"/>
          <w:lang w:val="it-CH" w:eastAsia="de-DE"/>
        </w:rPr>
        <w:t>r</w:t>
      </w:r>
      <w:r w:rsidR="00FA6E67" w:rsidRPr="001C7C5F">
        <w:rPr>
          <w:rFonts w:ascii="Arial" w:hAnsi="Arial" w:cs="Arial"/>
          <w:sz w:val="22"/>
          <w:szCs w:val="22"/>
          <w:lang w:val="it-CH" w:eastAsia="de-DE"/>
        </w:rPr>
        <w:t xml:space="preserve">ibutori autorizzati devono rispettare gli standards </w:t>
      </w:r>
      <w:r w:rsidR="00D201CA" w:rsidRPr="001C7C5F">
        <w:rPr>
          <w:rFonts w:ascii="Arial" w:hAnsi="Arial" w:cs="Arial"/>
          <w:sz w:val="22"/>
          <w:szCs w:val="22"/>
          <w:lang w:val="it-CH" w:eastAsia="de-DE"/>
        </w:rPr>
        <w:t>elaborati</w:t>
      </w:r>
      <w:r w:rsidR="00FA6E67" w:rsidRPr="001C7C5F">
        <w:rPr>
          <w:rFonts w:ascii="Arial" w:hAnsi="Arial" w:cs="Arial"/>
          <w:sz w:val="22"/>
          <w:szCs w:val="22"/>
          <w:lang w:val="it-CH" w:eastAsia="de-DE"/>
        </w:rPr>
        <w:t xml:space="preserve"> dalla Swiss Fund Association in merito alla distribuzione</w:t>
      </w:r>
      <w:r w:rsidR="00D201CA" w:rsidRPr="001C7C5F">
        <w:rPr>
          <w:rFonts w:ascii="Arial" w:hAnsi="Arial" w:cs="Arial"/>
          <w:sz w:val="22"/>
          <w:szCs w:val="22"/>
          <w:lang w:val="it-CH" w:eastAsia="de-DE"/>
        </w:rPr>
        <w:t xml:space="preserve"> di investimenti collettivi di capitale</w:t>
      </w:r>
      <w:r w:rsidR="00FA6E67" w:rsidRPr="001C7C5F">
        <w:rPr>
          <w:rFonts w:ascii="Arial" w:hAnsi="Arial" w:cs="Arial"/>
          <w:sz w:val="22"/>
          <w:szCs w:val="22"/>
          <w:lang w:val="it-CH" w:eastAsia="de-DE"/>
        </w:rPr>
        <w:t xml:space="preserve">, </w:t>
      </w:r>
      <w:r w:rsidR="00D201CA" w:rsidRPr="001C7C5F">
        <w:rPr>
          <w:rFonts w:ascii="Arial" w:hAnsi="Arial" w:cs="Arial"/>
          <w:sz w:val="22"/>
          <w:szCs w:val="22"/>
          <w:lang w:val="it-CH" w:eastAsia="de-DE"/>
        </w:rPr>
        <w:t>a valere quali</w:t>
      </w:r>
      <w:r w:rsidR="00FA6E67" w:rsidRPr="001C7C5F">
        <w:rPr>
          <w:rFonts w:ascii="Arial" w:hAnsi="Arial" w:cs="Arial"/>
          <w:sz w:val="22"/>
          <w:szCs w:val="22"/>
          <w:lang w:val="it-CH" w:eastAsia="de-DE"/>
        </w:rPr>
        <w:t xml:space="preserve"> standards qualitativi riconosciuti da FINMA;</w:t>
      </w:r>
    </w:p>
    <w:p w:rsidR="00FA6E67" w:rsidRPr="001C7C5F" w:rsidRDefault="00C17E16" w:rsidP="001C7C5F">
      <w:pPr>
        <w:numPr>
          <w:ilvl w:val="0"/>
          <w:numId w:val="20"/>
        </w:numPr>
        <w:jc w:val="both"/>
        <w:rPr>
          <w:rFonts w:ascii="Arial" w:hAnsi="Arial" w:cs="Arial"/>
          <w:sz w:val="22"/>
          <w:szCs w:val="22"/>
          <w:lang w:val="it-CH" w:eastAsia="de-DE"/>
        </w:rPr>
      </w:pPr>
      <w:r w:rsidRPr="001C7C5F">
        <w:rPr>
          <w:rFonts w:ascii="Arial" w:hAnsi="Arial" w:cs="Arial"/>
          <w:sz w:val="22"/>
          <w:szCs w:val="22"/>
          <w:lang w:val="it-CH" w:eastAsia="de-DE"/>
        </w:rPr>
        <w:t>Sempre per investitori non qualificati, l</w:t>
      </w:r>
      <w:r w:rsidR="0003315C" w:rsidRPr="001C7C5F">
        <w:rPr>
          <w:rFonts w:ascii="Arial" w:hAnsi="Arial" w:cs="Arial"/>
          <w:sz w:val="22"/>
          <w:szCs w:val="22"/>
          <w:lang w:val="it-CH" w:eastAsia="de-DE"/>
        </w:rPr>
        <w:t xml:space="preserve">a LICOL prevede che </w:t>
      </w:r>
      <w:r w:rsidR="0003315C" w:rsidRPr="001C7C5F">
        <w:rPr>
          <w:rFonts w:ascii="Arial" w:hAnsi="Arial" w:cs="Arial"/>
          <w:sz w:val="22"/>
          <w:szCs w:val="22"/>
          <w:u w:val="single"/>
          <w:lang w:val="it-CH" w:eastAsia="de-DE"/>
        </w:rPr>
        <w:t>investimenti collettivi di capitali esteri distribuiti</w:t>
      </w:r>
      <w:r w:rsidR="0003315C" w:rsidRPr="001C7C5F">
        <w:rPr>
          <w:rFonts w:ascii="Arial" w:hAnsi="Arial" w:cs="Arial"/>
          <w:sz w:val="22"/>
          <w:szCs w:val="22"/>
          <w:lang w:val="it-CH" w:eastAsia="de-DE"/>
        </w:rPr>
        <w:t xml:space="preserve"> in Svizzera o a partire dalla Svizzera, necessita</w:t>
      </w:r>
      <w:r w:rsidR="00081875" w:rsidRPr="001C7C5F">
        <w:rPr>
          <w:rFonts w:ascii="Arial" w:hAnsi="Arial" w:cs="Arial"/>
          <w:sz w:val="22"/>
          <w:szCs w:val="22"/>
          <w:lang w:val="it-CH" w:eastAsia="de-DE"/>
        </w:rPr>
        <w:t>no</w:t>
      </w:r>
      <w:r w:rsidR="0003315C" w:rsidRPr="001C7C5F">
        <w:rPr>
          <w:rFonts w:ascii="Arial" w:hAnsi="Arial" w:cs="Arial"/>
          <w:sz w:val="22"/>
          <w:szCs w:val="22"/>
          <w:lang w:val="it-CH" w:eastAsia="de-DE"/>
        </w:rPr>
        <w:t xml:space="preserve"> dell’approvazione preventiva della FINMA. Il rappresentante del fondo estero deve quindi aver sottoposto alla FINMA i documenti determinanti del fondo estero, quali il prospetto di vendita, lo statuto od il contratto del fondo. La FINMA conferisce l’approvazione solo qualora l’investimento collettivo di capitale, la direzione del fondo, il gestore del fondo e l’ente di custodia sono sottoposti ad una vigilanza statale volta a proteggere gli investitori. Inoltre la direzione del fondo o la società di gestione nonché l’ente di custodia devono sottostare a normative equivalenti alle disposizioni svizzere (LICOL) per quanto riguarda l’organizzazione, i diritti degli investitori e la politica di investimento. Infine l’autorizzazione viene concessa unicamente qualora tra la FINMA e l’Autorità estera di vigilanza rilevanti per la distribuzione (ovvero il Paese di residenza del fondo e, se diverso, il Paese di residenza del gestore) esiste un accordo sulla collaborazione e lo scambio di informazioni.</w:t>
      </w:r>
      <w:r w:rsidR="00081875" w:rsidRPr="001C7C5F">
        <w:rPr>
          <w:rFonts w:ascii="Arial" w:hAnsi="Arial" w:cs="Arial"/>
          <w:sz w:val="22"/>
          <w:szCs w:val="22"/>
          <w:lang w:val="it-CH" w:eastAsia="de-DE"/>
        </w:rPr>
        <w:t xml:space="preserve"> </w:t>
      </w:r>
    </w:p>
    <w:p w:rsidR="001F19ED" w:rsidRPr="001C7C5F" w:rsidRDefault="001F19ED" w:rsidP="001C7C5F">
      <w:pPr>
        <w:jc w:val="both"/>
        <w:rPr>
          <w:rFonts w:ascii="Arial" w:hAnsi="Arial" w:cs="Arial"/>
          <w:sz w:val="22"/>
          <w:szCs w:val="22"/>
          <w:lang w:val="it-CH" w:eastAsia="de-DE"/>
        </w:rPr>
      </w:pPr>
    </w:p>
    <w:p w:rsidR="0030214B" w:rsidRPr="001C7C5F" w:rsidRDefault="00E137FB" w:rsidP="001C7C5F">
      <w:pPr>
        <w:jc w:val="both"/>
        <w:rPr>
          <w:rFonts w:ascii="Arial" w:hAnsi="Arial" w:cs="Arial"/>
          <w:sz w:val="22"/>
          <w:szCs w:val="22"/>
          <w:lang w:val="it-CH" w:eastAsia="de-DE"/>
        </w:rPr>
      </w:pPr>
      <w:r w:rsidRPr="001C7C5F">
        <w:rPr>
          <w:rFonts w:ascii="Arial" w:hAnsi="Arial" w:cs="Arial"/>
          <w:sz w:val="22"/>
          <w:szCs w:val="22"/>
          <w:lang w:val="it-CH" w:eastAsia="de-DE"/>
        </w:rPr>
        <w:t>In allegato le conseg</w:t>
      </w:r>
      <w:r w:rsidR="006902D8" w:rsidRPr="001C7C5F">
        <w:rPr>
          <w:rFonts w:ascii="Arial" w:hAnsi="Arial" w:cs="Arial"/>
          <w:sz w:val="22"/>
          <w:szCs w:val="22"/>
          <w:lang w:val="it-CH" w:eastAsia="de-DE"/>
        </w:rPr>
        <w:t>niamo quindi la Dichiarazione in base alla quale lei può dichiara</w:t>
      </w:r>
      <w:r w:rsidRPr="001C7C5F">
        <w:rPr>
          <w:rFonts w:ascii="Arial" w:hAnsi="Arial" w:cs="Arial"/>
          <w:sz w:val="22"/>
          <w:szCs w:val="22"/>
          <w:lang w:val="it-CH" w:eastAsia="de-DE"/>
        </w:rPr>
        <w:t>r</w:t>
      </w:r>
      <w:r w:rsidR="006902D8" w:rsidRPr="001C7C5F">
        <w:rPr>
          <w:rFonts w:ascii="Arial" w:hAnsi="Arial" w:cs="Arial"/>
          <w:sz w:val="22"/>
          <w:szCs w:val="22"/>
          <w:lang w:val="it-CH" w:eastAsia="de-DE"/>
        </w:rPr>
        <w:t xml:space="preserve">ci di non voler essere considerato </w:t>
      </w:r>
      <w:r w:rsidR="006902D8" w:rsidRPr="001C7C5F">
        <w:rPr>
          <w:rFonts w:ascii="Arial" w:hAnsi="Arial" w:cs="Arial"/>
          <w:i/>
          <w:sz w:val="22"/>
          <w:szCs w:val="22"/>
          <w:lang w:val="it-CH" w:eastAsia="de-DE"/>
        </w:rPr>
        <w:t>investitore qualificato</w:t>
      </w:r>
      <w:r w:rsidR="006902D8" w:rsidRPr="001C7C5F">
        <w:rPr>
          <w:rFonts w:ascii="Arial" w:hAnsi="Arial" w:cs="Arial"/>
          <w:sz w:val="22"/>
          <w:szCs w:val="22"/>
          <w:lang w:val="it-CH" w:eastAsia="de-DE"/>
        </w:rPr>
        <w:t xml:space="preserve"> segnalandole che</w:t>
      </w:r>
      <w:r w:rsidRPr="001C7C5F">
        <w:rPr>
          <w:rFonts w:ascii="Arial" w:hAnsi="Arial" w:cs="Arial"/>
          <w:sz w:val="22"/>
          <w:szCs w:val="22"/>
          <w:lang w:val="it-CH" w:eastAsia="de-DE"/>
        </w:rPr>
        <w:t>, in caso non dovessimo ricev</w:t>
      </w:r>
      <w:r w:rsidR="006902D8" w:rsidRPr="001C7C5F">
        <w:rPr>
          <w:rFonts w:ascii="Arial" w:hAnsi="Arial" w:cs="Arial"/>
          <w:sz w:val="22"/>
          <w:szCs w:val="22"/>
          <w:lang w:val="it-CH" w:eastAsia="de-DE"/>
        </w:rPr>
        <w:t xml:space="preserve">ere alcuna dichiarazione da parte sua, la continueremo a considerare un </w:t>
      </w:r>
      <w:r w:rsidR="006902D8" w:rsidRPr="001C7C5F">
        <w:rPr>
          <w:rFonts w:ascii="Arial" w:hAnsi="Arial" w:cs="Arial"/>
          <w:i/>
          <w:sz w:val="22"/>
          <w:szCs w:val="22"/>
          <w:lang w:val="it-CH" w:eastAsia="de-DE"/>
        </w:rPr>
        <w:t>investitore qualificato</w:t>
      </w:r>
      <w:r w:rsidR="006902D8" w:rsidRPr="001C7C5F">
        <w:rPr>
          <w:rFonts w:ascii="Arial" w:hAnsi="Arial" w:cs="Arial"/>
          <w:sz w:val="22"/>
          <w:szCs w:val="22"/>
          <w:lang w:val="it-CH" w:eastAsia="de-DE"/>
        </w:rPr>
        <w:t xml:space="preserve"> a norma di legge. Per contro</w:t>
      </w:r>
      <w:r w:rsidRPr="001C7C5F">
        <w:rPr>
          <w:rFonts w:ascii="Arial" w:hAnsi="Arial" w:cs="Arial"/>
          <w:sz w:val="22"/>
          <w:szCs w:val="22"/>
          <w:lang w:val="it-CH" w:eastAsia="de-DE"/>
        </w:rPr>
        <w:t>,</w:t>
      </w:r>
      <w:r w:rsidR="006902D8" w:rsidRPr="001C7C5F">
        <w:rPr>
          <w:rFonts w:ascii="Arial" w:hAnsi="Arial" w:cs="Arial"/>
          <w:sz w:val="22"/>
          <w:szCs w:val="22"/>
          <w:lang w:val="it-CH" w:eastAsia="de-DE"/>
        </w:rPr>
        <w:t xml:space="preserve"> qualora dovesse venir meno il mandato di gestione patrimoniale, dal giorno successivo all’ultimo giorno di validità dello stesso</w:t>
      </w:r>
      <w:r w:rsidRPr="001C7C5F">
        <w:rPr>
          <w:rFonts w:ascii="Arial" w:hAnsi="Arial" w:cs="Arial"/>
          <w:sz w:val="22"/>
          <w:szCs w:val="22"/>
          <w:lang w:val="it-CH" w:eastAsia="de-DE"/>
        </w:rPr>
        <w:t>,</w:t>
      </w:r>
      <w:r w:rsidR="006902D8" w:rsidRPr="001C7C5F">
        <w:rPr>
          <w:rFonts w:ascii="Arial" w:hAnsi="Arial" w:cs="Arial"/>
          <w:sz w:val="22"/>
          <w:szCs w:val="22"/>
          <w:lang w:val="it-CH" w:eastAsia="de-DE"/>
        </w:rPr>
        <w:t xml:space="preserve"> lei non sarà più considerato automaticamente un </w:t>
      </w:r>
      <w:r w:rsidR="006902D8" w:rsidRPr="001C7C5F">
        <w:rPr>
          <w:rFonts w:ascii="Arial" w:hAnsi="Arial" w:cs="Arial"/>
          <w:i/>
          <w:sz w:val="22"/>
          <w:szCs w:val="22"/>
          <w:lang w:val="it-CH" w:eastAsia="de-DE"/>
        </w:rPr>
        <w:t>investitore qualificato</w:t>
      </w:r>
      <w:r w:rsidR="006902D8" w:rsidRPr="001C7C5F">
        <w:rPr>
          <w:rFonts w:ascii="Arial" w:hAnsi="Arial" w:cs="Arial"/>
          <w:sz w:val="22"/>
          <w:szCs w:val="22"/>
          <w:lang w:val="it-CH" w:eastAsia="de-DE"/>
        </w:rPr>
        <w:t xml:space="preserve"> ai sensi dell’art. 10 cpv. 3ter LICOL.</w:t>
      </w:r>
    </w:p>
    <w:p w:rsidR="00F11F5D" w:rsidRPr="001C7C5F" w:rsidRDefault="00F11F5D" w:rsidP="001C7C5F">
      <w:pPr>
        <w:jc w:val="both"/>
        <w:rPr>
          <w:rFonts w:ascii="Arial" w:hAnsi="Arial" w:cs="Arial"/>
          <w:sz w:val="22"/>
          <w:szCs w:val="22"/>
          <w:lang w:val="it-CH" w:eastAsia="de-DE"/>
        </w:rPr>
      </w:pPr>
    </w:p>
    <w:p w:rsidR="000C6E1F" w:rsidRDefault="00F11F5D" w:rsidP="001C7C5F">
      <w:pPr>
        <w:jc w:val="both"/>
        <w:rPr>
          <w:rFonts w:ascii="Arial" w:hAnsi="Arial" w:cs="Arial"/>
          <w:sz w:val="22"/>
          <w:szCs w:val="22"/>
          <w:lang w:val="it-CH" w:eastAsia="de-DE"/>
        </w:rPr>
      </w:pPr>
      <w:r w:rsidRPr="001C7C5F">
        <w:rPr>
          <w:rFonts w:ascii="Arial" w:hAnsi="Arial" w:cs="Arial"/>
          <w:sz w:val="22"/>
          <w:szCs w:val="22"/>
          <w:lang w:val="it-CH" w:eastAsia="de-DE"/>
        </w:rPr>
        <w:t>Con i nostri migliori saluti.</w:t>
      </w:r>
    </w:p>
    <w:p w:rsidR="001C7C5F" w:rsidRDefault="001C7C5F" w:rsidP="001C7C5F">
      <w:pPr>
        <w:jc w:val="both"/>
        <w:rPr>
          <w:rFonts w:ascii="Arial" w:hAnsi="Arial" w:cs="Arial"/>
          <w:sz w:val="22"/>
          <w:szCs w:val="22"/>
          <w:lang w:val="it-CH" w:eastAsia="de-DE"/>
        </w:rPr>
      </w:pPr>
    </w:p>
    <w:p w:rsidR="001C7C5F" w:rsidRDefault="001C7C5F" w:rsidP="001C7C5F">
      <w:pPr>
        <w:jc w:val="both"/>
        <w:rPr>
          <w:rFonts w:ascii="Arial" w:hAnsi="Arial" w:cs="Arial"/>
          <w:sz w:val="22"/>
          <w:szCs w:val="22"/>
          <w:lang w:val="it-CH" w:eastAsia="de-DE"/>
        </w:rPr>
      </w:pPr>
    </w:p>
    <w:p w:rsidR="001C7C5F" w:rsidRPr="001C7C5F" w:rsidRDefault="001C7C5F" w:rsidP="001C7C5F">
      <w:pPr>
        <w:jc w:val="both"/>
        <w:rPr>
          <w:rFonts w:ascii="Arial" w:hAnsi="Arial" w:cs="Arial"/>
          <w:sz w:val="22"/>
          <w:szCs w:val="22"/>
          <w:lang w:val="it-CH" w:eastAsia="de-DE"/>
        </w:rPr>
      </w:pPr>
      <w:r>
        <w:rPr>
          <w:rFonts w:ascii="Arial" w:hAnsi="Arial" w:cs="Arial"/>
          <w:sz w:val="22"/>
          <w:szCs w:val="22"/>
          <w:lang w:val="it-CH" w:eastAsia="de-DE"/>
        </w:rPr>
        <w:t>VIS Asset Management SA</w:t>
      </w:r>
    </w:p>
    <w:p w:rsidR="00E137FB" w:rsidRPr="001C7C5F" w:rsidRDefault="00E137FB" w:rsidP="001C7C5F">
      <w:pPr>
        <w:tabs>
          <w:tab w:val="left" w:pos="1134"/>
        </w:tabs>
        <w:spacing w:line="240" w:lineRule="atLeast"/>
        <w:ind w:left="993" w:hanging="993"/>
        <w:jc w:val="both"/>
        <w:rPr>
          <w:rFonts w:ascii="Arial" w:hAnsi="Arial" w:cs="Arial"/>
          <w:sz w:val="22"/>
          <w:szCs w:val="22"/>
          <w:lang w:val="it-CH" w:eastAsia="de-DE"/>
        </w:rPr>
      </w:pPr>
    </w:p>
    <w:p w:rsidR="00E137FB" w:rsidRPr="001C7C5F" w:rsidRDefault="00E137FB" w:rsidP="001C7C5F">
      <w:pPr>
        <w:tabs>
          <w:tab w:val="left" w:pos="1134"/>
        </w:tabs>
        <w:spacing w:line="240" w:lineRule="atLeast"/>
        <w:ind w:left="993" w:hanging="993"/>
        <w:jc w:val="both"/>
        <w:rPr>
          <w:rFonts w:ascii="Arial" w:hAnsi="Arial" w:cs="Arial"/>
          <w:b/>
          <w:sz w:val="22"/>
          <w:szCs w:val="22"/>
          <w:lang w:val="it-CH" w:eastAsia="de-DE"/>
        </w:rPr>
      </w:pPr>
    </w:p>
    <w:p w:rsidR="001C7C5F" w:rsidRDefault="00195E01" w:rsidP="001C7C5F">
      <w:pPr>
        <w:tabs>
          <w:tab w:val="left" w:pos="1134"/>
        </w:tabs>
        <w:spacing w:line="240" w:lineRule="atLeast"/>
        <w:ind w:left="993" w:hanging="993"/>
        <w:jc w:val="both"/>
        <w:rPr>
          <w:rFonts w:ascii="Arial" w:hAnsi="Arial" w:cs="Arial"/>
          <w:sz w:val="22"/>
          <w:szCs w:val="22"/>
          <w:lang w:val="it-CH" w:eastAsia="de-DE"/>
        </w:rPr>
      </w:pPr>
      <w:r w:rsidRPr="001C7C5F">
        <w:rPr>
          <w:rFonts w:ascii="Arial" w:hAnsi="Arial" w:cs="Arial"/>
          <w:b/>
          <w:sz w:val="22"/>
          <w:szCs w:val="22"/>
          <w:lang w:val="it-CH" w:eastAsia="de-DE"/>
        </w:rPr>
        <w:t>Allegati</w:t>
      </w:r>
      <w:r w:rsidRPr="001C7C5F">
        <w:rPr>
          <w:rFonts w:ascii="Arial" w:hAnsi="Arial" w:cs="Arial"/>
          <w:sz w:val="22"/>
          <w:szCs w:val="22"/>
          <w:lang w:val="it-CH" w:eastAsia="de-DE"/>
        </w:rPr>
        <w:t xml:space="preserve">:  </w:t>
      </w:r>
    </w:p>
    <w:p w:rsidR="001C7C5F" w:rsidRDefault="001C7C5F" w:rsidP="001C7C5F">
      <w:pPr>
        <w:tabs>
          <w:tab w:val="left" w:pos="1134"/>
        </w:tabs>
        <w:spacing w:line="240" w:lineRule="atLeast"/>
        <w:ind w:left="993" w:hanging="993"/>
        <w:jc w:val="both"/>
        <w:rPr>
          <w:rFonts w:ascii="Arial" w:hAnsi="Arial" w:cs="Arial"/>
          <w:sz w:val="22"/>
          <w:szCs w:val="22"/>
          <w:lang w:val="it-CH" w:eastAsia="de-DE"/>
        </w:rPr>
      </w:pPr>
    </w:p>
    <w:p w:rsidR="001C7C5F" w:rsidRDefault="00CE1B3D" w:rsidP="001C7C5F">
      <w:pPr>
        <w:tabs>
          <w:tab w:val="left" w:pos="1134"/>
        </w:tabs>
        <w:spacing w:line="240" w:lineRule="atLeast"/>
        <w:ind w:left="993" w:hanging="993"/>
        <w:jc w:val="both"/>
        <w:rPr>
          <w:rFonts w:ascii="Arial" w:hAnsi="Arial" w:cs="Arial"/>
          <w:sz w:val="22"/>
          <w:szCs w:val="22"/>
          <w:lang w:val="it-CH" w:eastAsia="de-DE"/>
        </w:rPr>
      </w:pPr>
      <w:r w:rsidRPr="001C7C5F">
        <w:rPr>
          <w:rFonts w:ascii="Arial" w:hAnsi="Arial" w:cs="Arial"/>
          <w:sz w:val="22"/>
          <w:szCs w:val="22"/>
          <w:lang w:val="it-CH" w:eastAsia="de-DE"/>
        </w:rPr>
        <w:t xml:space="preserve">  </w:t>
      </w:r>
      <w:r w:rsidR="00195E01" w:rsidRPr="001C7C5F">
        <w:rPr>
          <w:rFonts w:ascii="Arial" w:hAnsi="Arial" w:cs="Arial"/>
          <w:sz w:val="22"/>
          <w:szCs w:val="22"/>
          <w:lang w:val="it-CH" w:eastAsia="de-DE"/>
        </w:rPr>
        <w:t>-</w:t>
      </w:r>
      <w:r w:rsidR="00254991" w:rsidRPr="001C7C5F">
        <w:rPr>
          <w:rFonts w:ascii="Arial" w:hAnsi="Arial" w:cs="Arial"/>
          <w:sz w:val="22"/>
          <w:szCs w:val="22"/>
          <w:lang w:val="it-CH" w:eastAsia="de-DE"/>
        </w:rPr>
        <w:t xml:space="preserve"> </w:t>
      </w:r>
      <w:r w:rsidR="00195E01" w:rsidRPr="001C7C5F">
        <w:rPr>
          <w:rFonts w:ascii="Arial" w:hAnsi="Arial" w:cs="Arial"/>
          <w:sz w:val="22"/>
          <w:szCs w:val="22"/>
          <w:lang w:val="it-CH" w:eastAsia="de-DE"/>
        </w:rPr>
        <w:t>Testo art. 10 LICOL;</w:t>
      </w:r>
    </w:p>
    <w:p w:rsidR="001C7C5F" w:rsidRDefault="001C7C5F" w:rsidP="001C7C5F">
      <w:pPr>
        <w:tabs>
          <w:tab w:val="left" w:pos="1134"/>
        </w:tabs>
        <w:spacing w:line="240" w:lineRule="atLeast"/>
        <w:ind w:left="993" w:hanging="993"/>
        <w:jc w:val="both"/>
        <w:rPr>
          <w:rFonts w:ascii="Arial" w:hAnsi="Arial" w:cs="Arial"/>
          <w:sz w:val="22"/>
          <w:szCs w:val="22"/>
          <w:lang w:val="it-CH" w:eastAsia="de-DE"/>
        </w:rPr>
      </w:pPr>
      <w:r>
        <w:rPr>
          <w:rFonts w:ascii="Arial" w:hAnsi="Arial" w:cs="Arial"/>
          <w:sz w:val="22"/>
          <w:szCs w:val="22"/>
          <w:lang w:val="it-CH" w:eastAsia="de-DE"/>
        </w:rPr>
        <w:t xml:space="preserve">  - </w:t>
      </w:r>
      <w:r w:rsidR="00195E01" w:rsidRPr="001C7C5F">
        <w:rPr>
          <w:rFonts w:ascii="Arial" w:hAnsi="Arial" w:cs="Arial"/>
          <w:sz w:val="22"/>
          <w:szCs w:val="22"/>
          <w:lang w:val="it-CH" w:eastAsia="de-DE"/>
        </w:rPr>
        <w:t xml:space="preserve">Testo art. </w:t>
      </w:r>
      <w:r w:rsidR="00254991" w:rsidRPr="001C7C5F">
        <w:rPr>
          <w:rFonts w:ascii="Arial" w:hAnsi="Arial" w:cs="Arial"/>
          <w:sz w:val="22"/>
          <w:szCs w:val="22"/>
          <w:lang w:val="it-CH" w:eastAsia="de-DE"/>
        </w:rPr>
        <w:t>6</w:t>
      </w:r>
      <w:r w:rsidR="00195E01" w:rsidRPr="001C7C5F">
        <w:rPr>
          <w:rFonts w:ascii="Arial" w:hAnsi="Arial" w:cs="Arial"/>
          <w:sz w:val="22"/>
          <w:szCs w:val="22"/>
          <w:lang w:val="it-CH" w:eastAsia="de-DE"/>
        </w:rPr>
        <w:t>a OICOL;</w:t>
      </w:r>
    </w:p>
    <w:p w:rsidR="00896A4C" w:rsidRPr="001C7C5F" w:rsidRDefault="001C7C5F" w:rsidP="001C7C5F">
      <w:pPr>
        <w:tabs>
          <w:tab w:val="left" w:pos="1134"/>
        </w:tabs>
        <w:spacing w:line="240" w:lineRule="atLeast"/>
        <w:ind w:left="993" w:hanging="993"/>
        <w:jc w:val="both"/>
        <w:rPr>
          <w:rFonts w:ascii="Arial" w:hAnsi="Arial" w:cs="Arial"/>
          <w:sz w:val="22"/>
          <w:szCs w:val="22"/>
          <w:lang w:val="it-CH" w:eastAsia="de-DE"/>
        </w:rPr>
      </w:pPr>
      <w:r>
        <w:rPr>
          <w:rFonts w:ascii="Arial" w:hAnsi="Arial" w:cs="Arial"/>
          <w:sz w:val="22"/>
          <w:szCs w:val="22"/>
          <w:lang w:val="it-CH" w:eastAsia="de-DE"/>
        </w:rPr>
        <w:t xml:space="preserve">  -</w:t>
      </w:r>
      <w:r w:rsidR="00896A4C" w:rsidRPr="001C7C5F">
        <w:rPr>
          <w:rFonts w:ascii="Arial" w:hAnsi="Arial" w:cs="Arial"/>
          <w:sz w:val="22"/>
          <w:szCs w:val="22"/>
          <w:lang w:val="it-CH" w:eastAsia="de-DE"/>
        </w:rPr>
        <w:t xml:space="preserve"> Dichiarazione ex art. 6a OICOL</w:t>
      </w:r>
    </w:p>
    <w:p w:rsidR="00896A4C" w:rsidRPr="001C7C5F" w:rsidRDefault="00896A4C"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r w:rsidRPr="001C7C5F">
        <w:rPr>
          <w:rFonts w:ascii="Arial" w:hAnsi="Arial" w:cs="Arial"/>
          <w:sz w:val="22"/>
          <w:szCs w:val="22"/>
          <w:lang w:val="it-CH" w:eastAsia="de-DE"/>
        </w:rPr>
        <w:t>Con la presente dichiaro di aver ricevuto, letto e compreso il presente documento e i suoi allegati.</w:t>
      </w: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p>
    <w:p w:rsidR="00F51CB8" w:rsidRPr="001C7C5F" w:rsidRDefault="00F51CB8" w:rsidP="001C7C5F">
      <w:pPr>
        <w:tabs>
          <w:tab w:val="left" w:pos="1134"/>
        </w:tabs>
        <w:spacing w:line="240" w:lineRule="atLeast"/>
        <w:jc w:val="both"/>
        <w:rPr>
          <w:rFonts w:ascii="Arial" w:hAnsi="Arial" w:cs="Arial"/>
          <w:sz w:val="22"/>
          <w:szCs w:val="22"/>
          <w:lang w:val="it-CH" w:eastAsia="de-DE"/>
        </w:rPr>
      </w:pPr>
      <w:r w:rsidRPr="001C7C5F">
        <w:rPr>
          <w:rFonts w:ascii="Arial" w:hAnsi="Arial" w:cs="Arial"/>
          <w:sz w:val="22"/>
          <w:szCs w:val="22"/>
          <w:lang w:val="it-CH" w:eastAsia="de-DE"/>
        </w:rPr>
        <w:t>-----------------------------------------------</w:t>
      </w:r>
    </w:p>
    <w:p w:rsidR="00F51CB8" w:rsidRPr="001C7C5F" w:rsidRDefault="00F51CB8" w:rsidP="001C7C5F">
      <w:pPr>
        <w:tabs>
          <w:tab w:val="left" w:pos="1134"/>
        </w:tabs>
        <w:spacing w:line="240" w:lineRule="atLeast"/>
        <w:jc w:val="both"/>
        <w:rPr>
          <w:rFonts w:ascii="Arial" w:hAnsi="Arial" w:cs="Arial"/>
          <w:sz w:val="22"/>
          <w:szCs w:val="22"/>
          <w:lang w:val="it-CH" w:eastAsia="de-DE"/>
        </w:rPr>
      </w:pPr>
      <w:r w:rsidRPr="001C7C5F">
        <w:rPr>
          <w:rFonts w:ascii="Arial" w:hAnsi="Arial" w:cs="Arial"/>
          <w:sz w:val="22"/>
          <w:szCs w:val="22"/>
          <w:lang w:val="it-CH" w:eastAsia="de-DE"/>
        </w:rPr>
        <w:t>Il cliente</w:t>
      </w:r>
    </w:p>
    <w:p w:rsidR="00F51CB8" w:rsidRPr="001C7C5F" w:rsidRDefault="00F51CB8" w:rsidP="001C7C5F">
      <w:pPr>
        <w:tabs>
          <w:tab w:val="left" w:pos="1134"/>
        </w:tabs>
        <w:spacing w:line="240" w:lineRule="atLeast"/>
        <w:jc w:val="both"/>
        <w:rPr>
          <w:rFonts w:ascii="Arial" w:hAnsi="Arial" w:cs="Arial"/>
          <w:sz w:val="24"/>
          <w:szCs w:val="24"/>
          <w:lang w:val="it-CH" w:eastAsia="de-DE"/>
        </w:rPr>
      </w:pPr>
    </w:p>
    <w:p w:rsidR="00CE1B3D" w:rsidRPr="001C7C5F" w:rsidRDefault="00CE1B3D" w:rsidP="001C7C5F">
      <w:pPr>
        <w:tabs>
          <w:tab w:val="left" w:pos="1134"/>
        </w:tabs>
        <w:spacing w:line="240" w:lineRule="atLeast"/>
        <w:jc w:val="both"/>
        <w:rPr>
          <w:rFonts w:ascii="Arial" w:hAnsi="Arial" w:cs="Arial"/>
          <w:lang w:val="it-CH" w:eastAsia="de-DE"/>
        </w:rPr>
      </w:pPr>
    </w:p>
    <w:p w:rsidR="00896A4C" w:rsidRPr="001C7C5F" w:rsidRDefault="00896A4C" w:rsidP="001C7C5F">
      <w:pPr>
        <w:tabs>
          <w:tab w:val="left" w:pos="1134"/>
        </w:tabs>
        <w:spacing w:line="240" w:lineRule="atLeast"/>
        <w:jc w:val="both"/>
        <w:rPr>
          <w:rFonts w:ascii="Arial" w:hAnsi="Arial" w:cs="Arial"/>
          <w:lang w:val="it-CH" w:eastAsia="de-DE"/>
        </w:rPr>
      </w:pPr>
      <w:r w:rsidRPr="001C7C5F">
        <w:rPr>
          <w:rFonts w:ascii="Arial" w:hAnsi="Arial" w:cs="Arial"/>
          <w:lang w:val="it-CH" w:eastAsia="de-DE"/>
        </w:rPr>
        <w:t>LICOL Art. 10: Investitori</w:t>
      </w:r>
    </w:p>
    <w:p w:rsidR="00896A4C" w:rsidRPr="001C7C5F" w:rsidRDefault="00896A4C" w:rsidP="001C7C5F">
      <w:pPr>
        <w:tabs>
          <w:tab w:val="left" w:pos="1134"/>
        </w:tabs>
        <w:spacing w:line="240" w:lineRule="atLeast"/>
        <w:jc w:val="both"/>
        <w:rPr>
          <w:rFonts w:ascii="Arial" w:hAnsi="Arial" w:cs="Arial"/>
          <w:lang w:val="it-CH" w:eastAsia="de-DE"/>
        </w:rPr>
      </w:pPr>
    </w:p>
    <w:p w:rsidR="00896A4C" w:rsidRPr="001C7C5F" w:rsidRDefault="00896A4C" w:rsidP="001C7C5F">
      <w:pPr>
        <w:spacing w:before="100" w:beforeAutospacing="1" w:after="100" w:afterAutospacing="1"/>
        <w:jc w:val="both"/>
        <w:rPr>
          <w:rFonts w:ascii="Arial" w:hAnsi="Arial" w:cs="Arial"/>
        </w:rPr>
      </w:pPr>
      <w:bookmarkStart w:id="0" w:name="1"/>
      <w:r w:rsidRPr="001C7C5F">
        <w:rPr>
          <w:rFonts w:ascii="Arial" w:hAnsi="Arial" w:cs="Arial"/>
          <w:vertAlign w:val="superscript"/>
        </w:rPr>
        <w:lastRenderedPageBreak/>
        <w:t>1</w:t>
      </w:r>
      <w:bookmarkEnd w:id="0"/>
      <w:r w:rsidRPr="001C7C5F">
        <w:rPr>
          <w:rFonts w:ascii="Arial" w:hAnsi="Arial" w:cs="Arial"/>
        </w:rPr>
        <w:t> Gli investitori sono persone fisiche o giuridiche, come pure società in nome collettivo o in accomandita, che detengono quote in investimenti collettivi di capitale.</w:t>
      </w:r>
    </w:p>
    <w:p w:rsidR="00896A4C" w:rsidRPr="001C7C5F" w:rsidRDefault="00896A4C" w:rsidP="001C7C5F">
      <w:pPr>
        <w:spacing w:before="100" w:beforeAutospacing="1" w:after="100" w:afterAutospacing="1"/>
        <w:jc w:val="both"/>
        <w:rPr>
          <w:rFonts w:ascii="Arial" w:hAnsi="Arial" w:cs="Arial"/>
        </w:rPr>
      </w:pPr>
      <w:bookmarkStart w:id="1" w:name="2"/>
      <w:r w:rsidRPr="001C7C5F">
        <w:rPr>
          <w:rFonts w:ascii="Arial" w:hAnsi="Arial" w:cs="Arial"/>
          <w:vertAlign w:val="superscript"/>
        </w:rPr>
        <w:t>2</w:t>
      </w:r>
      <w:bookmarkEnd w:id="1"/>
      <w:r w:rsidRPr="001C7C5F">
        <w:rPr>
          <w:rFonts w:ascii="Arial" w:hAnsi="Arial" w:cs="Arial"/>
        </w:rPr>
        <w:t> Gli investimenti collettivi di capitale sono accessibili a tutti gli investitori, eccetto che la presente legge, il regolamento del fondo o lo statuto ne limitino la cerchia a investitori qualificati.</w:t>
      </w:r>
    </w:p>
    <w:p w:rsidR="00896A4C" w:rsidRPr="001C7C5F" w:rsidRDefault="00896A4C" w:rsidP="001C7C5F">
      <w:pPr>
        <w:spacing w:before="100" w:beforeAutospacing="1" w:after="100" w:afterAutospacing="1"/>
        <w:jc w:val="both"/>
        <w:rPr>
          <w:rFonts w:ascii="Arial" w:hAnsi="Arial" w:cs="Arial"/>
        </w:rPr>
      </w:pPr>
      <w:bookmarkStart w:id="2" w:name="3"/>
      <w:r w:rsidRPr="001C7C5F">
        <w:rPr>
          <w:rFonts w:ascii="Arial" w:hAnsi="Arial" w:cs="Arial"/>
          <w:vertAlign w:val="superscript"/>
        </w:rPr>
        <w:t>3</w:t>
      </w:r>
      <w:bookmarkEnd w:id="2"/>
      <w:r w:rsidRPr="001C7C5F">
        <w:rPr>
          <w:rFonts w:ascii="Arial" w:hAnsi="Arial" w:cs="Arial"/>
        </w:rPr>
        <w:t> Ai sensi della presente legge si considerano investitori qualificati:</w:t>
      </w:r>
      <w:hyperlink r:id="rId7" w:anchor="fn-#a10-1" w:history="1">
        <w:r w:rsidRPr="001C7C5F">
          <w:rPr>
            <w:rFonts w:ascii="Arial" w:hAnsi="Arial" w:cs="Arial"/>
            <w:color w:val="0000FF"/>
            <w:u w:val="single"/>
            <w:vertAlign w:val="superscript"/>
          </w:rPr>
          <w:t>1</w:t>
        </w:r>
      </w:hyperlink>
    </w:p>
    <w:p w:rsidR="00896A4C" w:rsidRPr="001C7C5F" w:rsidRDefault="00896A4C" w:rsidP="001C7C5F">
      <w:pPr>
        <w:jc w:val="both"/>
        <w:rPr>
          <w:rFonts w:ascii="Arial" w:hAnsi="Arial" w:cs="Arial"/>
        </w:rPr>
      </w:pPr>
      <w:r w:rsidRPr="001C7C5F">
        <w:rPr>
          <w:rFonts w:ascii="Arial" w:hAnsi="Arial" w:cs="Arial"/>
        </w:rPr>
        <w:t>a.</w:t>
      </w:r>
      <w:hyperlink r:id="rId8" w:anchor="fn-#a10-2" w:history="1">
        <w:r w:rsidRPr="001C7C5F">
          <w:rPr>
            <w:rFonts w:ascii="Arial" w:hAnsi="Arial" w:cs="Arial"/>
            <w:color w:val="0000FF"/>
            <w:u w:val="single"/>
            <w:vertAlign w:val="superscript"/>
          </w:rPr>
          <w:t>2</w:t>
        </w:r>
      </w:hyperlink>
      <w:r w:rsidR="00CE1B3D" w:rsidRPr="001C7C5F">
        <w:rPr>
          <w:rFonts w:ascii="Arial" w:hAnsi="Arial" w:cs="Arial"/>
          <w:vertAlign w:val="superscript"/>
        </w:rPr>
        <w:tab/>
      </w:r>
      <w:r w:rsidRPr="001C7C5F">
        <w:rPr>
          <w:rFonts w:ascii="Arial" w:hAnsi="Arial" w:cs="Arial"/>
        </w:rPr>
        <w:t xml:space="preserve">gli intermediari finanziari sottoposti a vigilanza come le banche, i commercianti di valori </w:t>
      </w:r>
      <w:r w:rsidR="00CE1B3D" w:rsidRPr="001C7C5F">
        <w:rPr>
          <w:rFonts w:ascii="Arial" w:hAnsi="Arial" w:cs="Arial"/>
        </w:rPr>
        <w:tab/>
      </w:r>
      <w:r w:rsidRPr="001C7C5F">
        <w:rPr>
          <w:rFonts w:ascii="Arial" w:hAnsi="Arial" w:cs="Arial"/>
        </w:rPr>
        <w:t xml:space="preserve">mobiliari, le direzioni dei fondi, i gestori patrimoniali degli investimenti collettivi di capitale </w:t>
      </w:r>
      <w:r w:rsidR="00CE1B3D" w:rsidRPr="001C7C5F">
        <w:rPr>
          <w:rFonts w:ascii="Arial" w:hAnsi="Arial" w:cs="Arial"/>
        </w:rPr>
        <w:tab/>
      </w:r>
      <w:r w:rsidRPr="001C7C5F">
        <w:rPr>
          <w:rFonts w:ascii="Arial" w:hAnsi="Arial" w:cs="Arial"/>
        </w:rPr>
        <w:t>e le banche centrali;</w:t>
      </w:r>
    </w:p>
    <w:p w:rsidR="00896A4C" w:rsidRPr="001C7C5F" w:rsidRDefault="00896A4C" w:rsidP="001C7C5F">
      <w:pPr>
        <w:jc w:val="both"/>
        <w:rPr>
          <w:rFonts w:ascii="Arial" w:hAnsi="Arial" w:cs="Arial"/>
        </w:rPr>
      </w:pPr>
      <w:r w:rsidRPr="001C7C5F">
        <w:rPr>
          <w:rFonts w:ascii="Arial" w:hAnsi="Arial" w:cs="Arial"/>
        </w:rPr>
        <w:t>b.</w:t>
      </w:r>
      <w:r w:rsidR="00CE1B3D" w:rsidRPr="001C7C5F">
        <w:rPr>
          <w:rFonts w:ascii="Arial" w:hAnsi="Arial" w:cs="Arial"/>
        </w:rPr>
        <w:tab/>
      </w:r>
      <w:r w:rsidRPr="001C7C5F">
        <w:rPr>
          <w:rFonts w:ascii="Arial" w:hAnsi="Arial" w:cs="Arial"/>
        </w:rPr>
        <w:t>gli istituti di assicurazione sottoposti a vigilanza;</w:t>
      </w:r>
    </w:p>
    <w:p w:rsidR="00896A4C" w:rsidRPr="001C7C5F" w:rsidRDefault="00896A4C" w:rsidP="001C7C5F">
      <w:pPr>
        <w:jc w:val="both"/>
        <w:rPr>
          <w:rFonts w:ascii="Arial" w:hAnsi="Arial" w:cs="Arial"/>
        </w:rPr>
      </w:pPr>
      <w:r w:rsidRPr="001C7C5F">
        <w:rPr>
          <w:rFonts w:ascii="Arial" w:hAnsi="Arial" w:cs="Arial"/>
        </w:rPr>
        <w:t>c.</w:t>
      </w:r>
      <w:r w:rsidR="00CE1B3D" w:rsidRPr="001C7C5F">
        <w:rPr>
          <w:rFonts w:ascii="Arial" w:hAnsi="Arial" w:cs="Arial"/>
        </w:rPr>
        <w:tab/>
      </w:r>
      <w:r w:rsidRPr="001C7C5F">
        <w:rPr>
          <w:rFonts w:ascii="Arial" w:hAnsi="Arial" w:cs="Arial"/>
        </w:rPr>
        <w:t>gli enti di diritto pubblico e gli istituti di previdenza con tesoreria professionale;</w:t>
      </w:r>
    </w:p>
    <w:p w:rsidR="00896A4C" w:rsidRPr="001C7C5F" w:rsidRDefault="00896A4C" w:rsidP="001C7C5F">
      <w:pPr>
        <w:jc w:val="both"/>
        <w:rPr>
          <w:rFonts w:ascii="Arial" w:hAnsi="Arial" w:cs="Arial"/>
        </w:rPr>
      </w:pPr>
      <w:r w:rsidRPr="001C7C5F">
        <w:rPr>
          <w:rFonts w:ascii="Arial" w:hAnsi="Arial" w:cs="Arial"/>
        </w:rPr>
        <w:t>d.</w:t>
      </w:r>
      <w:r w:rsidR="00CE1B3D" w:rsidRPr="001C7C5F">
        <w:rPr>
          <w:rFonts w:ascii="Arial" w:hAnsi="Arial" w:cs="Arial"/>
        </w:rPr>
        <w:tab/>
      </w:r>
      <w:r w:rsidRPr="001C7C5F">
        <w:rPr>
          <w:rFonts w:ascii="Arial" w:hAnsi="Arial" w:cs="Arial"/>
        </w:rPr>
        <w:t>le imprese con tesoreria professionale;</w:t>
      </w:r>
    </w:p>
    <w:p w:rsidR="00896A4C" w:rsidRPr="001C7C5F" w:rsidRDefault="00896A4C" w:rsidP="001C7C5F">
      <w:pPr>
        <w:jc w:val="both"/>
        <w:rPr>
          <w:rFonts w:ascii="Arial" w:hAnsi="Arial" w:cs="Arial"/>
        </w:rPr>
      </w:pPr>
      <w:r w:rsidRPr="001C7C5F">
        <w:rPr>
          <w:rFonts w:ascii="Arial" w:hAnsi="Arial" w:cs="Arial"/>
        </w:rPr>
        <w:t>e. e f.</w:t>
      </w:r>
      <w:hyperlink r:id="rId9" w:anchor="fn-#a10-3" w:history="1">
        <w:r w:rsidRPr="001C7C5F">
          <w:rPr>
            <w:rFonts w:ascii="Arial" w:hAnsi="Arial" w:cs="Arial"/>
            <w:color w:val="0000FF"/>
            <w:u w:val="single"/>
            <w:vertAlign w:val="superscript"/>
          </w:rPr>
          <w:t>3</w:t>
        </w:r>
      </w:hyperlink>
      <w:r w:rsidRPr="001C7C5F">
        <w:rPr>
          <w:rFonts w:ascii="Arial" w:hAnsi="Arial" w:cs="Arial"/>
        </w:rPr>
        <w:t xml:space="preserve"> </w:t>
      </w:r>
      <w:r w:rsidR="00CE1B3D" w:rsidRPr="001C7C5F">
        <w:rPr>
          <w:rFonts w:ascii="Arial" w:hAnsi="Arial" w:cs="Arial"/>
        </w:rPr>
        <w:tab/>
      </w:r>
      <w:r w:rsidRPr="001C7C5F">
        <w:rPr>
          <w:rFonts w:ascii="Arial" w:hAnsi="Arial" w:cs="Arial"/>
        </w:rPr>
        <w:t>…</w:t>
      </w:r>
    </w:p>
    <w:p w:rsidR="00896A4C" w:rsidRPr="001C7C5F" w:rsidRDefault="00896A4C" w:rsidP="001C7C5F">
      <w:pPr>
        <w:spacing w:before="100" w:beforeAutospacing="1" w:after="100" w:afterAutospacing="1"/>
        <w:jc w:val="both"/>
        <w:rPr>
          <w:rFonts w:ascii="Arial" w:hAnsi="Arial" w:cs="Arial"/>
        </w:rPr>
      </w:pPr>
      <w:bookmarkStart w:id="3" w:name="3bis"/>
      <w:r w:rsidRPr="001C7C5F">
        <w:rPr>
          <w:rFonts w:ascii="Arial" w:hAnsi="Arial" w:cs="Arial"/>
          <w:vertAlign w:val="superscript"/>
        </w:rPr>
        <w:t>3bis</w:t>
      </w:r>
      <w:bookmarkEnd w:id="3"/>
      <w:r w:rsidRPr="001C7C5F">
        <w:rPr>
          <w:rFonts w:ascii="Arial" w:hAnsi="Arial" w:cs="Arial"/>
        </w:rPr>
        <w:t> I privati facoltosi possono dichiarare per scritto di volere essere considerati investitori qualificati. Il Consiglio federale può far dipendere da condizioni l'idoneità di tali persone quali investitori qualificati, segnatamente dalle loro qualifiche professionali.</w:t>
      </w:r>
      <w:hyperlink r:id="rId10" w:anchor="fn-#a10-4" w:history="1">
        <w:r w:rsidRPr="001C7C5F">
          <w:rPr>
            <w:rFonts w:ascii="Arial" w:hAnsi="Arial" w:cs="Arial"/>
            <w:color w:val="0000FF"/>
            <w:u w:val="single"/>
            <w:vertAlign w:val="superscript"/>
          </w:rPr>
          <w:t>4</w:t>
        </w:r>
      </w:hyperlink>
    </w:p>
    <w:p w:rsidR="00896A4C" w:rsidRPr="001C7C5F" w:rsidRDefault="00896A4C" w:rsidP="001C7C5F">
      <w:pPr>
        <w:spacing w:before="100" w:beforeAutospacing="1" w:after="100" w:afterAutospacing="1"/>
        <w:jc w:val="both"/>
        <w:rPr>
          <w:rFonts w:ascii="Arial" w:hAnsi="Arial" w:cs="Arial"/>
        </w:rPr>
      </w:pPr>
      <w:bookmarkStart w:id="4" w:name="3ter"/>
      <w:r w:rsidRPr="001C7C5F">
        <w:rPr>
          <w:rFonts w:ascii="Arial" w:hAnsi="Arial" w:cs="Arial"/>
          <w:vertAlign w:val="superscript"/>
        </w:rPr>
        <w:t>3ter</w:t>
      </w:r>
      <w:bookmarkEnd w:id="4"/>
      <w:r w:rsidRPr="001C7C5F">
        <w:rPr>
          <w:rFonts w:ascii="Arial" w:hAnsi="Arial" w:cs="Arial"/>
        </w:rPr>
        <w:t> Gli investitori che hanno concluso un contratto scritto di gestione patrimoniale secondo l'articolo 3 capoverso 2 lettere b e c sono considerati investitori qualificati sempre che non abbiano dichiarato per scritto di non voler essere considerati tali.</w:t>
      </w:r>
      <w:hyperlink r:id="rId11" w:anchor="fn-#a10-5" w:history="1">
        <w:r w:rsidRPr="001C7C5F">
          <w:rPr>
            <w:rFonts w:ascii="Arial" w:hAnsi="Arial" w:cs="Arial"/>
            <w:color w:val="0000FF"/>
            <w:u w:val="single"/>
            <w:vertAlign w:val="superscript"/>
          </w:rPr>
          <w:t>5</w:t>
        </w:r>
      </w:hyperlink>
    </w:p>
    <w:p w:rsidR="00896A4C" w:rsidRPr="001C7C5F" w:rsidRDefault="00896A4C" w:rsidP="001C7C5F">
      <w:pPr>
        <w:spacing w:before="100" w:beforeAutospacing="1" w:after="100" w:afterAutospacing="1"/>
        <w:jc w:val="both"/>
        <w:rPr>
          <w:rFonts w:ascii="Arial" w:hAnsi="Arial" w:cs="Arial"/>
        </w:rPr>
      </w:pPr>
      <w:bookmarkStart w:id="5" w:name="4"/>
      <w:r w:rsidRPr="001C7C5F">
        <w:rPr>
          <w:rFonts w:ascii="Arial" w:hAnsi="Arial" w:cs="Arial"/>
          <w:vertAlign w:val="superscript"/>
        </w:rPr>
        <w:t>4</w:t>
      </w:r>
      <w:bookmarkEnd w:id="5"/>
      <w:r w:rsidRPr="001C7C5F">
        <w:rPr>
          <w:rFonts w:ascii="Arial" w:hAnsi="Arial" w:cs="Arial"/>
        </w:rPr>
        <w:t> Il Consiglio federale può designare anche altre categorie d'investitori qualificati.</w:t>
      </w:r>
    </w:p>
    <w:p w:rsidR="00896A4C" w:rsidRPr="001C7C5F" w:rsidRDefault="00896A4C" w:rsidP="001C7C5F">
      <w:pPr>
        <w:spacing w:before="100" w:beforeAutospacing="1" w:after="100" w:afterAutospacing="1"/>
        <w:jc w:val="both"/>
        <w:rPr>
          <w:rFonts w:ascii="Arial" w:hAnsi="Arial" w:cs="Arial"/>
        </w:rPr>
      </w:pPr>
      <w:bookmarkStart w:id="6" w:name="5"/>
      <w:r w:rsidRPr="001C7C5F">
        <w:rPr>
          <w:rFonts w:ascii="Arial" w:hAnsi="Arial" w:cs="Arial"/>
          <w:vertAlign w:val="superscript"/>
        </w:rPr>
        <w:t>5</w:t>
      </w:r>
      <w:bookmarkEnd w:id="6"/>
      <w:r w:rsidRPr="001C7C5F">
        <w:rPr>
          <w:rFonts w:ascii="Arial" w:hAnsi="Arial" w:cs="Arial"/>
        </w:rPr>
        <w:t> La FINMA può esentare integralmente o parzialmente gli investimenti collettivi di capitale da determinate disposizioni della presente legge, sempreché essi siano accessibili esclusivamente a investitori qualificati e l'obiettivo di protezione della legge non ne risulti pregiudicato, segnatamente dalle disposizioni su:</w:t>
      </w:r>
      <w:hyperlink r:id="rId12" w:anchor="fn-#a10-6" w:history="1">
        <w:r w:rsidRPr="001C7C5F">
          <w:rPr>
            <w:rFonts w:ascii="Arial" w:hAnsi="Arial" w:cs="Arial"/>
            <w:color w:val="0000FF"/>
            <w:u w:val="single"/>
            <w:vertAlign w:val="superscript"/>
          </w:rPr>
          <w:t>6</w:t>
        </w:r>
      </w:hyperlink>
    </w:p>
    <w:p w:rsidR="00896A4C" w:rsidRPr="001C7C5F" w:rsidRDefault="00896A4C" w:rsidP="001C7C5F">
      <w:pPr>
        <w:jc w:val="both"/>
        <w:rPr>
          <w:rFonts w:ascii="Arial" w:hAnsi="Arial" w:cs="Arial"/>
        </w:rPr>
      </w:pPr>
      <w:r w:rsidRPr="001C7C5F">
        <w:rPr>
          <w:rFonts w:ascii="Arial" w:hAnsi="Arial" w:cs="Arial"/>
        </w:rPr>
        <w:t>a.</w:t>
      </w:r>
      <w:hyperlink r:id="rId13" w:anchor="fn-#a10-7" w:history="1">
        <w:r w:rsidRPr="001C7C5F">
          <w:rPr>
            <w:rFonts w:ascii="Arial" w:hAnsi="Arial" w:cs="Arial"/>
            <w:color w:val="0000FF"/>
            <w:u w:val="single"/>
            <w:vertAlign w:val="superscript"/>
          </w:rPr>
          <w:t>7</w:t>
        </w:r>
      </w:hyperlink>
      <w:r w:rsidR="00CE1B3D" w:rsidRPr="001C7C5F">
        <w:rPr>
          <w:rFonts w:ascii="Arial" w:hAnsi="Arial" w:cs="Arial"/>
          <w:vertAlign w:val="superscript"/>
        </w:rPr>
        <w:tab/>
      </w:r>
      <w:r w:rsidRPr="001C7C5F">
        <w:rPr>
          <w:rFonts w:ascii="Arial" w:hAnsi="Arial" w:cs="Arial"/>
        </w:rPr>
        <w:t>…</w:t>
      </w:r>
    </w:p>
    <w:p w:rsidR="00896A4C" w:rsidRPr="001C7C5F" w:rsidRDefault="00896A4C" w:rsidP="001C7C5F">
      <w:pPr>
        <w:jc w:val="both"/>
        <w:rPr>
          <w:rFonts w:ascii="Arial" w:hAnsi="Arial" w:cs="Arial"/>
        </w:rPr>
      </w:pPr>
      <w:r w:rsidRPr="001C7C5F">
        <w:rPr>
          <w:rFonts w:ascii="Arial" w:hAnsi="Arial" w:cs="Arial"/>
        </w:rPr>
        <w:t>b.</w:t>
      </w:r>
      <w:r w:rsidR="00CE1B3D" w:rsidRPr="001C7C5F">
        <w:rPr>
          <w:rFonts w:ascii="Arial" w:hAnsi="Arial" w:cs="Arial"/>
        </w:rPr>
        <w:tab/>
      </w:r>
      <w:r w:rsidRPr="001C7C5F">
        <w:rPr>
          <w:rFonts w:ascii="Arial" w:hAnsi="Arial" w:cs="Arial"/>
        </w:rPr>
        <w:t>l'obbligo dell'allestimento del prospetto;</w:t>
      </w:r>
    </w:p>
    <w:p w:rsidR="00896A4C" w:rsidRPr="001C7C5F" w:rsidRDefault="00896A4C" w:rsidP="001C7C5F">
      <w:pPr>
        <w:jc w:val="both"/>
        <w:rPr>
          <w:rFonts w:ascii="Arial" w:hAnsi="Arial" w:cs="Arial"/>
        </w:rPr>
      </w:pPr>
      <w:r w:rsidRPr="001C7C5F">
        <w:rPr>
          <w:rFonts w:ascii="Arial" w:hAnsi="Arial" w:cs="Arial"/>
        </w:rPr>
        <w:t>c.</w:t>
      </w:r>
      <w:r w:rsidR="00CE1B3D" w:rsidRPr="001C7C5F">
        <w:rPr>
          <w:rFonts w:ascii="Arial" w:hAnsi="Arial" w:cs="Arial"/>
        </w:rPr>
        <w:tab/>
      </w:r>
      <w:r w:rsidRPr="001C7C5F">
        <w:rPr>
          <w:rFonts w:ascii="Arial" w:hAnsi="Arial" w:cs="Arial"/>
        </w:rPr>
        <w:t>l'obbligo dell'allestimento del rapporto semestrale;</w:t>
      </w:r>
    </w:p>
    <w:p w:rsidR="00896A4C" w:rsidRPr="001C7C5F" w:rsidRDefault="00896A4C" w:rsidP="001C7C5F">
      <w:pPr>
        <w:jc w:val="both"/>
        <w:rPr>
          <w:rFonts w:ascii="Arial" w:hAnsi="Arial" w:cs="Arial"/>
        </w:rPr>
      </w:pPr>
      <w:r w:rsidRPr="001C7C5F">
        <w:rPr>
          <w:rFonts w:ascii="Arial" w:hAnsi="Arial" w:cs="Arial"/>
        </w:rPr>
        <w:t>d.</w:t>
      </w:r>
      <w:r w:rsidR="00CE1B3D" w:rsidRPr="001C7C5F">
        <w:rPr>
          <w:rFonts w:ascii="Arial" w:hAnsi="Arial" w:cs="Arial"/>
        </w:rPr>
        <w:tab/>
      </w:r>
      <w:r w:rsidRPr="001C7C5F">
        <w:rPr>
          <w:rFonts w:ascii="Arial" w:hAnsi="Arial" w:cs="Arial"/>
        </w:rPr>
        <w:t>l'obbligo di concedere agli investitori il diritto di disdetta in qualsiasi momento;</w:t>
      </w:r>
    </w:p>
    <w:p w:rsidR="00896A4C" w:rsidRPr="001C7C5F" w:rsidRDefault="00896A4C" w:rsidP="001C7C5F">
      <w:pPr>
        <w:jc w:val="both"/>
        <w:rPr>
          <w:rFonts w:ascii="Arial" w:hAnsi="Arial" w:cs="Arial"/>
        </w:rPr>
      </w:pPr>
      <w:r w:rsidRPr="001C7C5F">
        <w:rPr>
          <w:rFonts w:ascii="Arial" w:hAnsi="Arial" w:cs="Arial"/>
        </w:rPr>
        <w:t>e.</w:t>
      </w:r>
      <w:r w:rsidR="00CE1B3D" w:rsidRPr="001C7C5F">
        <w:rPr>
          <w:rFonts w:ascii="Arial" w:hAnsi="Arial" w:cs="Arial"/>
        </w:rPr>
        <w:tab/>
      </w:r>
      <w:r w:rsidRPr="001C7C5F">
        <w:rPr>
          <w:rFonts w:ascii="Arial" w:hAnsi="Arial" w:cs="Arial"/>
        </w:rPr>
        <w:t>l'obbligo di emissione e di rimborso delle quote in contanti;</w:t>
      </w:r>
    </w:p>
    <w:p w:rsidR="00896A4C" w:rsidRPr="001C7C5F" w:rsidRDefault="00896A4C" w:rsidP="001C7C5F">
      <w:pPr>
        <w:jc w:val="both"/>
        <w:rPr>
          <w:rFonts w:ascii="Arial" w:hAnsi="Arial" w:cs="Arial"/>
        </w:rPr>
      </w:pPr>
      <w:r w:rsidRPr="001C7C5F">
        <w:rPr>
          <w:rFonts w:ascii="Arial" w:hAnsi="Arial" w:cs="Arial"/>
        </w:rPr>
        <w:t>f.</w:t>
      </w:r>
      <w:r w:rsidR="00CE1B3D" w:rsidRPr="001C7C5F">
        <w:rPr>
          <w:rFonts w:ascii="Arial" w:hAnsi="Arial" w:cs="Arial"/>
        </w:rPr>
        <w:tab/>
      </w:r>
      <w:r w:rsidRPr="001C7C5F">
        <w:rPr>
          <w:rFonts w:ascii="Arial" w:hAnsi="Arial" w:cs="Arial"/>
        </w:rPr>
        <w:t>la ripartizione dei rischi.</w:t>
      </w:r>
    </w:p>
    <w:p w:rsidR="00CE1B3D" w:rsidRPr="001C7C5F" w:rsidRDefault="00CE1B3D" w:rsidP="001C7C5F">
      <w:pPr>
        <w:jc w:val="both"/>
        <w:rPr>
          <w:rFonts w:ascii="Arial" w:hAnsi="Arial" w:cs="Arial"/>
          <w:lang w:eastAsia="de-DE"/>
        </w:rPr>
      </w:pPr>
    </w:p>
    <w:p w:rsidR="00896A4C" w:rsidRPr="001C7C5F" w:rsidRDefault="00896A4C" w:rsidP="001C7C5F">
      <w:pPr>
        <w:spacing w:before="100" w:beforeAutospacing="1" w:after="100" w:afterAutospacing="1"/>
        <w:jc w:val="both"/>
        <w:outlineLvl w:val="4"/>
        <w:rPr>
          <w:rFonts w:ascii="Arial" w:hAnsi="Arial" w:cs="Arial"/>
          <w:b/>
          <w:bCs/>
        </w:rPr>
      </w:pPr>
      <w:r w:rsidRPr="001C7C5F">
        <w:rPr>
          <w:rFonts w:ascii="Arial" w:hAnsi="Arial" w:cs="Arial"/>
          <w:b/>
          <w:bCs/>
        </w:rPr>
        <w:t xml:space="preserve">OICOL: </w:t>
      </w:r>
      <w:hyperlink r:id="rId14" w:anchor="a6a" w:history="1">
        <w:r w:rsidRPr="001C7C5F">
          <w:rPr>
            <w:rFonts w:ascii="Arial" w:hAnsi="Arial" w:cs="Arial"/>
            <w:b/>
            <w:bCs/>
            <w:u w:val="single"/>
          </w:rPr>
          <w:t>Art. 6</w:t>
        </w:r>
        <w:r w:rsidRPr="001C7C5F">
          <w:rPr>
            <w:rFonts w:ascii="Arial" w:hAnsi="Arial" w:cs="Arial"/>
            <w:b/>
            <w:bCs/>
            <w:i/>
            <w:iCs/>
            <w:u w:val="single"/>
          </w:rPr>
          <w:t>a</w:t>
        </w:r>
      </w:hyperlink>
      <w:hyperlink r:id="rId15" w:anchor="fn-#a6a-1" w:history="1">
        <w:r w:rsidRPr="001C7C5F">
          <w:rPr>
            <w:rFonts w:ascii="Arial" w:hAnsi="Arial" w:cs="Arial"/>
            <w:b/>
            <w:bCs/>
            <w:u w:val="single"/>
            <w:vertAlign w:val="superscript"/>
          </w:rPr>
          <w:t>1</w:t>
        </w:r>
      </w:hyperlink>
      <w:r w:rsidRPr="001C7C5F">
        <w:rPr>
          <w:rFonts w:ascii="Arial" w:hAnsi="Arial" w:cs="Arial"/>
          <w:b/>
          <w:bCs/>
          <w:u w:val="single"/>
        </w:rPr>
        <w:t>Dichiarazione scritta</w:t>
      </w:r>
    </w:p>
    <w:p w:rsidR="00896A4C" w:rsidRPr="001C7C5F" w:rsidRDefault="00896A4C" w:rsidP="001C7C5F">
      <w:pPr>
        <w:spacing w:before="100" w:beforeAutospacing="1" w:after="100" w:afterAutospacing="1"/>
        <w:jc w:val="both"/>
        <w:rPr>
          <w:rFonts w:ascii="Arial" w:hAnsi="Arial" w:cs="Arial"/>
        </w:rPr>
      </w:pPr>
      <w:r w:rsidRPr="001C7C5F">
        <w:rPr>
          <w:rFonts w:ascii="Arial" w:hAnsi="Arial" w:cs="Arial"/>
        </w:rPr>
        <w:t>(art. 10 cpv. 3</w:t>
      </w:r>
      <w:r w:rsidRPr="001C7C5F">
        <w:rPr>
          <w:rFonts w:ascii="Arial" w:hAnsi="Arial" w:cs="Arial"/>
          <w:vertAlign w:val="superscript"/>
        </w:rPr>
        <w:t>bis</w:t>
      </w:r>
      <w:r w:rsidRPr="001C7C5F">
        <w:rPr>
          <w:rFonts w:ascii="Arial" w:hAnsi="Arial" w:cs="Arial"/>
        </w:rPr>
        <w:t xml:space="preserve"> e 3</w:t>
      </w:r>
      <w:r w:rsidRPr="001C7C5F">
        <w:rPr>
          <w:rFonts w:ascii="Arial" w:hAnsi="Arial" w:cs="Arial"/>
          <w:vertAlign w:val="superscript"/>
        </w:rPr>
        <w:t>ter</w:t>
      </w:r>
      <w:r w:rsidRPr="001C7C5F">
        <w:rPr>
          <w:rFonts w:ascii="Arial" w:hAnsi="Arial" w:cs="Arial"/>
        </w:rPr>
        <w:t xml:space="preserve"> LICol)</w:t>
      </w:r>
    </w:p>
    <w:p w:rsidR="00896A4C" w:rsidRPr="001C7C5F" w:rsidRDefault="00896A4C" w:rsidP="001C7C5F">
      <w:pPr>
        <w:spacing w:before="100" w:beforeAutospacing="1" w:after="100" w:afterAutospacing="1"/>
        <w:jc w:val="both"/>
        <w:rPr>
          <w:rFonts w:ascii="Arial" w:hAnsi="Arial" w:cs="Arial"/>
        </w:rPr>
      </w:pPr>
      <w:r w:rsidRPr="001C7C5F">
        <w:rPr>
          <w:rFonts w:ascii="Arial" w:hAnsi="Arial" w:cs="Arial"/>
          <w:vertAlign w:val="superscript"/>
        </w:rPr>
        <w:t>1</w:t>
      </w:r>
      <w:r w:rsidRPr="001C7C5F">
        <w:rPr>
          <w:rFonts w:ascii="Arial" w:hAnsi="Arial" w:cs="Arial"/>
        </w:rPr>
        <w:t> I privati facoltosi che vogliono essere considerati investitori qualificati secondo l'articolo 10 capoverso 3</w:t>
      </w:r>
      <w:r w:rsidRPr="001C7C5F">
        <w:rPr>
          <w:rFonts w:ascii="Arial" w:hAnsi="Arial" w:cs="Arial"/>
          <w:vertAlign w:val="superscript"/>
        </w:rPr>
        <w:t>bis</w:t>
      </w:r>
      <w:r w:rsidRPr="001C7C5F">
        <w:rPr>
          <w:rFonts w:ascii="Arial" w:hAnsi="Arial" w:cs="Arial"/>
        </w:rPr>
        <w:t xml:space="preserve"> della legge devono dichiararlo per scritto.</w:t>
      </w:r>
    </w:p>
    <w:p w:rsidR="00896A4C" w:rsidRPr="001C7C5F" w:rsidRDefault="00896A4C" w:rsidP="001C7C5F">
      <w:pPr>
        <w:spacing w:before="100" w:beforeAutospacing="1" w:after="100" w:afterAutospacing="1"/>
        <w:jc w:val="both"/>
        <w:rPr>
          <w:rFonts w:ascii="Arial" w:hAnsi="Arial" w:cs="Arial"/>
        </w:rPr>
      </w:pPr>
      <w:r w:rsidRPr="001C7C5F">
        <w:rPr>
          <w:rFonts w:ascii="Arial" w:hAnsi="Arial" w:cs="Arial"/>
          <w:vertAlign w:val="superscript"/>
        </w:rPr>
        <w:t>2</w:t>
      </w:r>
      <w:r w:rsidRPr="001C7C5F">
        <w:rPr>
          <w:rFonts w:ascii="Arial" w:hAnsi="Arial" w:cs="Arial"/>
        </w:rPr>
        <w:t> L'intermediario finanziario e il gestore patrimoniale indipendente:</w:t>
      </w:r>
    </w:p>
    <w:p w:rsidR="00896A4C" w:rsidRPr="001C7C5F" w:rsidRDefault="00896A4C" w:rsidP="001C7C5F">
      <w:pPr>
        <w:jc w:val="both"/>
        <w:rPr>
          <w:rFonts w:ascii="Arial" w:hAnsi="Arial" w:cs="Arial"/>
        </w:rPr>
      </w:pPr>
      <w:r w:rsidRPr="001C7C5F">
        <w:rPr>
          <w:rFonts w:ascii="Arial" w:hAnsi="Arial" w:cs="Arial"/>
        </w:rPr>
        <w:t>a.</w:t>
      </w:r>
      <w:r w:rsidR="00CE1B3D" w:rsidRPr="001C7C5F">
        <w:rPr>
          <w:rFonts w:ascii="Arial" w:hAnsi="Arial" w:cs="Arial"/>
        </w:rPr>
        <w:t xml:space="preserve"> </w:t>
      </w:r>
      <w:r w:rsidR="00CE1B3D" w:rsidRPr="001C7C5F">
        <w:rPr>
          <w:rFonts w:ascii="Arial" w:hAnsi="Arial" w:cs="Arial"/>
        </w:rPr>
        <w:tab/>
      </w:r>
      <w:r w:rsidRPr="001C7C5F">
        <w:rPr>
          <w:rFonts w:ascii="Arial" w:hAnsi="Arial" w:cs="Arial"/>
        </w:rPr>
        <w:t>informano gli investitori di cui all'articolo 10 capoverso 3</w:t>
      </w:r>
      <w:r w:rsidRPr="001C7C5F">
        <w:rPr>
          <w:rFonts w:ascii="Arial" w:hAnsi="Arial" w:cs="Arial"/>
          <w:vertAlign w:val="superscript"/>
        </w:rPr>
        <w:t>ter</w:t>
      </w:r>
      <w:r w:rsidRPr="001C7C5F">
        <w:rPr>
          <w:rFonts w:ascii="Arial" w:hAnsi="Arial" w:cs="Arial"/>
        </w:rPr>
        <w:t xml:space="preserve"> della legge che essi sono </w:t>
      </w:r>
      <w:r w:rsidR="00CE1B3D" w:rsidRPr="001C7C5F">
        <w:rPr>
          <w:rFonts w:ascii="Arial" w:hAnsi="Arial" w:cs="Arial"/>
        </w:rPr>
        <w:tab/>
      </w:r>
      <w:r w:rsidRPr="001C7C5F">
        <w:rPr>
          <w:rFonts w:ascii="Arial" w:hAnsi="Arial" w:cs="Arial"/>
        </w:rPr>
        <w:t>considerati investitori qualificati;</w:t>
      </w:r>
    </w:p>
    <w:p w:rsidR="00896A4C" w:rsidRPr="001C7C5F" w:rsidRDefault="00896A4C" w:rsidP="001C7C5F">
      <w:pPr>
        <w:jc w:val="both"/>
        <w:rPr>
          <w:rFonts w:ascii="Arial" w:hAnsi="Arial" w:cs="Arial"/>
        </w:rPr>
      </w:pPr>
      <w:r w:rsidRPr="001C7C5F">
        <w:rPr>
          <w:rFonts w:ascii="Arial" w:hAnsi="Arial" w:cs="Arial"/>
        </w:rPr>
        <w:t>b.</w:t>
      </w:r>
      <w:r w:rsidR="00CE1B3D" w:rsidRPr="001C7C5F">
        <w:rPr>
          <w:rFonts w:ascii="Arial" w:hAnsi="Arial" w:cs="Arial"/>
        </w:rPr>
        <w:tab/>
      </w:r>
      <w:r w:rsidRPr="001C7C5F">
        <w:rPr>
          <w:rFonts w:ascii="Arial" w:hAnsi="Arial" w:cs="Arial"/>
        </w:rPr>
        <w:t>spiegano loro i rischi che ne derivano; e</w:t>
      </w:r>
    </w:p>
    <w:p w:rsidR="00896A4C" w:rsidRPr="00896A4C" w:rsidRDefault="00896A4C" w:rsidP="001C7C5F">
      <w:pPr>
        <w:jc w:val="both"/>
        <w:rPr>
          <w:rFonts w:ascii="Candara" w:hAnsi="Candara"/>
          <w:lang w:eastAsia="de-DE"/>
        </w:rPr>
      </w:pPr>
      <w:r w:rsidRPr="001C7C5F">
        <w:rPr>
          <w:rFonts w:ascii="Arial" w:hAnsi="Arial" w:cs="Arial"/>
        </w:rPr>
        <w:t>c.</w:t>
      </w:r>
      <w:r w:rsidR="00CE1B3D" w:rsidRPr="001C7C5F">
        <w:rPr>
          <w:rFonts w:ascii="Arial" w:hAnsi="Arial" w:cs="Arial"/>
        </w:rPr>
        <w:tab/>
      </w:r>
      <w:r w:rsidRPr="001C7C5F">
        <w:rPr>
          <w:rFonts w:ascii="Arial" w:hAnsi="Arial" w:cs="Arial"/>
        </w:rPr>
        <w:t xml:space="preserve">indicano loro la possibilità di dichiarare per scritto di non volere essere considerati </w:t>
      </w:r>
      <w:r w:rsidR="00CE1B3D" w:rsidRPr="001C7C5F">
        <w:rPr>
          <w:rFonts w:ascii="Arial" w:hAnsi="Arial" w:cs="Arial"/>
        </w:rPr>
        <w:tab/>
      </w:r>
      <w:r w:rsidRPr="001C7C5F">
        <w:rPr>
          <w:rFonts w:ascii="Arial" w:hAnsi="Arial" w:cs="Arial"/>
        </w:rPr>
        <w:t>investitori qualificati.</w:t>
      </w:r>
    </w:p>
    <w:sectPr w:rsidR="00896A4C" w:rsidRPr="00896A4C" w:rsidSect="001C7C5F">
      <w:headerReference w:type="even" r:id="rId16"/>
      <w:headerReference w:type="default" r:id="rId17"/>
      <w:headerReference w:type="first" r:id="rId18"/>
      <w:pgSz w:w="11906" w:h="16838"/>
      <w:pgMar w:top="1134" w:right="2381" w:bottom="1701" w:left="284" w:header="720" w:footer="720" w:gutter="85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A4D" w:rsidRDefault="00F15A4D">
      <w:r>
        <w:separator/>
      </w:r>
    </w:p>
  </w:endnote>
  <w:endnote w:type="continuationSeparator" w:id="0">
    <w:p w:rsidR="00F15A4D" w:rsidRDefault="00F15A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A4D" w:rsidRDefault="00F15A4D">
      <w:r>
        <w:separator/>
      </w:r>
    </w:p>
  </w:footnote>
  <w:footnote w:type="continuationSeparator" w:id="0">
    <w:p w:rsidR="00F15A4D" w:rsidRDefault="00F15A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07D" w:rsidRDefault="00911008" w:rsidP="003F2356">
    <w:pPr>
      <w:pStyle w:val="Intestazione"/>
      <w:framePr w:wrap="around" w:vAnchor="text" w:hAnchor="margin" w:xAlign="right" w:y="1"/>
      <w:rPr>
        <w:rStyle w:val="Numeropagina"/>
      </w:rPr>
    </w:pPr>
    <w:r>
      <w:rPr>
        <w:rStyle w:val="Numeropagina"/>
      </w:rPr>
      <w:fldChar w:fldCharType="begin"/>
    </w:r>
    <w:r w:rsidR="00F1507D">
      <w:rPr>
        <w:rStyle w:val="Numeropagina"/>
      </w:rPr>
      <w:instrText xml:space="preserve">PAGE  </w:instrText>
    </w:r>
    <w:r>
      <w:rPr>
        <w:rStyle w:val="Numeropagina"/>
      </w:rPr>
      <w:fldChar w:fldCharType="end"/>
    </w:r>
  </w:p>
  <w:p w:rsidR="00F1507D" w:rsidRDefault="00F1507D" w:rsidP="003F2356">
    <w:pPr>
      <w:pStyle w:val="Intestazion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07D" w:rsidRDefault="00911008" w:rsidP="003F2356">
    <w:pPr>
      <w:pStyle w:val="Intestazione"/>
      <w:framePr w:wrap="around" w:vAnchor="text" w:hAnchor="margin" w:xAlign="right" w:y="1"/>
      <w:rPr>
        <w:rStyle w:val="Numeropagina"/>
      </w:rPr>
    </w:pPr>
    <w:r>
      <w:rPr>
        <w:rStyle w:val="Numeropagina"/>
      </w:rPr>
      <w:fldChar w:fldCharType="begin"/>
    </w:r>
    <w:r w:rsidR="00F1507D">
      <w:rPr>
        <w:rStyle w:val="Numeropagina"/>
      </w:rPr>
      <w:instrText xml:space="preserve">PAGE  </w:instrText>
    </w:r>
    <w:r>
      <w:rPr>
        <w:rStyle w:val="Numeropagina"/>
      </w:rPr>
      <w:fldChar w:fldCharType="separate"/>
    </w:r>
    <w:r w:rsidR="001C7C5F">
      <w:rPr>
        <w:rStyle w:val="Numeropagina"/>
        <w:noProof/>
      </w:rPr>
      <w:t>3</w:t>
    </w:r>
    <w:r>
      <w:rPr>
        <w:rStyle w:val="Numeropagina"/>
      </w:rPr>
      <w:fldChar w:fldCharType="end"/>
    </w:r>
  </w:p>
  <w:p w:rsidR="00F1507D" w:rsidRDefault="00F1507D" w:rsidP="003F2356">
    <w:pPr>
      <w:pStyle w:val="Intestazione"/>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07D" w:rsidRDefault="00F1507D">
    <w:pPr>
      <w:pStyle w:val="Intestazione"/>
      <w:rPr>
        <w:lang w:val="it-CH"/>
      </w:rPr>
    </w:pPr>
  </w:p>
  <w:p w:rsidR="00F1507D" w:rsidRDefault="00F1507D">
    <w:pPr>
      <w:pStyle w:val="Intestazione"/>
      <w:rPr>
        <w:lang w:val="it-CH"/>
      </w:rPr>
    </w:pPr>
  </w:p>
  <w:p w:rsidR="00F1507D" w:rsidRDefault="00F1507D">
    <w:pPr>
      <w:pStyle w:val="Intestazione"/>
      <w:rPr>
        <w:lang w:val="it-C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9343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F1D9D"/>
    <w:multiLevelType w:val="hybridMultilevel"/>
    <w:tmpl w:val="83888188"/>
    <w:lvl w:ilvl="0" w:tplc="0410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792A48"/>
    <w:multiLevelType w:val="hybridMultilevel"/>
    <w:tmpl w:val="4F46ABFC"/>
    <w:lvl w:ilvl="0" w:tplc="6188318C">
      <w:numFmt w:val="bullet"/>
      <w:lvlText w:val="-"/>
      <w:lvlJc w:val="left"/>
      <w:pPr>
        <w:ind w:left="1350" w:hanging="360"/>
      </w:pPr>
      <w:rPr>
        <w:rFonts w:ascii="Times New Roman" w:eastAsia="Times New Roman" w:hAnsi="Times New Roman" w:cs="Times New Roman" w:hint="default"/>
      </w:rPr>
    </w:lvl>
    <w:lvl w:ilvl="1" w:tplc="08100003" w:tentative="1">
      <w:start w:val="1"/>
      <w:numFmt w:val="bullet"/>
      <w:lvlText w:val="o"/>
      <w:lvlJc w:val="left"/>
      <w:pPr>
        <w:ind w:left="2070" w:hanging="360"/>
      </w:pPr>
      <w:rPr>
        <w:rFonts w:ascii="Courier New" w:hAnsi="Courier New" w:cs="Courier New" w:hint="default"/>
      </w:rPr>
    </w:lvl>
    <w:lvl w:ilvl="2" w:tplc="08100005" w:tentative="1">
      <w:start w:val="1"/>
      <w:numFmt w:val="bullet"/>
      <w:lvlText w:val=""/>
      <w:lvlJc w:val="left"/>
      <w:pPr>
        <w:ind w:left="2790" w:hanging="360"/>
      </w:pPr>
      <w:rPr>
        <w:rFonts w:ascii="Wingdings" w:hAnsi="Wingdings" w:hint="default"/>
      </w:rPr>
    </w:lvl>
    <w:lvl w:ilvl="3" w:tplc="08100001" w:tentative="1">
      <w:start w:val="1"/>
      <w:numFmt w:val="bullet"/>
      <w:lvlText w:val=""/>
      <w:lvlJc w:val="left"/>
      <w:pPr>
        <w:ind w:left="3510" w:hanging="360"/>
      </w:pPr>
      <w:rPr>
        <w:rFonts w:ascii="Symbol" w:hAnsi="Symbol" w:hint="default"/>
      </w:rPr>
    </w:lvl>
    <w:lvl w:ilvl="4" w:tplc="08100003" w:tentative="1">
      <w:start w:val="1"/>
      <w:numFmt w:val="bullet"/>
      <w:lvlText w:val="o"/>
      <w:lvlJc w:val="left"/>
      <w:pPr>
        <w:ind w:left="4230" w:hanging="360"/>
      </w:pPr>
      <w:rPr>
        <w:rFonts w:ascii="Courier New" w:hAnsi="Courier New" w:cs="Courier New" w:hint="default"/>
      </w:rPr>
    </w:lvl>
    <w:lvl w:ilvl="5" w:tplc="08100005" w:tentative="1">
      <w:start w:val="1"/>
      <w:numFmt w:val="bullet"/>
      <w:lvlText w:val=""/>
      <w:lvlJc w:val="left"/>
      <w:pPr>
        <w:ind w:left="4950" w:hanging="360"/>
      </w:pPr>
      <w:rPr>
        <w:rFonts w:ascii="Wingdings" w:hAnsi="Wingdings" w:hint="default"/>
      </w:rPr>
    </w:lvl>
    <w:lvl w:ilvl="6" w:tplc="08100001" w:tentative="1">
      <w:start w:val="1"/>
      <w:numFmt w:val="bullet"/>
      <w:lvlText w:val=""/>
      <w:lvlJc w:val="left"/>
      <w:pPr>
        <w:ind w:left="5670" w:hanging="360"/>
      </w:pPr>
      <w:rPr>
        <w:rFonts w:ascii="Symbol" w:hAnsi="Symbol" w:hint="default"/>
      </w:rPr>
    </w:lvl>
    <w:lvl w:ilvl="7" w:tplc="08100003" w:tentative="1">
      <w:start w:val="1"/>
      <w:numFmt w:val="bullet"/>
      <w:lvlText w:val="o"/>
      <w:lvlJc w:val="left"/>
      <w:pPr>
        <w:ind w:left="6390" w:hanging="360"/>
      </w:pPr>
      <w:rPr>
        <w:rFonts w:ascii="Courier New" w:hAnsi="Courier New" w:cs="Courier New" w:hint="default"/>
      </w:rPr>
    </w:lvl>
    <w:lvl w:ilvl="8" w:tplc="08100005" w:tentative="1">
      <w:start w:val="1"/>
      <w:numFmt w:val="bullet"/>
      <w:lvlText w:val=""/>
      <w:lvlJc w:val="left"/>
      <w:pPr>
        <w:ind w:left="7110" w:hanging="360"/>
      </w:pPr>
      <w:rPr>
        <w:rFonts w:ascii="Wingdings" w:hAnsi="Wingdings" w:hint="default"/>
      </w:rPr>
    </w:lvl>
  </w:abstractNum>
  <w:abstractNum w:abstractNumId="3">
    <w:nsid w:val="07D06651"/>
    <w:multiLevelType w:val="hybridMultilevel"/>
    <w:tmpl w:val="886646CC"/>
    <w:lvl w:ilvl="0" w:tplc="25885BF0">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07E7495C"/>
    <w:multiLevelType w:val="hybridMultilevel"/>
    <w:tmpl w:val="F6D6229C"/>
    <w:lvl w:ilvl="0" w:tplc="BFFEFF76">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084F70D6"/>
    <w:multiLevelType w:val="hybridMultilevel"/>
    <w:tmpl w:val="BB88CFEA"/>
    <w:lvl w:ilvl="0" w:tplc="0410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1822A1"/>
    <w:multiLevelType w:val="hybridMultilevel"/>
    <w:tmpl w:val="08BECAA6"/>
    <w:lvl w:ilvl="0" w:tplc="E416C436">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378102E"/>
    <w:multiLevelType w:val="hybridMultilevel"/>
    <w:tmpl w:val="CEFC51DC"/>
    <w:lvl w:ilvl="0" w:tplc="70EEFA5A">
      <w:numFmt w:val="bullet"/>
      <w:lvlText w:val="-"/>
      <w:lvlJc w:val="left"/>
      <w:pPr>
        <w:ind w:left="1286" w:hanging="360"/>
      </w:pPr>
      <w:rPr>
        <w:rFonts w:ascii="Verdana" w:eastAsia="Times New Roman" w:hAnsi="Verdana"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D9C1EE7"/>
    <w:multiLevelType w:val="hybridMultilevel"/>
    <w:tmpl w:val="D64471C8"/>
    <w:lvl w:ilvl="0" w:tplc="0410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566D9E"/>
    <w:multiLevelType w:val="hybridMultilevel"/>
    <w:tmpl w:val="16B2E94E"/>
    <w:lvl w:ilvl="0" w:tplc="04100001">
      <w:start w:val="1"/>
      <w:numFmt w:val="bullet"/>
      <w:lvlText w:val=""/>
      <w:lvlJc w:val="left"/>
      <w:pPr>
        <w:tabs>
          <w:tab w:val="num" w:pos="1559"/>
        </w:tabs>
        <w:ind w:left="1559" w:hanging="360"/>
      </w:pPr>
      <w:rPr>
        <w:rFonts w:ascii="Symbol" w:hAnsi="Symbol" w:hint="default"/>
      </w:rPr>
    </w:lvl>
    <w:lvl w:ilvl="1" w:tplc="04100003" w:tentative="1">
      <w:start w:val="1"/>
      <w:numFmt w:val="bullet"/>
      <w:lvlText w:val="o"/>
      <w:lvlJc w:val="left"/>
      <w:pPr>
        <w:tabs>
          <w:tab w:val="num" w:pos="2279"/>
        </w:tabs>
        <w:ind w:left="2279" w:hanging="360"/>
      </w:pPr>
      <w:rPr>
        <w:rFonts w:ascii="Courier New" w:hAnsi="Courier New" w:cs="Courier New" w:hint="default"/>
      </w:rPr>
    </w:lvl>
    <w:lvl w:ilvl="2" w:tplc="04100005" w:tentative="1">
      <w:start w:val="1"/>
      <w:numFmt w:val="bullet"/>
      <w:lvlText w:val=""/>
      <w:lvlJc w:val="left"/>
      <w:pPr>
        <w:tabs>
          <w:tab w:val="num" w:pos="2999"/>
        </w:tabs>
        <w:ind w:left="2999" w:hanging="360"/>
      </w:pPr>
      <w:rPr>
        <w:rFonts w:ascii="Wingdings" w:hAnsi="Wingdings" w:hint="default"/>
      </w:rPr>
    </w:lvl>
    <w:lvl w:ilvl="3" w:tplc="04100001" w:tentative="1">
      <w:start w:val="1"/>
      <w:numFmt w:val="bullet"/>
      <w:lvlText w:val=""/>
      <w:lvlJc w:val="left"/>
      <w:pPr>
        <w:tabs>
          <w:tab w:val="num" w:pos="3719"/>
        </w:tabs>
        <w:ind w:left="3719" w:hanging="360"/>
      </w:pPr>
      <w:rPr>
        <w:rFonts w:ascii="Symbol" w:hAnsi="Symbol" w:hint="default"/>
      </w:rPr>
    </w:lvl>
    <w:lvl w:ilvl="4" w:tplc="04100003" w:tentative="1">
      <w:start w:val="1"/>
      <w:numFmt w:val="bullet"/>
      <w:lvlText w:val="o"/>
      <w:lvlJc w:val="left"/>
      <w:pPr>
        <w:tabs>
          <w:tab w:val="num" w:pos="4439"/>
        </w:tabs>
        <w:ind w:left="4439" w:hanging="360"/>
      </w:pPr>
      <w:rPr>
        <w:rFonts w:ascii="Courier New" w:hAnsi="Courier New" w:cs="Courier New" w:hint="default"/>
      </w:rPr>
    </w:lvl>
    <w:lvl w:ilvl="5" w:tplc="04100005" w:tentative="1">
      <w:start w:val="1"/>
      <w:numFmt w:val="bullet"/>
      <w:lvlText w:val=""/>
      <w:lvlJc w:val="left"/>
      <w:pPr>
        <w:tabs>
          <w:tab w:val="num" w:pos="5159"/>
        </w:tabs>
        <w:ind w:left="5159" w:hanging="360"/>
      </w:pPr>
      <w:rPr>
        <w:rFonts w:ascii="Wingdings" w:hAnsi="Wingdings" w:hint="default"/>
      </w:rPr>
    </w:lvl>
    <w:lvl w:ilvl="6" w:tplc="04100001" w:tentative="1">
      <w:start w:val="1"/>
      <w:numFmt w:val="bullet"/>
      <w:lvlText w:val=""/>
      <w:lvlJc w:val="left"/>
      <w:pPr>
        <w:tabs>
          <w:tab w:val="num" w:pos="5879"/>
        </w:tabs>
        <w:ind w:left="5879" w:hanging="360"/>
      </w:pPr>
      <w:rPr>
        <w:rFonts w:ascii="Symbol" w:hAnsi="Symbol" w:hint="default"/>
      </w:rPr>
    </w:lvl>
    <w:lvl w:ilvl="7" w:tplc="04100003" w:tentative="1">
      <w:start w:val="1"/>
      <w:numFmt w:val="bullet"/>
      <w:lvlText w:val="o"/>
      <w:lvlJc w:val="left"/>
      <w:pPr>
        <w:tabs>
          <w:tab w:val="num" w:pos="6599"/>
        </w:tabs>
        <w:ind w:left="6599" w:hanging="360"/>
      </w:pPr>
      <w:rPr>
        <w:rFonts w:ascii="Courier New" w:hAnsi="Courier New" w:cs="Courier New" w:hint="default"/>
      </w:rPr>
    </w:lvl>
    <w:lvl w:ilvl="8" w:tplc="04100005" w:tentative="1">
      <w:start w:val="1"/>
      <w:numFmt w:val="bullet"/>
      <w:lvlText w:val=""/>
      <w:lvlJc w:val="left"/>
      <w:pPr>
        <w:tabs>
          <w:tab w:val="num" w:pos="7319"/>
        </w:tabs>
        <w:ind w:left="7319" w:hanging="360"/>
      </w:pPr>
      <w:rPr>
        <w:rFonts w:ascii="Wingdings" w:hAnsi="Wingdings" w:hint="default"/>
      </w:rPr>
    </w:lvl>
  </w:abstractNum>
  <w:abstractNum w:abstractNumId="10">
    <w:nsid w:val="241E583C"/>
    <w:multiLevelType w:val="hybridMultilevel"/>
    <w:tmpl w:val="60D2CA9C"/>
    <w:lvl w:ilvl="0" w:tplc="AC04AB3A">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BD6EDB"/>
    <w:multiLevelType w:val="hybridMultilevel"/>
    <w:tmpl w:val="3E26B7FC"/>
    <w:lvl w:ilvl="0" w:tplc="ACE6A0E6">
      <w:numFmt w:val="bullet"/>
      <w:lvlText w:val="-"/>
      <w:lvlJc w:val="left"/>
      <w:pPr>
        <w:ind w:left="720" w:hanging="360"/>
      </w:pPr>
      <w:rPr>
        <w:rFonts w:ascii="Verdana" w:eastAsia="Times New Roman" w:hAnsi="Verdana" w:cs="Times New Roman"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87C0385"/>
    <w:multiLevelType w:val="hybridMultilevel"/>
    <w:tmpl w:val="8B221BB8"/>
    <w:lvl w:ilvl="0" w:tplc="4DF8975E">
      <w:start w:val="2"/>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231414"/>
    <w:multiLevelType w:val="hybridMultilevel"/>
    <w:tmpl w:val="7BDC1EDA"/>
    <w:lvl w:ilvl="0" w:tplc="6B262952">
      <w:start w:val="4"/>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E073B7"/>
    <w:multiLevelType w:val="singleLevel"/>
    <w:tmpl w:val="EA8A3380"/>
    <w:lvl w:ilvl="0">
      <w:start w:val="1"/>
      <w:numFmt w:val="bullet"/>
      <w:lvlText w:val="-"/>
      <w:lvlJc w:val="left"/>
      <w:pPr>
        <w:tabs>
          <w:tab w:val="num" w:pos="570"/>
        </w:tabs>
        <w:ind w:left="570" w:hanging="570"/>
      </w:pPr>
      <w:rPr>
        <w:rFonts w:hint="default"/>
      </w:rPr>
    </w:lvl>
  </w:abstractNum>
  <w:abstractNum w:abstractNumId="15">
    <w:nsid w:val="5BC27345"/>
    <w:multiLevelType w:val="hybridMultilevel"/>
    <w:tmpl w:val="0E148A6E"/>
    <w:lvl w:ilvl="0" w:tplc="70EEFA5A">
      <w:numFmt w:val="bullet"/>
      <w:lvlText w:val="-"/>
      <w:lvlJc w:val="left"/>
      <w:pPr>
        <w:ind w:left="1286" w:hanging="360"/>
      </w:pPr>
      <w:rPr>
        <w:rFonts w:ascii="Verdana" w:eastAsia="Times New Roman" w:hAnsi="Verdana" w:cs="Times New Roman" w:hint="default"/>
      </w:rPr>
    </w:lvl>
    <w:lvl w:ilvl="1" w:tplc="08100003" w:tentative="1">
      <w:start w:val="1"/>
      <w:numFmt w:val="bullet"/>
      <w:lvlText w:val="o"/>
      <w:lvlJc w:val="left"/>
      <w:pPr>
        <w:ind w:left="2006" w:hanging="360"/>
      </w:pPr>
      <w:rPr>
        <w:rFonts w:ascii="Courier New" w:hAnsi="Courier New" w:cs="Courier New" w:hint="default"/>
      </w:rPr>
    </w:lvl>
    <w:lvl w:ilvl="2" w:tplc="08100005" w:tentative="1">
      <w:start w:val="1"/>
      <w:numFmt w:val="bullet"/>
      <w:lvlText w:val=""/>
      <w:lvlJc w:val="left"/>
      <w:pPr>
        <w:ind w:left="2726" w:hanging="360"/>
      </w:pPr>
      <w:rPr>
        <w:rFonts w:ascii="Wingdings" w:hAnsi="Wingdings" w:hint="default"/>
      </w:rPr>
    </w:lvl>
    <w:lvl w:ilvl="3" w:tplc="08100001" w:tentative="1">
      <w:start w:val="1"/>
      <w:numFmt w:val="bullet"/>
      <w:lvlText w:val=""/>
      <w:lvlJc w:val="left"/>
      <w:pPr>
        <w:ind w:left="3446" w:hanging="360"/>
      </w:pPr>
      <w:rPr>
        <w:rFonts w:ascii="Symbol" w:hAnsi="Symbol" w:hint="default"/>
      </w:rPr>
    </w:lvl>
    <w:lvl w:ilvl="4" w:tplc="08100003" w:tentative="1">
      <w:start w:val="1"/>
      <w:numFmt w:val="bullet"/>
      <w:lvlText w:val="o"/>
      <w:lvlJc w:val="left"/>
      <w:pPr>
        <w:ind w:left="4166" w:hanging="360"/>
      </w:pPr>
      <w:rPr>
        <w:rFonts w:ascii="Courier New" w:hAnsi="Courier New" w:cs="Courier New" w:hint="default"/>
      </w:rPr>
    </w:lvl>
    <w:lvl w:ilvl="5" w:tplc="08100005" w:tentative="1">
      <w:start w:val="1"/>
      <w:numFmt w:val="bullet"/>
      <w:lvlText w:val=""/>
      <w:lvlJc w:val="left"/>
      <w:pPr>
        <w:ind w:left="4886" w:hanging="360"/>
      </w:pPr>
      <w:rPr>
        <w:rFonts w:ascii="Wingdings" w:hAnsi="Wingdings" w:hint="default"/>
      </w:rPr>
    </w:lvl>
    <w:lvl w:ilvl="6" w:tplc="08100001" w:tentative="1">
      <w:start w:val="1"/>
      <w:numFmt w:val="bullet"/>
      <w:lvlText w:val=""/>
      <w:lvlJc w:val="left"/>
      <w:pPr>
        <w:ind w:left="5606" w:hanging="360"/>
      </w:pPr>
      <w:rPr>
        <w:rFonts w:ascii="Symbol" w:hAnsi="Symbol" w:hint="default"/>
      </w:rPr>
    </w:lvl>
    <w:lvl w:ilvl="7" w:tplc="08100003" w:tentative="1">
      <w:start w:val="1"/>
      <w:numFmt w:val="bullet"/>
      <w:lvlText w:val="o"/>
      <w:lvlJc w:val="left"/>
      <w:pPr>
        <w:ind w:left="6326" w:hanging="360"/>
      </w:pPr>
      <w:rPr>
        <w:rFonts w:ascii="Courier New" w:hAnsi="Courier New" w:cs="Courier New" w:hint="default"/>
      </w:rPr>
    </w:lvl>
    <w:lvl w:ilvl="8" w:tplc="08100005" w:tentative="1">
      <w:start w:val="1"/>
      <w:numFmt w:val="bullet"/>
      <w:lvlText w:val=""/>
      <w:lvlJc w:val="left"/>
      <w:pPr>
        <w:ind w:left="7046" w:hanging="360"/>
      </w:pPr>
      <w:rPr>
        <w:rFonts w:ascii="Wingdings" w:hAnsi="Wingdings" w:hint="default"/>
      </w:rPr>
    </w:lvl>
  </w:abstractNum>
  <w:abstractNum w:abstractNumId="16">
    <w:nsid w:val="5F271CEE"/>
    <w:multiLevelType w:val="hybridMultilevel"/>
    <w:tmpl w:val="CB24B760"/>
    <w:lvl w:ilvl="0" w:tplc="CD6C3A4C">
      <w:start w:val="2"/>
      <w:numFmt w:val="bullet"/>
      <w:lvlText w:val="-"/>
      <w:lvlJc w:val="left"/>
      <w:pPr>
        <w:tabs>
          <w:tab w:val="num" w:pos="1500"/>
        </w:tabs>
        <w:ind w:left="1500" w:hanging="360"/>
      </w:pPr>
      <w:rPr>
        <w:rFonts w:ascii="Times New Roman" w:eastAsia="Times New Roman" w:hAnsi="Times New Roman" w:cs="Times New Roman" w:hint="default"/>
      </w:rPr>
    </w:lvl>
    <w:lvl w:ilvl="1" w:tplc="04100003">
      <w:start w:val="1"/>
      <w:numFmt w:val="bullet"/>
      <w:lvlText w:val="o"/>
      <w:lvlJc w:val="left"/>
      <w:pPr>
        <w:tabs>
          <w:tab w:val="num" w:pos="2220"/>
        </w:tabs>
        <w:ind w:left="2220" w:hanging="360"/>
      </w:pPr>
      <w:rPr>
        <w:rFonts w:ascii="Courier New" w:hAnsi="Courier New" w:cs="Courier New" w:hint="default"/>
      </w:rPr>
    </w:lvl>
    <w:lvl w:ilvl="2" w:tplc="04100005" w:tentative="1">
      <w:start w:val="1"/>
      <w:numFmt w:val="bullet"/>
      <w:lvlText w:val=""/>
      <w:lvlJc w:val="left"/>
      <w:pPr>
        <w:tabs>
          <w:tab w:val="num" w:pos="2940"/>
        </w:tabs>
        <w:ind w:left="2940" w:hanging="360"/>
      </w:pPr>
      <w:rPr>
        <w:rFonts w:ascii="Wingdings" w:hAnsi="Wingdings" w:hint="default"/>
      </w:rPr>
    </w:lvl>
    <w:lvl w:ilvl="3" w:tplc="04100001" w:tentative="1">
      <w:start w:val="1"/>
      <w:numFmt w:val="bullet"/>
      <w:lvlText w:val=""/>
      <w:lvlJc w:val="left"/>
      <w:pPr>
        <w:tabs>
          <w:tab w:val="num" w:pos="3660"/>
        </w:tabs>
        <w:ind w:left="3660" w:hanging="360"/>
      </w:pPr>
      <w:rPr>
        <w:rFonts w:ascii="Symbol" w:hAnsi="Symbol" w:hint="default"/>
      </w:rPr>
    </w:lvl>
    <w:lvl w:ilvl="4" w:tplc="04100003" w:tentative="1">
      <w:start w:val="1"/>
      <w:numFmt w:val="bullet"/>
      <w:lvlText w:val="o"/>
      <w:lvlJc w:val="left"/>
      <w:pPr>
        <w:tabs>
          <w:tab w:val="num" w:pos="4380"/>
        </w:tabs>
        <w:ind w:left="4380" w:hanging="360"/>
      </w:pPr>
      <w:rPr>
        <w:rFonts w:ascii="Courier New" w:hAnsi="Courier New" w:cs="Courier New" w:hint="default"/>
      </w:rPr>
    </w:lvl>
    <w:lvl w:ilvl="5" w:tplc="04100005" w:tentative="1">
      <w:start w:val="1"/>
      <w:numFmt w:val="bullet"/>
      <w:lvlText w:val=""/>
      <w:lvlJc w:val="left"/>
      <w:pPr>
        <w:tabs>
          <w:tab w:val="num" w:pos="5100"/>
        </w:tabs>
        <w:ind w:left="5100" w:hanging="360"/>
      </w:pPr>
      <w:rPr>
        <w:rFonts w:ascii="Wingdings" w:hAnsi="Wingdings" w:hint="default"/>
      </w:rPr>
    </w:lvl>
    <w:lvl w:ilvl="6" w:tplc="04100001" w:tentative="1">
      <w:start w:val="1"/>
      <w:numFmt w:val="bullet"/>
      <w:lvlText w:val=""/>
      <w:lvlJc w:val="left"/>
      <w:pPr>
        <w:tabs>
          <w:tab w:val="num" w:pos="5820"/>
        </w:tabs>
        <w:ind w:left="5820" w:hanging="360"/>
      </w:pPr>
      <w:rPr>
        <w:rFonts w:ascii="Symbol" w:hAnsi="Symbol" w:hint="default"/>
      </w:rPr>
    </w:lvl>
    <w:lvl w:ilvl="7" w:tplc="04100003" w:tentative="1">
      <w:start w:val="1"/>
      <w:numFmt w:val="bullet"/>
      <w:lvlText w:val="o"/>
      <w:lvlJc w:val="left"/>
      <w:pPr>
        <w:tabs>
          <w:tab w:val="num" w:pos="6540"/>
        </w:tabs>
        <w:ind w:left="6540" w:hanging="360"/>
      </w:pPr>
      <w:rPr>
        <w:rFonts w:ascii="Courier New" w:hAnsi="Courier New" w:cs="Courier New" w:hint="default"/>
      </w:rPr>
    </w:lvl>
    <w:lvl w:ilvl="8" w:tplc="04100005" w:tentative="1">
      <w:start w:val="1"/>
      <w:numFmt w:val="bullet"/>
      <w:lvlText w:val=""/>
      <w:lvlJc w:val="left"/>
      <w:pPr>
        <w:tabs>
          <w:tab w:val="num" w:pos="7260"/>
        </w:tabs>
        <w:ind w:left="7260" w:hanging="360"/>
      </w:pPr>
      <w:rPr>
        <w:rFonts w:ascii="Wingdings" w:hAnsi="Wingdings" w:hint="default"/>
      </w:rPr>
    </w:lvl>
  </w:abstractNum>
  <w:abstractNum w:abstractNumId="17">
    <w:nsid w:val="642A69FE"/>
    <w:multiLevelType w:val="hybridMultilevel"/>
    <w:tmpl w:val="EF9E2704"/>
    <w:lvl w:ilvl="0" w:tplc="2CF872AE">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CCA55DD"/>
    <w:multiLevelType w:val="hybridMultilevel"/>
    <w:tmpl w:val="D1B48F50"/>
    <w:lvl w:ilvl="0" w:tplc="0410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176FCE"/>
    <w:multiLevelType w:val="hybridMultilevel"/>
    <w:tmpl w:val="D39C99C8"/>
    <w:lvl w:ilvl="0" w:tplc="0410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4CF090B"/>
    <w:multiLevelType w:val="singleLevel"/>
    <w:tmpl w:val="48903582"/>
    <w:lvl w:ilvl="0">
      <w:start w:val="6928"/>
      <w:numFmt w:val="decimal"/>
      <w:lvlText w:val="%1"/>
      <w:lvlJc w:val="left"/>
      <w:pPr>
        <w:tabs>
          <w:tab w:val="num" w:pos="6330"/>
        </w:tabs>
        <w:ind w:left="6330" w:hanging="600"/>
      </w:pPr>
      <w:rPr>
        <w:rFonts w:hint="default"/>
        <w:u w:val="none"/>
      </w:rPr>
    </w:lvl>
  </w:abstractNum>
  <w:num w:numId="1">
    <w:abstractNumId w:val="20"/>
  </w:num>
  <w:num w:numId="2">
    <w:abstractNumId w:val="14"/>
  </w:num>
  <w:num w:numId="3">
    <w:abstractNumId w:val="16"/>
  </w:num>
  <w:num w:numId="4">
    <w:abstractNumId w:val="10"/>
  </w:num>
  <w:num w:numId="5">
    <w:abstractNumId w:val="18"/>
  </w:num>
  <w:num w:numId="6">
    <w:abstractNumId w:val="12"/>
  </w:num>
  <w:num w:numId="7">
    <w:abstractNumId w:val="13"/>
  </w:num>
  <w:num w:numId="8">
    <w:abstractNumId w:val="5"/>
  </w:num>
  <w:num w:numId="9">
    <w:abstractNumId w:val="1"/>
  </w:num>
  <w:num w:numId="10">
    <w:abstractNumId w:val="8"/>
  </w:num>
  <w:num w:numId="11">
    <w:abstractNumId w:val="19"/>
  </w:num>
  <w:num w:numId="12">
    <w:abstractNumId w:val="9"/>
  </w:num>
  <w:num w:numId="13">
    <w:abstractNumId w:val="2"/>
  </w:num>
  <w:num w:numId="14">
    <w:abstractNumId w:val="17"/>
  </w:num>
  <w:num w:numId="15">
    <w:abstractNumId w:val="6"/>
  </w:num>
  <w:num w:numId="16">
    <w:abstractNumId w:val="4"/>
  </w:num>
  <w:num w:numId="17">
    <w:abstractNumId w:val="15"/>
  </w:num>
  <w:num w:numId="18">
    <w:abstractNumId w:val="7"/>
  </w:num>
  <w:num w:numId="19">
    <w:abstractNumId w:val="11"/>
  </w:num>
  <w:num w:numId="20">
    <w:abstractNumId w:val="3"/>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ttachedTemplate r:id="rId1"/>
  <w:stylePaneFormatFilter w:val="3F01"/>
  <w:defaultTabStop w:val="708"/>
  <w:hyphenationZone w:val="283"/>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D92249"/>
    <w:rsid w:val="00027C45"/>
    <w:rsid w:val="0003315C"/>
    <w:rsid w:val="00061F82"/>
    <w:rsid w:val="00071C65"/>
    <w:rsid w:val="000774C4"/>
    <w:rsid w:val="00081875"/>
    <w:rsid w:val="00091AEB"/>
    <w:rsid w:val="000A041A"/>
    <w:rsid w:val="000A3502"/>
    <w:rsid w:val="000C5FE0"/>
    <w:rsid w:val="000C6E1F"/>
    <w:rsid w:val="00114406"/>
    <w:rsid w:val="001178CA"/>
    <w:rsid w:val="00153E81"/>
    <w:rsid w:val="00161E29"/>
    <w:rsid w:val="00166CA9"/>
    <w:rsid w:val="0016792C"/>
    <w:rsid w:val="00173DC7"/>
    <w:rsid w:val="00190073"/>
    <w:rsid w:val="0019567D"/>
    <w:rsid w:val="00195E01"/>
    <w:rsid w:val="001B23E7"/>
    <w:rsid w:val="001C1D8A"/>
    <w:rsid w:val="001C7C5F"/>
    <w:rsid w:val="001D10B3"/>
    <w:rsid w:val="001F19ED"/>
    <w:rsid w:val="001F3C84"/>
    <w:rsid w:val="001F42F9"/>
    <w:rsid w:val="0021711A"/>
    <w:rsid w:val="002374C8"/>
    <w:rsid w:val="00243694"/>
    <w:rsid w:val="00250782"/>
    <w:rsid w:val="00254991"/>
    <w:rsid w:val="00292FD5"/>
    <w:rsid w:val="002C2278"/>
    <w:rsid w:val="002D3E83"/>
    <w:rsid w:val="002F3FB4"/>
    <w:rsid w:val="0030214B"/>
    <w:rsid w:val="00323EA3"/>
    <w:rsid w:val="00336F98"/>
    <w:rsid w:val="00350AE3"/>
    <w:rsid w:val="0037270A"/>
    <w:rsid w:val="00386838"/>
    <w:rsid w:val="00394246"/>
    <w:rsid w:val="003976D1"/>
    <w:rsid w:val="003F2356"/>
    <w:rsid w:val="003F42EA"/>
    <w:rsid w:val="00411423"/>
    <w:rsid w:val="00467165"/>
    <w:rsid w:val="004B084C"/>
    <w:rsid w:val="004B1C56"/>
    <w:rsid w:val="004F11A7"/>
    <w:rsid w:val="004F623D"/>
    <w:rsid w:val="00504B91"/>
    <w:rsid w:val="0051036A"/>
    <w:rsid w:val="00532AF4"/>
    <w:rsid w:val="005348E8"/>
    <w:rsid w:val="00534F73"/>
    <w:rsid w:val="00542C6A"/>
    <w:rsid w:val="00544B6B"/>
    <w:rsid w:val="00544FDC"/>
    <w:rsid w:val="00550F13"/>
    <w:rsid w:val="005718CD"/>
    <w:rsid w:val="0059422E"/>
    <w:rsid w:val="005A2E83"/>
    <w:rsid w:val="005A76DE"/>
    <w:rsid w:val="005D0CF8"/>
    <w:rsid w:val="005D37C8"/>
    <w:rsid w:val="0063759B"/>
    <w:rsid w:val="00640DB8"/>
    <w:rsid w:val="00664B30"/>
    <w:rsid w:val="006722B6"/>
    <w:rsid w:val="006902D8"/>
    <w:rsid w:val="006B7A68"/>
    <w:rsid w:val="006C36CF"/>
    <w:rsid w:val="00711ADC"/>
    <w:rsid w:val="00722B73"/>
    <w:rsid w:val="00760C57"/>
    <w:rsid w:val="00780309"/>
    <w:rsid w:val="007A3DA1"/>
    <w:rsid w:val="007B2FB5"/>
    <w:rsid w:val="007C17BA"/>
    <w:rsid w:val="007C7375"/>
    <w:rsid w:val="007D395E"/>
    <w:rsid w:val="007F5656"/>
    <w:rsid w:val="00822B53"/>
    <w:rsid w:val="008278F2"/>
    <w:rsid w:val="00832105"/>
    <w:rsid w:val="008322BD"/>
    <w:rsid w:val="008652E4"/>
    <w:rsid w:val="00896A4C"/>
    <w:rsid w:val="00896E60"/>
    <w:rsid w:val="008A32FE"/>
    <w:rsid w:val="008C12EC"/>
    <w:rsid w:val="008D5488"/>
    <w:rsid w:val="008F3611"/>
    <w:rsid w:val="008F5A13"/>
    <w:rsid w:val="00910C96"/>
    <w:rsid w:val="00911008"/>
    <w:rsid w:val="0091720B"/>
    <w:rsid w:val="00975A29"/>
    <w:rsid w:val="00984FC5"/>
    <w:rsid w:val="009C7BEF"/>
    <w:rsid w:val="00A0275C"/>
    <w:rsid w:val="00A26B1B"/>
    <w:rsid w:val="00A35EE4"/>
    <w:rsid w:val="00A43734"/>
    <w:rsid w:val="00A4644D"/>
    <w:rsid w:val="00A507E5"/>
    <w:rsid w:val="00AA327A"/>
    <w:rsid w:val="00AA6786"/>
    <w:rsid w:val="00AC3CCD"/>
    <w:rsid w:val="00AC755C"/>
    <w:rsid w:val="00AD438F"/>
    <w:rsid w:val="00AF6A34"/>
    <w:rsid w:val="00B0142C"/>
    <w:rsid w:val="00B06D54"/>
    <w:rsid w:val="00B65FE3"/>
    <w:rsid w:val="00B73CCE"/>
    <w:rsid w:val="00BA5AA5"/>
    <w:rsid w:val="00BB4BD8"/>
    <w:rsid w:val="00BD67A0"/>
    <w:rsid w:val="00C063F0"/>
    <w:rsid w:val="00C06E3B"/>
    <w:rsid w:val="00C077CC"/>
    <w:rsid w:val="00C1383F"/>
    <w:rsid w:val="00C17E16"/>
    <w:rsid w:val="00C23B42"/>
    <w:rsid w:val="00C50247"/>
    <w:rsid w:val="00CB374C"/>
    <w:rsid w:val="00CB534B"/>
    <w:rsid w:val="00CC2D31"/>
    <w:rsid w:val="00CD4290"/>
    <w:rsid w:val="00CE1B3D"/>
    <w:rsid w:val="00D144BF"/>
    <w:rsid w:val="00D201CA"/>
    <w:rsid w:val="00D32FB2"/>
    <w:rsid w:val="00D41A1D"/>
    <w:rsid w:val="00D425FA"/>
    <w:rsid w:val="00D75B1E"/>
    <w:rsid w:val="00D863D5"/>
    <w:rsid w:val="00D92249"/>
    <w:rsid w:val="00DB0A42"/>
    <w:rsid w:val="00DB0AF1"/>
    <w:rsid w:val="00DD1ACE"/>
    <w:rsid w:val="00DD257E"/>
    <w:rsid w:val="00DD44AB"/>
    <w:rsid w:val="00DE15F1"/>
    <w:rsid w:val="00DE7577"/>
    <w:rsid w:val="00E017C7"/>
    <w:rsid w:val="00E07D0F"/>
    <w:rsid w:val="00E137FB"/>
    <w:rsid w:val="00E56984"/>
    <w:rsid w:val="00E708A1"/>
    <w:rsid w:val="00E74AE9"/>
    <w:rsid w:val="00E91B57"/>
    <w:rsid w:val="00EE4106"/>
    <w:rsid w:val="00F11F5D"/>
    <w:rsid w:val="00F1507D"/>
    <w:rsid w:val="00F15A4D"/>
    <w:rsid w:val="00F276ED"/>
    <w:rsid w:val="00F51CB8"/>
    <w:rsid w:val="00F64D74"/>
    <w:rsid w:val="00F773D0"/>
    <w:rsid w:val="00FA6E67"/>
    <w:rsid w:val="00FD5CB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911008"/>
  </w:style>
  <w:style w:type="paragraph" w:styleId="Titolo1">
    <w:name w:val="heading 1"/>
    <w:basedOn w:val="Normale"/>
    <w:next w:val="Normale"/>
    <w:qFormat/>
    <w:rsid w:val="00911008"/>
    <w:pPr>
      <w:keepNext/>
      <w:tabs>
        <w:tab w:val="left" w:pos="567"/>
        <w:tab w:val="left" w:pos="1134"/>
        <w:tab w:val="left" w:pos="5812"/>
      </w:tabs>
      <w:jc w:val="both"/>
      <w:outlineLvl w:val="0"/>
    </w:pPr>
    <w:rPr>
      <w:b/>
      <w:sz w:val="24"/>
    </w:rPr>
  </w:style>
  <w:style w:type="paragraph" w:styleId="Titolo5">
    <w:name w:val="heading 5"/>
    <w:basedOn w:val="Normale"/>
    <w:next w:val="Normale"/>
    <w:link w:val="Titolo5Carattere"/>
    <w:qFormat/>
    <w:rsid w:val="00896A4C"/>
    <w:pPr>
      <w:spacing w:before="240" w:after="60"/>
      <w:outlineLvl w:val="4"/>
    </w:pPr>
    <w:rPr>
      <w:rFonts w:ascii="Calibri" w:hAnsi="Calibri"/>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911008"/>
    <w:pPr>
      <w:tabs>
        <w:tab w:val="left" w:pos="567"/>
        <w:tab w:val="left" w:pos="1134"/>
        <w:tab w:val="left" w:pos="5812"/>
      </w:tabs>
      <w:ind w:left="570"/>
      <w:jc w:val="both"/>
    </w:pPr>
    <w:rPr>
      <w:sz w:val="24"/>
    </w:rPr>
  </w:style>
  <w:style w:type="paragraph" w:styleId="Intestazione">
    <w:name w:val="header"/>
    <w:basedOn w:val="Normale"/>
    <w:rsid w:val="003F2356"/>
    <w:pPr>
      <w:tabs>
        <w:tab w:val="center" w:pos="4320"/>
        <w:tab w:val="right" w:pos="8640"/>
      </w:tabs>
    </w:pPr>
  </w:style>
  <w:style w:type="character" w:styleId="Numeropagina">
    <w:name w:val="page number"/>
    <w:basedOn w:val="Carpredefinitoparagrafo"/>
    <w:rsid w:val="003F2356"/>
  </w:style>
  <w:style w:type="paragraph" w:styleId="Testofumetto">
    <w:name w:val="Balloon Text"/>
    <w:basedOn w:val="Normale"/>
    <w:semiHidden/>
    <w:rsid w:val="00832105"/>
    <w:rPr>
      <w:rFonts w:ascii="Tahoma" w:hAnsi="Tahoma" w:cs="Tahoma"/>
      <w:sz w:val="16"/>
      <w:szCs w:val="16"/>
    </w:rPr>
  </w:style>
  <w:style w:type="paragraph" w:styleId="Corpodeltesto">
    <w:name w:val="Body Text"/>
    <w:basedOn w:val="Normale"/>
    <w:rsid w:val="00C06E3B"/>
    <w:pPr>
      <w:spacing w:after="120"/>
    </w:pPr>
  </w:style>
  <w:style w:type="character" w:customStyle="1" w:styleId="Etichettaintestazionemessaggio">
    <w:name w:val="Etichetta intestazione messaggio"/>
    <w:rsid w:val="00C06E3B"/>
    <w:rPr>
      <w:rFonts w:ascii="Arial" w:hAnsi="Arial"/>
      <w:b/>
      <w:spacing w:val="-4"/>
      <w:sz w:val="18"/>
      <w:vertAlign w:val="baseline"/>
    </w:rPr>
  </w:style>
  <w:style w:type="paragraph" w:styleId="Testonotaapidipagina">
    <w:name w:val="footnote text"/>
    <w:basedOn w:val="Normale"/>
    <w:semiHidden/>
    <w:rsid w:val="00C06E3B"/>
    <w:rPr>
      <w:rFonts w:eastAsia="SimSun"/>
      <w:lang w:eastAsia="zh-CN"/>
    </w:rPr>
  </w:style>
  <w:style w:type="character" w:styleId="Rimandonotaapidipagina">
    <w:name w:val="footnote reference"/>
    <w:semiHidden/>
    <w:rsid w:val="00C06E3B"/>
    <w:rPr>
      <w:vertAlign w:val="superscript"/>
    </w:rPr>
  </w:style>
  <w:style w:type="paragraph" w:styleId="Pidipagina">
    <w:name w:val="footer"/>
    <w:basedOn w:val="Normale"/>
    <w:link w:val="PidipaginaCarattere"/>
    <w:rsid w:val="00195E01"/>
    <w:pPr>
      <w:tabs>
        <w:tab w:val="center" w:pos="4819"/>
        <w:tab w:val="right" w:pos="9638"/>
      </w:tabs>
    </w:pPr>
  </w:style>
  <w:style w:type="character" w:customStyle="1" w:styleId="PidipaginaCarattere">
    <w:name w:val="Piè di pagina Carattere"/>
    <w:link w:val="Pidipagina"/>
    <w:rsid w:val="00195E01"/>
    <w:rPr>
      <w:lang w:val="it-IT" w:eastAsia="it-IT"/>
    </w:rPr>
  </w:style>
  <w:style w:type="character" w:customStyle="1" w:styleId="Titolo5Carattere">
    <w:name w:val="Titolo 5 Carattere"/>
    <w:link w:val="Titolo5"/>
    <w:semiHidden/>
    <w:rsid w:val="00896A4C"/>
    <w:rPr>
      <w:rFonts w:ascii="Calibri" w:eastAsia="Times New Roman" w:hAnsi="Calibri" w:cs="Times New Roman"/>
      <w:b/>
      <w:bCs/>
      <w:i/>
      <w:iCs/>
      <w:sz w:val="26"/>
      <w:szCs w:val="26"/>
    </w:rPr>
  </w:style>
</w:styles>
</file>

<file path=word/webSettings.xml><?xml version="1.0" encoding="utf-8"?>
<w:webSettings xmlns:r="http://schemas.openxmlformats.org/officeDocument/2006/relationships" xmlns:w="http://schemas.openxmlformats.org/wordprocessingml/2006/main">
  <w:divs>
    <w:div w:id="325594454">
      <w:bodyDiv w:val="1"/>
      <w:marLeft w:val="0"/>
      <w:marRight w:val="0"/>
      <w:marTop w:val="0"/>
      <w:marBottom w:val="0"/>
      <w:divBdr>
        <w:top w:val="none" w:sz="0" w:space="0" w:color="auto"/>
        <w:left w:val="none" w:sz="0" w:space="0" w:color="auto"/>
        <w:bottom w:val="none" w:sz="0" w:space="0" w:color="auto"/>
        <w:right w:val="none" w:sz="0" w:space="0" w:color="auto"/>
      </w:divBdr>
    </w:div>
    <w:div w:id="1660382596">
      <w:bodyDiv w:val="1"/>
      <w:marLeft w:val="0"/>
      <w:marRight w:val="0"/>
      <w:marTop w:val="0"/>
      <w:marBottom w:val="0"/>
      <w:divBdr>
        <w:top w:val="none" w:sz="0" w:space="0" w:color="auto"/>
        <w:left w:val="none" w:sz="0" w:space="0" w:color="auto"/>
        <w:bottom w:val="none" w:sz="0" w:space="0" w:color="auto"/>
        <w:right w:val="none" w:sz="0" w:space="0" w:color="auto"/>
      </w:divBdr>
      <w:divsChild>
        <w:div w:id="1392339364">
          <w:marLeft w:val="0"/>
          <w:marRight w:val="0"/>
          <w:marTop w:val="0"/>
          <w:marBottom w:val="0"/>
          <w:divBdr>
            <w:top w:val="none" w:sz="0" w:space="0" w:color="auto"/>
            <w:left w:val="none" w:sz="0" w:space="0" w:color="auto"/>
            <w:bottom w:val="none" w:sz="0" w:space="0" w:color="auto"/>
            <w:right w:val="none" w:sz="0" w:space="0" w:color="auto"/>
          </w:divBdr>
        </w:div>
      </w:divsChild>
    </w:div>
    <w:div w:id="1959481440">
      <w:bodyDiv w:val="1"/>
      <w:marLeft w:val="0"/>
      <w:marRight w:val="0"/>
      <w:marTop w:val="0"/>
      <w:marBottom w:val="0"/>
      <w:divBdr>
        <w:top w:val="none" w:sz="0" w:space="0" w:color="auto"/>
        <w:left w:val="none" w:sz="0" w:space="0" w:color="auto"/>
        <w:bottom w:val="none" w:sz="0" w:space="0" w:color="auto"/>
        <w:right w:val="none" w:sz="0" w:space="0" w:color="auto"/>
      </w:divBdr>
      <w:divsChild>
        <w:div w:id="1108624512">
          <w:marLeft w:val="0"/>
          <w:marRight w:val="0"/>
          <w:marTop w:val="0"/>
          <w:marBottom w:val="0"/>
          <w:divBdr>
            <w:top w:val="none" w:sz="0" w:space="0" w:color="auto"/>
            <w:left w:val="none" w:sz="0" w:space="0" w:color="auto"/>
            <w:bottom w:val="none" w:sz="0" w:space="0" w:color="auto"/>
            <w:right w:val="none" w:sz="0" w:space="0" w:color="auto"/>
          </w:divBdr>
          <w:divsChild>
            <w:div w:id="1302423344">
              <w:marLeft w:val="0"/>
              <w:marRight w:val="0"/>
              <w:marTop w:val="0"/>
              <w:marBottom w:val="0"/>
              <w:divBdr>
                <w:top w:val="none" w:sz="0" w:space="0" w:color="auto"/>
                <w:left w:val="none" w:sz="0" w:space="0" w:color="auto"/>
                <w:bottom w:val="none" w:sz="0" w:space="0" w:color="auto"/>
                <w:right w:val="none" w:sz="0" w:space="0" w:color="auto"/>
              </w:divBdr>
              <w:divsChild>
                <w:div w:id="4865321">
                  <w:marLeft w:val="0"/>
                  <w:marRight w:val="0"/>
                  <w:marTop w:val="0"/>
                  <w:marBottom w:val="0"/>
                  <w:divBdr>
                    <w:top w:val="none" w:sz="0" w:space="0" w:color="auto"/>
                    <w:left w:val="none" w:sz="0" w:space="0" w:color="auto"/>
                    <w:bottom w:val="none" w:sz="0" w:space="0" w:color="auto"/>
                    <w:right w:val="none" w:sz="0" w:space="0" w:color="auto"/>
                  </w:divBdr>
                </w:div>
                <w:div w:id="80879990">
                  <w:marLeft w:val="0"/>
                  <w:marRight w:val="0"/>
                  <w:marTop w:val="0"/>
                  <w:marBottom w:val="0"/>
                  <w:divBdr>
                    <w:top w:val="none" w:sz="0" w:space="0" w:color="auto"/>
                    <w:left w:val="none" w:sz="0" w:space="0" w:color="auto"/>
                    <w:bottom w:val="none" w:sz="0" w:space="0" w:color="auto"/>
                    <w:right w:val="none" w:sz="0" w:space="0" w:color="auto"/>
                  </w:divBdr>
                </w:div>
                <w:div w:id="140345183">
                  <w:marLeft w:val="0"/>
                  <w:marRight w:val="0"/>
                  <w:marTop w:val="0"/>
                  <w:marBottom w:val="0"/>
                  <w:divBdr>
                    <w:top w:val="none" w:sz="0" w:space="0" w:color="auto"/>
                    <w:left w:val="none" w:sz="0" w:space="0" w:color="auto"/>
                    <w:bottom w:val="none" w:sz="0" w:space="0" w:color="auto"/>
                    <w:right w:val="none" w:sz="0" w:space="0" w:color="auto"/>
                  </w:divBdr>
                </w:div>
                <w:div w:id="141165281">
                  <w:marLeft w:val="0"/>
                  <w:marRight w:val="0"/>
                  <w:marTop w:val="0"/>
                  <w:marBottom w:val="0"/>
                  <w:divBdr>
                    <w:top w:val="none" w:sz="0" w:space="0" w:color="auto"/>
                    <w:left w:val="none" w:sz="0" w:space="0" w:color="auto"/>
                    <w:bottom w:val="none" w:sz="0" w:space="0" w:color="auto"/>
                    <w:right w:val="none" w:sz="0" w:space="0" w:color="auto"/>
                  </w:divBdr>
                </w:div>
                <w:div w:id="232590388">
                  <w:marLeft w:val="0"/>
                  <w:marRight w:val="0"/>
                  <w:marTop w:val="0"/>
                  <w:marBottom w:val="0"/>
                  <w:divBdr>
                    <w:top w:val="none" w:sz="0" w:space="0" w:color="auto"/>
                    <w:left w:val="none" w:sz="0" w:space="0" w:color="auto"/>
                    <w:bottom w:val="none" w:sz="0" w:space="0" w:color="auto"/>
                    <w:right w:val="none" w:sz="0" w:space="0" w:color="auto"/>
                  </w:divBdr>
                </w:div>
                <w:div w:id="263999633">
                  <w:marLeft w:val="0"/>
                  <w:marRight w:val="0"/>
                  <w:marTop w:val="0"/>
                  <w:marBottom w:val="0"/>
                  <w:divBdr>
                    <w:top w:val="none" w:sz="0" w:space="0" w:color="auto"/>
                    <w:left w:val="none" w:sz="0" w:space="0" w:color="auto"/>
                    <w:bottom w:val="none" w:sz="0" w:space="0" w:color="auto"/>
                    <w:right w:val="none" w:sz="0" w:space="0" w:color="auto"/>
                  </w:divBdr>
                </w:div>
                <w:div w:id="270669063">
                  <w:marLeft w:val="0"/>
                  <w:marRight w:val="0"/>
                  <w:marTop w:val="0"/>
                  <w:marBottom w:val="0"/>
                  <w:divBdr>
                    <w:top w:val="none" w:sz="0" w:space="0" w:color="auto"/>
                    <w:left w:val="none" w:sz="0" w:space="0" w:color="auto"/>
                    <w:bottom w:val="none" w:sz="0" w:space="0" w:color="auto"/>
                    <w:right w:val="none" w:sz="0" w:space="0" w:color="auto"/>
                  </w:divBdr>
                </w:div>
                <w:div w:id="272444540">
                  <w:marLeft w:val="0"/>
                  <w:marRight w:val="0"/>
                  <w:marTop w:val="0"/>
                  <w:marBottom w:val="0"/>
                  <w:divBdr>
                    <w:top w:val="none" w:sz="0" w:space="0" w:color="auto"/>
                    <w:left w:val="none" w:sz="0" w:space="0" w:color="auto"/>
                    <w:bottom w:val="none" w:sz="0" w:space="0" w:color="auto"/>
                    <w:right w:val="none" w:sz="0" w:space="0" w:color="auto"/>
                  </w:divBdr>
                </w:div>
                <w:div w:id="376705973">
                  <w:marLeft w:val="0"/>
                  <w:marRight w:val="0"/>
                  <w:marTop w:val="0"/>
                  <w:marBottom w:val="0"/>
                  <w:divBdr>
                    <w:top w:val="none" w:sz="0" w:space="0" w:color="auto"/>
                    <w:left w:val="none" w:sz="0" w:space="0" w:color="auto"/>
                    <w:bottom w:val="none" w:sz="0" w:space="0" w:color="auto"/>
                    <w:right w:val="none" w:sz="0" w:space="0" w:color="auto"/>
                  </w:divBdr>
                </w:div>
                <w:div w:id="433284363">
                  <w:marLeft w:val="0"/>
                  <w:marRight w:val="0"/>
                  <w:marTop w:val="0"/>
                  <w:marBottom w:val="0"/>
                  <w:divBdr>
                    <w:top w:val="none" w:sz="0" w:space="0" w:color="auto"/>
                    <w:left w:val="none" w:sz="0" w:space="0" w:color="auto"/>
                    <w:bottom w:val="none" w:sz="0" w:space="0" w:color="auto"/>
                    <w:right w:val="none" w:sz="0" w:space="0" w:color="auto"/>
                  </w:divBdr>
                </w:div>
                <w:div w:id="450704818">
                  <w:marLeft w:val="0"/>
                  <w:marRight w:val="0"/>
                  <w:marTop w:val="0"/>
                  <w:marBottom w:val="0"/>
                  <w:divBdr>
                    <w:top w:val="none" w:sz="0" w:space="0" w:color="auto"/>
                    <w:left w:val="none" w:sz="0" w:space="0" w:color="auto"/>
                    <w:bottom w:val="none" w:sz="0" w:space="0" w:color="auto"/>
                    <w:right w:val="none" w:sz="0" w:space="0" w:color="auto"/>
                  </w:divBdr>
                </w:div>
                <w:div w:id="455561694">
                  <w:marLeft w:val="0"/>
                  <w:marRight w:val="0"/>
                  <w:marTop w:val="0"/>
                  <w:marBottom w:val="0"/>
                  <w:divBdr>
                    <w:top w:val="none" w:sz="0" w:space="0" w:color="auto"/>
                    <w:left w:val="none" w:sz="0" w:space="0" w:color="auto"/>
                    <w:bottom w:val="none" w:sz="0" w:space="0" w:color="auto"/>
                    <w:right w:val="none" w:sz="0" w:space="0" w:color="auto"/>
                  </w:divBdr>
                </w:div>
                <w:div w:id="501235501">
                  <w:marLeft w:val="0"/>
                  <w:marRight w:val="0"/>
                  <w:marTop w:val="0"/>
                  <w:marBottom w:val="0"/>
                  <w:divBdr>
                    <w:top w:val="none" w:sz="0" w:space="0" w:color="auto"/>
                    <w:left w:val="none" w:sz="0" w:space="0" w:color="auto"/>
                    <w:bottom w:val="none" w:sz="0" w:space="0" w:color="auto"/>
                    <w:right w:val="none" w:sz="0" w:space="0" w:color="auto"/>
                  </w:divBdr>
                </w:div>
                <w:div w:id="526021038">
                  <w:marLeft w:val="0"/>
                  <w:marRight w:val="0"/>
                  <w:marTop w:val="0"/>
                  <w:marBottom w:val="0"/>
                  <w:divBdr>
                    <w:top w:val="none" w:sz="0" w:space="0" w:color="auto"/>
                    <w:left w:val="none" w:sz="0" w:space="0" w:color="auto"/>
                    <w:bottom w:val="none" w:sz="0" w:space="0" w:color="auto"/>
                    <w:right w:val="none" w:sz="0" w:space="0" w:color="auto"/>
                  </w:divBdr>
                </w:div>
                <w:div w:id="626357280">
                  <w:marLeft w:val="0"/>
                  <w:marRight w:val="0"/>
                  <w:marTop w:val="0"/>
                  <w:marBottom w:val="0"/>
                  <w:divBdr>
                    <w:top w:val="none" w:sz="0" w:space="0" w:color="auto"/>
                    <w:left w:val="none" w:sz="0" w:space="0" w:color="auto"/>
                    <w:bottom w:val="none" w:sz="0" w:space="0" w:color="auto"/>
                    <w:right w:val="none" w:sz="0" w:space="0" w:color="auto"/>
                  </w:divBdr>
                </w:div>
                <w:div w:id="647710239">
                  <w:marLeft w:val="0"/>
                  <w:marRight w:val="0"/>
                  <w:marTop w:val="0"/>
                  <w:marBottom w:val="0"/>
                  <w:divBdr>
                    <w:top w:val="none" w:sz="0" w:space="0" w:color="auto"/>
                    <w:left w:val="none" w:sz="0" w:space="0" w:color="auto"/>
                    <w:bottom w:val="none" w:sz="0" w:space="0" w:color="auto"/>
                    <w:right w:val="none" w:sz="0" w:space="0" w:color="auto"/>
                  </w:divBdr>
                </w:div>
                <w:div w:id="660742499">
                  <w:marLeft w:val="0"/>
                  <w:marRight w:val="0"/>
                  <w:marTop w:val="0"/>
                  <w:marBottom w:val="0"/>
                  <w:divBdr>
                    <w:top w:val="none" w:sz="0" w:space="0" w:color="auto"/>
                    <w:left w:val="none" w:sz="0" w:space="0" w:color="auto"/>
                    <w:bottom w:val="none" w:sz="0" w:space="0" w:color="auto"/>
                    <w:right w:val="none" w:sz="0" w:space="0" w:color="auto"/>
                  </w:divBdr>
                </w:div>
                <w:div w:id="661354156">
                  <w:marLeft w:val="0"/>
                  <w:marRight w:val="0"/>
                  <w:marTop w:val="0"/>
                  <w:marBottom w:val="0"/>
                  <w:divBdr>
                    <w:top w:val="none" w:sz="0" w:space="0" w:color="auto"/>
                    <w:left w:val="none" w:sz="0" w:space="0" w:color="auto"/>
                    <w:bottom w:val="none" w:sz="0" w:space="0" w:color="auto"/>
                    <w:right w:val="none" w:sz="0" w:space="0" w:color="auto"/>
                  </w:divBdr>
                </w:div>
                <w:div w:id="677191703">
                  <w:marLeft w:val="0"/>
                  <w:marRight w:val="0"/>
                  <w:marTop w:val="0"/>
                  <w:marBottom w:val="0"/>
                  <w:divBdr>
                    <w:top w:val="none" w:sz="0" w:space="0" w:color="auto"/>
                    <w:left w:val="none" w:sz="0" w:space="0" w:color="auto"/>
                    <w:bottom w:val="none" w:sz="0" w:space="0" w:color="auto"/>
                    <w:right w:val="none" w:sz="0" w:space="0" w:color="auto"/>
                  </w:divBdr>
                </w:div>
                <w:div w:id="710500059">
                  <w:marLeft w:val="0"/>
                  <w:marRight w:val="0"/>
                  <w:marTop w:val="0"/>
                  <w:marBottom w:val="0"/>
                  <w:divBdr>
                    <w:top w:val="none" w:sz="0" w:space="0" w:color="auto"/>
                    <w:left w:val="none" w:sz="0" w:space="0" w:color="auto"/>
                    <w:bottom w:val="none" w:sz="0" w:space="0" w:color="auto"/>
                    <w:right w:val="none" w:sz="0" w:space="0" w:color="auto"/>
                  </w:divBdr>
                </w:div>
                <w:div w:id="714233403">
                  <w:marLeft w:val="0"/>
                  <w:marRight w:val="0"/>
                  <w:marTop w:val="0"/>
                  <w:marBottom w:val="0"/>
                  <w:divBdr>
                    <w:top w:val="none" w:sz="0" w:space="0" w:color="auto"/>
                    <w:left w:val="none" w:sz="0" w:space="0" w:color="auto"/>
                    <w:bottom w:val="none" w:sz="0" w:space="0" w:color="auto"/>
                    <w:right w:val="none" w:sz="0" w:space="0" w:color="auto"/>
                  </w:divBdr>
                </w:div>
                <w:div w:id="769083387">
                  <w:marLeft w:val="0"/>
                  <w:marRight w:val="0"/>
                  <w:marTop w:val="0"/>
                  <w:marBottom w:val="0"/>
                  <w:divBdr>
                    <w:top w:val="none" w:sz="0" w:space="0" w:color="auto"/>
                    <w:left w:val="none" w:sz="0" w:space="0" w:color="auto"/>
                    <w:bottom w:val="none" w:sz="0" w:space="0" w:color="auto"/>
                    <w:right w:val="none" w:sz="0" w:space="0" w:color="auto"/>
                  </w:divBdr>
                </w:div>
                <w:div w:id="792865151">
                  <w:marLeft w:val="0"/>
                  <w:marRight w:val="0"/>
                  <w:marTop w:val="0"/>
                  <w:marBottom w:val="0"/>
                  <w:divBdr>
                    <w:top w:val="none" w:sz="0" w:space="0" w:color="auto"/>
                    <w:left w:val="none" w:sz="0" w:space="0" w:color="auto"/>
                    <w:bottom w:val="none" w:sz="0" w:space="0" w:color="auto"/>
                    <w:right w:val="none" w:sz="0" w:space="0" w:color="auto"/>
                  </w:divBdr>
                </w:div>
                <w:div w:id="867715071">
                  <w:marLeft w:val="0"/>
                  <w:marRight w:val="0"/>
                  <w:marTop w:val="0"/>
                  <w:marBottom w:val="0"/>
                  <w:divBdr>
                    <w:top w:val="none" w:sz="0" w:space="0" w:color="auto"/>
                    <w:left w:val="none" w:sz="0" w:space="0" w:color="auto"/>
                    <w:bottom w:val="none" w:sz="0" w:space="0" w:color="auto"/>
                    <w:right w:val="none" w:sz="0" w:space="0" w:color="auto"/>
                  </w:divBdr>
                </w:div>
                <w:div w:id="870915185">
                  <w:marLeft w:val="0"/>
                  <w:marRight w:val="0"/>
                  <w:marTop w:val="0"/>
                  <w:marBottom w:val="0"/>
                  <w:divBdr>
                    <w:top w:val="none" w:sz="0" w:space="0" w:color="auto"/>
                    <w:left w:val="none" w:sz="0" w:space="0" w:color="auto"/>
                    <w:bottom w:val="none" w:sz="0" w:space="0" w:color="auto"/>
                    <w:right w:val="none" w:sz="0" w:space="0" w:color="auto"/>
                  </w:divBdr>
                </w:div>
                <w:div w:id="916014985">
                  <w:marLeft w:val="0"/>
                  <w:marRight w:val="0"/>
                  <w:marTop w:val="0"/>
                  <w:marBottom w:val="0"/>
                  <w:divBdr>
                    <w:top w:val="none" w:sz="0" w:space="0" w:color="auto"/>
                    <w:left w:val="none" w:sz="0" w:space="0" w:color="auto"/>
                    <w:bottom w:val="none" w:sz="0" w:space="0" w:color="auto"/>
                    <w:right w:val="none" w:sz="0" w:space="0" w:color="auto"/>
                  </w:divBdr>
                </w:div>
                <w:div w:id="948270661">
                  <w:marLeft w:val="0"/>
                  <w:marRight w:val="0"/>
                  <w:marTop w:val="0"/>
                  <w:marBottom w:val="0"/>
                  <w:divBdr>
                    <w:top w:val="none" w:sz="0" w:space="0" w:color="auto"/>
                    <w:left w:val="none" w:sz="0" w:space="0" w:color="auto"/>
                    <w:bottom w:val="none" w:sz="0" w:space="0" w:color="auto"/>
                    <w:right w:val="none" w:sz="0" w:space="0" w:color="auto"/>
                  </w:divBdr>
                </w:div>
                <w:div w:id="1103649766">
                  <w:marLeft w:val="0"/>
                  <w:marRight w:val="0"/>
                  <w:marTop w:val="0"/>
                  <w:marBottom w:val="0"/>
                  <w:divBdr>
                    <w:top w:val="none" w:sz="0" w:space="0" w:color="auto"/>
                    <w:left w:val="none" w:sz="0" w:space="0" w:color="auto"/>
                    <w:bottom w:val="none" w:sz="0" w:space="0" w:color="auto"/>
                    <w:right w:val="none" w:sz="0" w:space="0" w:color="auto"/>
                  </w:divBdr>
                </w:div>
                <w:div w:id="1111125083">
                  <w:marLeft w:val="0"/>
                  <w:marRight w:val="0"/>
                  <w:marTop w:val="0"/>
                  <w:marBottom w:val="0"/>
                  <w:divBdr>
                    <w:top w:val="none" w:sz="0" w:space="0" w:color="auto"/>
                    <w:left w:val="none" w:sz="0" w:space="0" w:color="auto"/>
                    <w:bottom w:val="none" w:sz="0" w:space="0" w:color="auto"/>
                    <w:right w:val="none" w:sz="0" w:space="0" w:color="auto"/>
                  </w:divBdr>
                </w:div>
                <w:div w:id="1171482782">
                  <w:marLeft w:val="0"/>
                  <w:marRight w:val="0"/>
                  <w:marTop w:val="0"/>
                  <w:marBottom w:val="0"/>
                  <w:divBdr>
                    <w:top w:val="none" w:sz="0" w:space="0" w:color="auto"/>
                    <w:left w:val="none" w:sz="0" w:space="0" w:color="auto"/>
                    <w:bottom w:val="none" w:sz="0" w:space="0" w:color="auto"/>
                    <w:right w:val="none" w:sz="0" w:space="0" w:color="auto"/>
                  </w:divBdr>
                </w:div>
                <w:div w:id="1187523958">
                  <w:marLeft w:val="0"/>
                  <w:marRight w:val="0"/>
                  <w:marTop w:val="0"/>
                  <w:marBottom w:val="0"/>
                  <w:divBdr>
                    <w:top w:val="none" w:sz="0" w:space="0" w:color="auto"/>
                    <w:left w:val="none" w:sz="0" w:space="0" w:color="auto"/>
                    <w:bottom w:val="none" w:sz="0" w:space="0" w:color="auto"/>
                    <w:right w:val="none" w:sz="0" w:space="0" w:color="auto"/>
                  </w:divBdr>
                </w:div>
                <w:div w:id="1202061494">
                  <w:marLeft w:val="0"/>
                  <w:marRight w:val="0"/>
                  <w:marTop w:val="0"/>
                  <w:marBottom w:val="0"/>
                  <w:divBdr>
                    <w:top w:val="none" w:sz="0" w:space="0" w:color="auto"/>
                    <w:left w:val="none" w:sz="0" w:space="0" w:color="auto"/>
                    <w:bottom w:val="none" w:sz="0" w:space="0" w:color="auto"/>
                    <w:right w:val="none" w:sz="0" w:space="0" w:color="auto"/>
                  </w:divBdr>
                </w:div>
                <w:div w:id="1204634253">
                  <w:marLeft w:val="0"/>
                  <w:marRight w:val="0"/>
                  <w:marTop w:val="0"/>
                  <w:marBottom w:val="0"/>
                  <w:divBdr>
                    <w:top w:val="none" w:sz="0" w:space="0" w:color="auto"/>
                    <w:left w:val="none" w:sz="0" w:space="0" w:color="auto"/>
                    <w:bottom w:val="none" w:sz="0" w:space="0" w:color="auto"/>
                    <w:right w:val="none" w:sz="0" w:space="0" w:color="auto"/>
                  </w:divBdr>
                </w:div>
                <w:div w:id="1342899821">
                  <w:marLeft w:val="0"/>
                  <w:marRight w:val="0"/>
                  <w:marTop w:val="0"/>
                  <w:marBottom w:val="0"/>
                  <w:divBdr>
                    <w:top w:val="none" w:sz="0" w:space="0" w:color="auto"/>
                    <w:left w:val="none" w:sz="0" w:space="0" w:color="auto"/>
                    <w:bottom w:val="none" w:sz="0" w:space="0" w:color="auto"/>
                    <w:right w:val="none" w:sz="0" w:space="0" w:color="auto"/>
                  </w:divBdr>
                </w:div>
                <w:div w:id="1399088976">
                  <w:marLeft w:val="0"/>
                  <w:marRight w:val="0"/>
                  <w:marTop w:val="0"/>
                  <w:marBottom w:val="0"/>
                  <w:divBdr>
                    <w:top w:val="none" w:sz="0" w:space="0" w:color="auto"/>
                    <w:left w:val="none" w:sz="0" w:space="0" w:color="auto"/>
                    <w:bottom w:val="none" w:sz="0" w:space="0" w:color="auto"/>
                    <w:right w:val="none" w:sz="0" w:space="0" w:color="auto"/>
                  </w:divBdr>
                </w:div>
                <w:div w:id="1526560314">
                  <w:marLeft w:val="0"/>
                  <w:marRight w:val="0"/>
                  <w:marTop w:val="0"/>
                  <w:marBottom w:val="0"/>
                  <w:divBdr>
                    <w:top w:val="none" w:sz="0" w:space="0" w:color="auto"/>
                    <w:left w:val="none" w:sz="0" w:space="0" w:color="auto"/>
                    <w:bottom w:val="none" w:sz="0" w:space="0" w:color="auto"/>
                    <w:right w:val="none" w:sz="0" w:space="0" w:color="auto"/>
                  </w:divBdr>
                </w:div>
                <w:div w:id="1610356528">
                  <w:marLeft w:val="0"/>
                  <w:marRight w:val="0"/>
                  <w:marTop w:val="0"/>
                  <w:marBottom w:val="0"/>
                  <w:divBdr>
                    <w:top w:val="none" w:sz="0" w:space="0" w:color="auto"/>
                    <w:left w:val="none" w:sz="0" w:space="0" w:color="auto"/>
                    <w:bottom w:val="none" w:sz="0" w:space="0" w:color="auto"/>
                    <w:right w:val="none" w:sz="0" w:space="0" w:color="auto"/>
                  </w:divBdr>
                </w:div>
                <w:div w:id="1764373144">
                  <w:marLeft w:val="0"/>
                  <w:marRight w:val="0"/>
                  <w:marTop w:val="0"/>
                  <w:marBottom w:val="0"/>
                  <w:divBdr>
                    <w:top w:val="none" w:sz="0" w:space="0" w:color="auto"/>
                    <w:left w:val="none" w:sz="0" w:space="0" w:color="auto"/>
                    <w:bottom w:val="none" w:sz="0" w:space="0" w:color="auto"/>
                    <w:right w:val="none" w:sz="0" w:space="0" w:color="auto"/>
                  </w:divBdr>
                </w:div>
                <w:div w:id="1830555454">
                  <w:marLeft w:val="0"/>
                  <w:marRight w:val="0"/>
                  <w:marTop w:val="0"/>
                  <w:marBottom w:val="0"/>
                  <w:divBdr>
                    <w:top w:val="none" w:sz="0" w:space="0" w:color="auto"/>
                    <w:left w:val="none" w:sz="0" w:space="0" w:color="auto"/>
                    <w:bottom w:val="none" w:sz="0" w:space="0" w:color="auto"/>
                    <w:right w:val="none" w:sz="0" w:space="0" w:color="auto"/>
                  </w:divBdr>
                </w:div>
                <w:div w:id="1859923098">
                  <w:marLeft w:val="0"/>
                  <w:marRight w:val="0"/>
                  <w:marTop w:val="0"/>
                  <w:marBottom w:val="0"/>
                  <w:divBdr>
                    <w:top w:val="none" w:sz="0" w:space="0" w:color="auto"/>
                    <w:left w:val="none" w:sz="0" w:space="0" w:color="auto"/>
                    <w:bottom w:val="none" w:sz="0" w:space="0" w:color="auto"/>
                    <w:right w:val="none" w:sz="0" w:space="0" w:color="auto"/>
                  </w:divBdr>
                </w:div>
                <w:div w:id="1894999290">
                  <w:marLeft w:val="0"/>
                  <w:marRight w:val="0"/>
                  <w:marTop w:val="0"/>
                  <w:marBottom w:val="0"/>
                  <w:divBdr>
                    <w:top w:val="none" w:sz="0" w:space="0" w:color="auto"/>
                    <w:left w:val="none" w:sz="0" w:space="0" w:color="auto"/>
                    <w:bottom w:val="none" w:sz="0" w:space="0" w:color="auto"/>
                    <w:right w:val="none" w:sz="0" w:space="0" w:color="auto"/>
                  </w:divBdr>
                </w:div>
                <w:div w:id="1952780805">
                  <w:marLeft w:val="0"/>
                  <w:marRight w:val="0"/>
                  <w:marTop w:val="0"/>
                  <w:marBottom w:val="0"/>
                  <w:divBdr>
                    <w:top w:val="none" w:sz="0" w:space="0" w:color="auto"/>
                    <w:left w:val="none" w:sz="0" w:space="0" w:color="auto"/>
                    <w:bottom w:val="none" w:sz="0" w:space="0" w:color="auto"/>
                    <w:right w:val="none" w:sz="0" w:space="0" w:color="auto"/>
                  </w:divBdr>
                </w:div>
                <w:div w:id="2028553429">
                  <w:marLeft w:val="0"/>
                  <w:marRight w:val="0"/>
                  <w:marTop w:val="0"/>
                  <w:marBottom w:val="0"/>
                  <w:divBdr>
                    <w:top w:val="none" w:sz="0" w:space="0" w:color="auto"/>
                    <w:left w:val="none" w:sz="0" w:space="0" w:color="auto"/>
                    <w:bottom w:val="none" w:sz="0" w:space="0" w:color="auto"/>
                    <w:right w:val="none" w:sz="0" w:space="0" w:color="auto"/>
                  </w:divBdr>
                </w:div>
                <w:div w:id="2036728058">
                  <w:marLeft w:val="0"/>
                  <w:marRight w:val="0"/>
                  <w:marTop w:val="0"/>
                  <w:marBottom w:val="0"/>
                  <w:divBdr>
                    <w:top w:val="none" w:sz="0" w:space="0" w:color="auto"/>
                    <w:left w:val="none" w:sz="0" w:space="0" w:color="auto"/>
                    <w:bottom w:val="none" w:sz="0" w:space="0" w:color="auto"/>
                    <w:right w:val="none" w:sz="0" w:space="0" w:color="auto"/>
                  </w:divBdr>
                </w:div>
                <w:div w:id="2078358700">
                  <w:marLeft w:val="0"/>
                  <w:marRight w:val="0"/>
                  <w:marTop w:val="0"/>
                  <w:marBottom w:val="0"/>
                  <w:divBdr>
                    <w:top w:val="none" w:sz="0" w:space="0" w:color="auto"/>
                    <w:left w:val="none" w:sz="0" w:space="0" w:color="auto"/>
                    <w:bottom w:val="none" w:sz="0" w:space="0" w:color="auto"/>
                    <w:right w:val="none" w:sz="0" w:space="0" w:color="auto"/>
                  </w:divBdr>
                </w:div>
                <w:div w:id="2083867922">
                  <w:marLeft w:val="0"/>
                  <w:marRight w:val="0"/>
                  <w:marTop w:val="0"/>
                  <w:marBottom w:val="0"/>
                  <w:divBdr>
                    <w:top w:val="none" w:sz="0" w:space="0" w:color="auto"/>
                    <w:left w:val="none" w:sz="0" w:space="0" w:color="auto"/>
                    <w:bottom w:val="none" w:sz="0" w:space="0" w:color="auto"/>
                    <w:right w:val="none" w:sz="0" w:space="0" w:color="auto"/>
                  </w:divBdr>
                </w:div>
                <w:div w:id="2098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min.ch/opc/it/classified-compilation/20052154/index.html" TargetMode="External"/><Relationship Id="rId13" Type="http://schemas.openxmlformats.org/officeDocument/2006/relationships/hyperlink" Target="http://www.admin.ch/opc/it/classified-compilation/20052154/index.html"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dmin.ch/opc/it/classified-compilation/20052154/index.html" TargetMode="External"/><Relationship Id="rId12" Type="http://schemas.openxmlformats.org/officeDocument/2006/relationships/hyperlink" Target="http://www.admin.ch/opc/it/classified-compilation/20052154/index.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min.ch/opc/it/classified-compilation/20052154/index.html" TargetMode="External"/><Relationship Id="rId5" Type="http://schemas.openxmlformats.org/officeDocument/2006/relationships/footnotes" Target="footnotes.xml"/><Relationship Id="rId15" Type="http://schemas.openxmlformats.org/officeDocument/2006/relationships/hyperlink" Target="http://www.admin.ch/opc/it/classified-compilation/20062920/index.html" TargetMode="External"/><Relationship Id="rId10" Type="http://schemas.openxmlformats.org/officeDocument/2006/relationships/hyperlink" Target="http://www.admin.ch/opc/it/classified-compilation/20052154/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min.ch/opc/it/classified-compilation/20052154/index.html" TargetMode="External"/><Relationship Id="rId14" Type="http://schemas.openxmlformats.org/officeDocument/2006/relationships/hyperlink" Target="http://www.admin.ch/opc/it/classified-compilation/20062920/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a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aa.dot</Template>
  <TotalTime>9</TotalTime>
  <Pages>3</Pages>
  <Words>1060</Words>
  <Characters>7503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8546</CharactersWithSpaces>
  <SharedDoc>false</SharedDoc>
  <HLinks>
    <vt:vector size="54" baseType="variant">
      <vt:variant>
        <vt:i4>2031681</vt:i4>
      </vt:variant>
      <vt:variant>
        <vt:i4>24</vt:i4>
      </vt:variant>
      <vt:variant>
        <vt:i4>0</vt:i4>
      </vt:variant>
      <vt:variant>
        <vt:i4>5</vt:i4>
      </vt:variant>
      <vt:variant>
        <vt:lpwstr>http://www.admin.ch/opc/it/classified-compilation/20062920/index.html</vt:lpwstr>
      </vt:variant>
      <vt:variant>
        <vt:lpwstr>fn-#a6a-1</vt:lpwstr>
      </vt:variant>
      <vt:variant>
        <vt:i4>8323131</vt:i4>
      </vt:variant>
      <vt:variant>
        <vt:i4>21</vt:i4>
      </vt:variant>
      <vt:variant>
        <vt:i4>0</vt:i4>
      </vt:variant>
      <vt:variant>
        <vt:i4>5</vt:i4>
      </vt:variant>
      <vt:variant>
        <vt:lpwstr>http://www.admin.ch/opc/it/classified-compilation/20062920/index.html</vt:lpwstr>
      </vt:variant>
      <vt:variant>
        <vt:lpwstr>a6a</vt:lpwstr>
      </vt:variant>
      <vt:variant>
        <vt:i4>1507345</vt:i4>
      </vt:variant>
      <vt:variant>
        <vt:i4>18</vt:i4>
      </vt:variant>
      <vt:variant>
        <vt:i4>0</vt:i4>
      </vt:variant>
      <vt:variant>
        <vt:i4>5</vt:i4>
      </vt:variant>
      <vt:variant>
        <vt:lpwstr>http://www.admin.ch/opc/it/classified-compilation/20052154/index.html</vt:lpwstr>
      </vt:variant>
      <vt:variant>
        <vt:lpwstr>fn-#a10-7</vt:lpwstr>
      </vt:variant>
      <vt:variant>
        <vt:i4>1507344</vt:i4>
      </vt:variant>
      <vt:variant>
        <vt:i4>15</vt:i4>
      </vt:variant>
      <vt:variant>
        <vt:i4>0</vt:i4>
      </vt:variant>
      <vt:variant>
        <vt:i4>5</vt:i4>
      </vt:variant>
      <vt:variant>
        <vt:lpwstr>http://www.admin.ch/opc/it/classified-compilation/20052154/index.html</vt:lpwstr>
      </vt:variant>
      <vt:variant>
        <vt:lpwstr>fn-#a10-6</vt:lpwstr>
      </vt:variant>
      <vt:variant>
        <vt:i4>1507347</vt:i4>
      </vt:variant>
      <vt:variant>
        <vt:i4>12</vt:i4>
      </vt:variant>
      <vt:variant>
        <vt:i4>0</vt:i4>
      </vt:variant>
      <vt:variant>
        <vt:i4>5</vt:i4>
      </vt:variant>
      <vt:variant>
        <vt:lpwstr>http://www.admin.ch/opc/it/classified-compilation/20052154/index.html</vt:lpwstr>
      </vt:variant>
      <vt:variant>
        <vt:lpwstr>fn-#a10-5</vt:lpwstr>
      </vt:variant>
      <vt:variant>
        <vt:i4>1507346</vt:i4>
      </vt:variant>
      <vt:variant>
        <vt:i4>9</vt:i4>
      </vt:variant>
      <vt:variant>
        <vt:i4>0</vt:i4>
      </vt:variant>
      <vt:variant>
        <vt:i4>5</vt:i4>
      </vt:variant>
      <vt:variant>
        <vt:lpwstr>http://www.admin.ch/opc/it/classified-compilation/20052154/index.html</vt:lpwstr>
      </vt:variant>
      <vt:variant>
        <vt:lpwstr>fn-#a10-4</vt:lpwstr>
      </vt:variant>
      <vt:variant>
        <vt:i4>1507349</vt:i4>
      </vt:variant>
      <vt:variant>
        <vt:i4>6</vt:i4>
      </vt:variant>
      <vt:variant>
        <vt:i4>0</vt:i4>
      </vt:variant>
      <vt:variant>
        <vt:i4>5</vt:i4>
      </vt:variant>
      <vt:variant>
        <vt:lpwstr>http://www.admin.ch/opc/it/classified-compilation/20052154/index.html</vt:lpwstr>
      </vt:variant>
      <vt:variant>
        <vt:lpwstr>fn-#a10-3</vt:lpwstr>
      </vt:variant>
      <vt:variant>
        <vt:i4>1507348</vt:i4>
      </vt:variant>
      <vt:variant>
        <vt:i4>3</vt:i4>
      </vt:variant>
      <vt:variant>
        <vt:i4>0</vt:i4>
      </vt:variant>
      <vt:variant>
        <vt:i4>5</vt:i4>
      </vt:variant>
      <vt:variant>
        <vt:lpwstr>http://www.admin.ch/opc/it/classified-compilation/20052154/index.html</vt:lpwstr>
      </vt:variant>
      <vt:variant>
        <vt:lpwstr>fn-#a10-2</vt:lpwstr>
      </vt:variant>
      <vt:variant>
        <vt:i4>1507351</vt:i4>
      </vt:variant>
      <vt:variant>
        <vt:i4>0</vt:i4>
      </vt:variant>
      <vt:variant>
        <vt:i4>0</vt:i4>
      </vt:variant>
      <vt:variant>
        <vt:i4>5</vt:i4>
      </vt:variant>
      <vt:variant>
        <vt:lpwstr>http://www.admin.ch/opc/it/classified-compilation/20052154/index.html</vt:lpwstr>
      </vt:variant>
      <vt:variant>
        <vt:lpwstr>fn-#a10-1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basiva</dc:creator>
  <cp:keywords/>
  <cp:lastModifiedBy>fabri</cp:lastModifiedBy>
  <cp:revision>2</cp:revision>
  <cp:lastPrinted>2014-03-18T14:17:00Z</cp:lastPrinted>
  <dcterms:created xsi:type="dcterms:W3CDTF">2014-03-18T14:18:00Z</dcterms:created>
  <dcterms:modified xsi:type="dcterms:W3CDTF">2014-03-18T14:18:00Z</dcterms:modified>
</cp:coreProperties>
</file>