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drawing>
          <wp:inline xmlns:a="http://schemas.openxmlformats.org/drawingml/2006/main" xmlns:pic="http://schemas.openxmlformats.org/drawingml/2006/picture">
            <wp:extent cx="1645920" cy="520291"/>
            <wp:docPr id="1" name="Picture 1"/>
            <wp:cNvGraphicFramePr>
              <a:graphicFrameLocks noChangeAspect="1"/>
            </wp:cNvGraphicFramePr>
            <a:graphic>
              <a:graphicData uri="http://schemas.openxmlformats.org/drawingml/2006/picture">
                <pic:pic>
                  <pic:nvPicPr>
                    <pic:cNvPr id="0" name="devoteam-primary.png"/>
                    <pic:cNvPicPr/>
                  </pic:nvPicPr>
                  <pic:blipFill>
                    <a:blip r:embed="rId9"/>
                    <a:stretch>
                      <a:fillRect/>
                    </a:stretch>
                  </pic:blipFill>
                  <pic:spPr>
                    <a:xfrm>
                      <a:off x="0" y="0"/>
                      <a:ext cx="1645920" cy="520291"/>
                    </a:xfrm>
                    <a:prstGeom prst="rect"/>
                  </pic:spPr>
                </pic:pic>
              </a:graphicData>
            </a:graphic>
          </wp:inline>
        </w:drawing>
      </w:r>
    </w:p>
    <w:p>
      <w:pPr>
        <w:spacing w:before="0" w:after="80"/>
      </w:pPr>
      <w:r>
        <w:rPr>
          <w:rFonts w:ascii="Montserrat" w:hAnsi="Montserrat"/>
          <w:b/>
          <w:color w:val="F8485E"/>
          <w:sz w:val="18"/>
        </w:rPr>
        <w:t>GOOGLE WORKSPACE SEC-OPS PLAYBOOK • STANDARD OPERATING PROCEDURE</w:t>
      </w:r>
    </w:p>
    <w:p>
      <w:pPr>
        <w:spacing w:before="40" w:after="120"/>
      </w:pPr>
      <w:r>
        <w:rPr>
          <w:rFonts w:ascii="Montserrat" w:hAnsi="Montserrat"/>
          <w:b/>
          <w:color w:val="3C3C3A"/>
          <w:sz w:val="44"/>
        </w:rPr>
        <w:t>Threat Containment &amp; Email Purge Playbook</w:t>
      </w:r>
    </w:p>
    <w:p>
      <w:pPr>
        <w:spacing w:before="0" w:after="360"/>
      </w:pPr>
      <w:r>
        <w:rPr>
          <w:rFonts w:ascii="Montserrat" w:hAnsi="Montserrat"/>
          <w:color w:val="787876"/>
          <w:sz w:val="24"/>
        </w:rPr>
        <w:t>Rapid Mailbox Remediation via GAM / GAMADV-XTD3 and Google Sheets UI Control Center</w:t>
      </w:r>
    </w:p>
    <w:tbl>
      <w:tblPr>
        <w:tblW w:type="auto" w:w="0"/>
        <w:jc w:val="center"/>
        <w:tblLook w:firstColumn="1" w:firstRow="1" w:lastColumn="0" w:lastRow="0" w:noHBand="0" w:noVBand="1" w:val="04A0"/>
      </w:tblPr>
      <w:tblGrid>
        <w:gridCol w:w="4680"/>
        <w:gridCol w:w="4680"/>
      </w:tblGrid>
      <w:tr>
        <w:tc>
          <w:tcPr>
            <w:tcW w:type="dxa" w:w="4680"/>
            <w:shd w:fill="efeeee"/>
            <w:tcMar>
              <w:top w:w="60" w:type="dxa"/>
              <w:bottom w:w="60" w:type="dxa"/>
              <w:left w:w="120" w:type="dxa"/>
              <w:right w:w="120" w:type="dxa"/>
            </w:tcMar>
          </w:tcPr>
          <w:p>
            <w:pPr>
              <w:spacing w:before="20" w:after="20"/>
            </w:pPr>
            <w:r>
              <w:rPr>
                <w:rFonts w:ascii="Montserrat" w:hAnsi="Montserrat"/>
                <w:b/>
                <w:color w:val="3C3C3A"/>
                <w:sz w:val="18"/>
              </w:rPr>
              <w:t>Document Reference</w:t>
            </w:r>
          </w:p>
        </w:tc>
        <w:tc>
          <w:tcPr>
            <w:tcW w:type="dxa" w:w="4680"/>
            <w:tcMar>
              <w:top w:w="60" w:type="dxa"/>
              <w:bottom w:w="60" w:type="dxa"/>
              <w:left w:w="120" w:type="dxa"/>
              <w:right w:w="120" w:type="dxa"/>
            </w:tcMar>
          </w:tcPr>
          <w:p>
            <w:pPr>
              <w:spacing w:before="20" w:after="20"/>
            </w:pPr>
            <w:r>
              <w:rPr>
                <w:rFonts w:ascii="Montserrat" w:hAnsi="Montserrat"/>
                <w:color w:val="3C3C3A"/>
                <w:sz w:val="18"/>
              </w:rPr>
              <w:t>DEV-SOP-GWS-PURGE-2026-001</w:t>
            </w:r>
          </w:p>
        </w:tc>
      </w:tr>
      <w:tr>
        <w:tc>
          <w:tcPr>
            <w:tcW w:type="dxa" w:w="4680"/>
            <w:shd w:fill="efeeee"/>
            <w:tcMar>
              <w:top w:w="60" w:type="dxa"/>
              <w:bottom w:w="60" w:type="dxa"/>
              <w:left w:w="120" w:type="dxa"/>
              <w:right w:w="120" w:type="dxa"/>
            </w:tcMar>
          </w:tcPr>
          <w:p>
            <w:pPr>
              <w:spacing w:before="20" w:after="20"/>
            </w:pPr>
            <w:r>
              <w:rPr>
                <w:rFonts w:ascii="Montserrat" w:hAnsi="Montserrat"/>
                <w:b/>
                <w:color w:val="3C3C3A"/>
                <w:sz w:val="18"/>
              </w:rPr>
              <w:t>Target Service</w:t>
            </w:r>
          </w:p>
        </w:tc>
        <w:tc>
          <w:tcPr>
            <w:tcW w:type="dxa" w:w="4680"/>
            <w:tcMar>
              <w:top w:w="60" w:type="dxa"/>
              <w:bottom w:w="60" w:type="dxa"/>
              <w:left w:w="120" w:type="dxa"/>
              <w:right w:w="120" w:type="dxa"/>
            </w:tcMar>
          </w:tcPr>
          <w:p>
            <w:pPr>
              <w:spacing w:before="20" w:after="20"/>
            </w:pPr>
            <w:r>
              <w:rPr>
                <w:rFonts w:ascii="Montserrat" w:hAnsi="Montserrat"/>
                <w:color w:val="3C3C3A"/>
                <w:sz w:val="18"/>
              </w:rPr>
              <w:t>Google Workspace (Gmail API &amp; Admin Directory API)</w:t>
            </w:r>
          </w:p>
        </w:tc>
      </w:tr>
      <w:tr>
        <w:tc>
          <w:tcPr>
            <w:tcW w:type="dxa" w:w="4680"/>
            <w:shd w:fill="efeeee"/>
            <w:tcMar>
              <w:top w:w="60" w:type="dxa"/>
              <w:bottom w:w="60" w:type="dxa"/>
              <w:left w:w="120" w:type="dxa"/>
              <w:right w:w="120" w:type="dxa"/>
            </w:tcMar>
          </w:tcPr>
          <w:p>
            <w:pPr>
              <w:spacing w:before="20" w:after="20"/>
            </w:pPr>
            <w:r>
              <w:rPr>
                <w:rFonts w:ascii="Montserrat" w:hAnsi="Montserrat"/>
                <w:b/>
                <w:color w:val="3C3C3A"/>
                <w:sz w:val="18"/>
              </w:rPr>
              <w:t>Author / Custodian</w:t>
            </w:r>
          </w:p>
        </w:tc>
        <w:tc>
          <w:tcPr>
            <w:tcW w:type="dxa" w:w="4680"/>
            <w:tcMar>
              <w:top w:w="60" w:type="dxa"/>
              <w:bottom w:w="60" w:type="dxa"/>
              <w:left w:w="120" w:type="dxa"/>
              <w:right w:w="120" w:type="dxa"/>
            </w:tcMar>
          </w:tcPr>
          <w:p>
            <w:pPr>
              <w:spacing w:before="20" w:after="20"/>
            </w:pPr>
            <w:r>
              <w:rPr>
                <w:rFonts w:ascii="Montserrat" w:hAnsi="Montserrat"/>
                <w:color w:val="3C3C3A"/>
                <w:sz w:val="18"/>
              </w:rPr>
              <w:t>Devoteam G Cloud — Architecture &amp; Managed SecOps</w:t>
            </w:r>
          </w:p>
        </w:tc>
      </w:tr>
      <w:tr>
        <w:tc>
          <w:tcPr>
            <w:tcW w:type="dxa" w:w="4680"/>
            <w:shd w:fill="efeeee"/>
            <w:tcMar>
              <w:top w:w="60" w:type="dxa"/>
              <w:bottom w:w="60" w:type="dxa"/>
              <w:left w:w="120" w:type="dxa"/>
              <w:right w:w="120" w:type="dxa"/>
            </w:tcMar>
          </w:tcPr>
          <w:p>
            <w:pPr>
              <w:spacing w:before="20" w:after="20"/>
            </w:pPr>
            <w:r>
              <w:rPr>
                <w:rFonts w:ascii="Montserrat" w:hAnsi="Montserrat"/>
                <w:b/>
                <w:color w:val="3C3C3A"/>
                <w:sz w:val="18"/>
              </w:rPr>
              <w:t>Classification</w:t>
            </w:r>
          </w:p>
        </w:tc>
        <w:tc>
          <w:tcPr>
            <w:tcW w:type="dxa" w:w="4680"/>
            <w:tcMar>
              <w:top w:w="60" w:type="dxa"/>
              <w:bottom w:w="60" w:type="dxa"/>
              <w:left w:w="120" w:type="dxa"/>
              <w:right w:w="120" w:type="dxa"/>
            </w:tcMar>
          </w:tcPr>
          <w:p>
            <w:pPr>
              <w:spacing w:before="20" w:after="20"/>
            </w:pPr>
            <w:r>
              <w:rPr>
                <w:rFonts w:ascii="Montserrat" w:hAnsi="Montserrat"/>
                <w:color w:val="3C3C3A"/>
                <w:sz w:val="18"/>
              </w:rPr>
              <w:t>Internal Enterprise Standard Operating Procedure</w:t>
            </w:r>
          </w:p>
        </w:tc>
      </w:tr>
      <w:tr>
        <w:tc>
          <w:tcPr>
            <w:tcW w:type="dxa" w:w="4680"/>
            <w:shd w:fill="efeeee"/>
            <w:tcMar>
              <w:top w:w="60" w:type="dxa"/>
              <w:bottom w:w="60" w:type="dxa"/>
              <w:left w:w="120" w:type="dxa"/>
              <w:right w:w="120" w:type="dxa"/>
            </w:tcMar>
          </w:tcPr>
          <w:p>
            <w:pPr>
              <w:spacing w:before="20" w:after="20"/>
            </w:pPr>
            <w:r>
              <w:rPr>
                <w:rFonts w:ascii="Montserrat" w:hAnsi="Montserrat"/>
                <w:b/>
                <w:color w:val="3C3C3A"/>
                <w:sz w:val="18"/>
              </w:rPr>
              <w:t>Version &amp; Date</w:t>
            </w:r>
          </w:p>
        </w:tc>
        <w:tc>
          <w:tcPr>
            <w:tcW w:type="dxa" w:w="4680"/>
            <w:tcMar>
              <w:top w:w="60" w:type="dxa"/>
              <w:bottom w:w="60" w:type="dxa"/>
              <w:left w:w="120" w:type="dxa"/>
              <w:right w:w="120" w:type="dxa"/>
            </w:tcMar>
          </w:tcPr>
          <w:p>
            <w:pPr>
              <w:spacing w:before="20" w:after="20"/>
            </w:pPr>
            <w:r>
              <w:rPr>
                <w:rFonts w:ascii="Montserrat" w:hAnsi="Montserrat"/>
                <w:color w:val="3C3C3A"/>
                <w:sz w:val="18"/>
              </w:rPr>
              <w:t>1.0.0 • October 2026 (Devoteam Brand April 2026 Standards)</w:t>
            </w:r>
          </w:p>
        </w:tc>
      </w:tr>
    </w:tbl>
    <w:p>
      <w:pPr>
        <w:spacing w:after="280"/>
      </w:pPr>
    </w:p>
    <w:p>
      <w:pPr>
        <w:keepNext/>
        <w:spacing w:before="360" w:after="120"/>
      </w:pPr>
      <w:r>
        <w:rPr>
          <w:rFonts w:ascii="Montserrat" w:hAnsi="Montserrat"/>
          <w:b/>
          <w:color w:val="3C3C3A"/>
          <w:sz w:val="30"/>
        </w:rPr>
        <w:t>1. Executive Summary &amp; Purpose</w:t>
      </w:r>
    </w:p>
    <w:p>
      <w:pPr>
        <w:spacing w:before="40" w:after="80"/>
      </w:pPr>
      <w:r>
        <w:rPr>
          <w:rFonts w:ascii="Montserrat" w:hAnsi="Montserrat"/>
          <w:color w:val="3C3C3A"/>
          <w:sz w:val="20"/>
        </w:rPr>
        <w:t>This Standard Operating Procedure (SOP) defines the operational playbook for executing surgical email clawback and containment operations across enterprise Google Workspace tenants. It governs incidents involving active phishing outbreaks, accidental confidential data leakages, and regulatory compliance expungements.</w:t>
      </w:r>
    </w:p>
    <w:p>
      <w:pPr>
        <w:spacing w:before="40" w:after="80"/>
      </w:pPr>
      <w:r>
        <w:rPr>
          <w:rFonts w:ascii="Montserrat" w:hAnsi="Montserrat"/>
          <w:color w:val="3C3C3A"/>
          <w:sz w:val="20"/>
        </w:rPr>
        <w:t>The procedure combines a central Google Sheets Control Center (which provides query sanitisation, blast-radius validation, and audit tracking) with the Google Apps Manager (GAM / GAMADV-XTD3) command-line automation engine.</w:t>
      </w:r>
    </w:p>
    <w:tbl>
      <w:tblPr>
        <w:tblW w:type="auto" w:w="0"/>
        <w:jc w:val="center"/>
        <w:tblLook w:firstColumn="1" w:firstRow="1" w:lastColumn="0" w:lastRow="0" w:noHBand="0" w:noVBand="1" w:val="04A0"/>
      </w:tblPr>
      <w:tblGrid>
        <w:gridCol w:w="9360"/>
      </w:tblGrid>
      <w:tr>
        <w:tc>
          <w:tcPr>
            <w:tcW w:type="dxa" w:w="9360"/>
            <w:shd w:fill="efeeee"/>
            <w:tcMar>
              <w:top w:w="160" w:type="dxa"/>
              <w:bottom w:w="160" w:type="dxa"/>
              <w:left w:w="200" w:type="dxa"/>
              <w:right w:w="200" w:type="dxa"/>
            </w:tcMar>
            <w:tcBorders>
              <w:top w:val="none" w:sz="0" w:space="0" w:color="auto"/>
              <w:left w:val="single" w:sz="24" w:space="0" w:color="f8485e"/>
              <w:bottom w:val="none" w:sz="0" w:space="0" w:color="auto"/>
              <w:right w:val="none" w:sz="0" w:space="0" w:color="auto"/>
            </w:tcBorders>
          </w:tcPr>
          <w:p>
            <w:pPr>
              <w:spacing w:before="40" w:after="80"/>
            </w:pPr>
            <w:r>
              <w:rPr>
                <w:rFonts w:ascii="Montserrat" w:hAnsi="Montserrat"/>
                <w:b/>
                <w:color w:val="F8485E"/>
                <w:sz w:val="19"/>
              </w:rPr>
              <w:t xml:space="preserve">CRITICAL SAFETY MANDATE: </w:t>
            </w:r>
            <w:r>
              <w:rPr>
                <w:rFonts w:ascii="Montserrat" w:hAnsi="Montserrat"/>
                <w:color w:val="3C3C3A"/>
                <w:sz w:val="19"/>
              </w:rPr>
              <w:t>Never execute a hard DELETE or soft TRASH operation without first running a DRY_RUN simulation. Evaluate the blast radius to confirm that legitimate communications are not affected.</w:t>
            </w:r>
          </w:p>
        </w:tc>
      </w:tr>
    </w:tbl>
    <w:p>
      <w:pPr>
        <w:spacing w:after="120"/>
      </w:pPr>
    </w:p>
    <w:p>
      <w:pPr>
        <w:keepNext/>
        <w:spacing w:before="360" w:after="120"/>
      </w:pPr>
      <w:r>
        <w:rPr>
          <w:rFonts w:ascii="Montserrat" w:hAnsi="Montserrat"/>
          <w:b/>
          <w:color w:val="3C3C3A"/>
          <w:sz w:val="30"/>
        </w:rPr>
        <w:t>2. Architectural Framework &amp; Domain-Wide Delegation (DWD)</w:t>
      </w:r>
    </w:p>
    <w:p>
      <w:pPr>
        <w:spacing w:before="40" w:after="80"/>
      </w:pPr>
      <w:r>
        <w:rPr>
          <w:rFonts w:ascii="Montserrat" w:hAnsi="Montserrat"/>
          <w:color w:val="3C3C3A"/>
          <w:sz w:val="20"/>
        </w:rPr>
        <w:t>Standard Google Workspace administrator accounts cannot read or delete messages from individual user mailboxes via ordinary user OAuth 2.0 credentials. To perform domain-wide email remediation, Google Workspace requires Domain-Wide Delegation of Authority (DWD).</w:t>
      </w:r>
    </w:p>
    <w:p>
      <w:pPr>
        <w:keepNext/>
        <w:spacing w:before="240" w:after="80"/>
      </w:pPr>
      <w:r>
        <w:rPr>
          <w:rFonts w:ascii="Montserrat" w:hAnsi="Montserrat"/>
          <w:b/>
          <w:color w:val="F8485E"/>
          <w:sz w:val="24"/>
        </w:rPr>
        <w:t>2.1 The Two-Tier Architecture</w:t>
      </w:r>
    </w:p>
    <w:p>
      <w:pPr>
        <w:spacing w:before="40" w:after="80"/>
      </w:pPr>
      <w:r>
        <w:rPr>
          <w:rFonts w:ascii="Montserrat" w:hAnsi="Montserrat"/>
          <w:color w:val="3C3C3A"/>
          <w:sz w:val="20"/>
        </w:rPr>
        <w:t>1. Control Plane (Google Sheets &amp; Apps Script): Acts as the operator interface. It validates query syntax, checks for catastrophic broad filters, holds target recipient lists, and logs an immutable SHA-256 hash of every incident action.</w:t>
      </w:r>
    </w:p>
    <w:p>
      <w:pPr>
        <w:spacing w:before="40" w:after="80"/>
      </w:pPr>
      <w:r>
        <w:rPr>
          <w:rFonts w:ascii="Montserrat" w:hAnsi="Montserrat"/>
          <w:color w:val="3C3C3A"/>
          <w:sz w:val="20"/>
        </w:rPr>
        <w:t>2. Execution Plane (GAM / GAMADV-XTD3): Holds the Service Account private key with Domain-Wide Delegation. For each target mailbox, GAM mints an administrative JWT token setting the 'sub' claim to the user's email, invoking the Gmail API (users.messages.trash or users.messages.delete) directly.</w:t>
      </w:r>
    </w:p>
    <w:p>
      <w:pPr>
        <w:keepNext/>
        <w:spacing w:before="240" w:after="80"/>
      </w:pPr>
      <w:r>
        <w:rPr>
          <w:rFonts w:ascii="Montserrat" w:hAnsi="Montserrat"/>
          <w:b/>
          <w:color w:val="F8485E"/>
          <w:sz w:val="24"/>
        </w:rPr>
        <w:t>2.2 Required OAuth 2.0 Scopes</w:t>
      </w:r>
    </w:p>
    <w:p>
      <w:pPr>
        <w:spacing w:before="40" w:after="80"/>
      </w:pPr>
      <w:r>
        <w:rPr>
          <w:rFonts w:ascii="Montserrat" w:hAnsi="Montserrat"/>
          <w:color w:val="3C3C3A"/>
          <w:sz w:val="20"/>
        </w:rPr>
        <w:t>The Service Account Client ID must be authorised in the Google Workspace Admin Console under Security &gt; Access and data control &gt; API controls &gt; Domain-Wide Delegation with the following scopes:</w:t>
      </w:r>
    </w:p>
    <w:tbl>
      <w:tblPr>
        <w:tblW w:type="auto" w:w="0"/>
        <w:jc w:val="center"/>
        <w:tblLook w:firstColumn="1" w:firstRow="1" w:lastColumn="0" w:lastRow="0" w:noHBand="0" w:noVBand="1" w:val="04A0"/>
      </w:tblPr>
      <w:tblGrid>
        <w:gridCol w:w="4680"/>
        <w:gridCol w:w="4680"/>
      </w:tblGrid>
      <w:tr>
        <w:tc>
          <w:tcPr>
            <w:tcW w:type="dxa" w:w="4680"/>
            <w:shd w:fill="3c3c3a"/>
            <w:tcMar>
              <w:top w:w="80" w:type="dxa"/>
              <w:bottom w:w="80" w:type="dxa"/>
              <w:left w:w="120" w:type="dxa"/>
              <w:right w:w="120" w:type="dxa"/>
            </w:tcMar>
          </w:tcPr>
          <w:p>
            <w:r>
              <w:rPr>
                <w:rFonts w:ascii="Montserrat" w:hAnsi="Montserrat"/>
                <w:b/>
                <w:color w:val="FFFFFF"/>
                <w:sz w:val="17"/>
              </w:rPr>
              <w:t>OAuth 2.0 Scope</w:t>
            </w:r>
          </w:p>
        </w:tc>
        <w:tc>
          <w:tcPr>
            <w:tcW w:type="dxa" w:w="4680"/>
            <w:shd w:fill="3c3c3a"/>
            <w:tcMar>
              <w:top w:w="80" w:type="dxa"/>
              <w:bottom w:w="80" w:type="dxa"/>
              <w:left w:w="120" w:type="dxa"/>
              <w:right w:w="120" w:type="dxa"/>
            </w:tcMar>
          </w:tcPr>
          <w:p>
            <w:r>
              <w:rPr>
                <w:rFonts w:ascii="Montserrat" w:hAnsi="Montserrat"/>
                <w:b/>
                <w:color w:val="FFFFFF"/>
                <w:sz w:val="17"/>
              </w:rPr>
              <w:t>Operational Justification</w:t>
            </w:r>
          </w:p>
        </w:tc>
      </w:tr>
      <w:tr>
        <w:tc>
          <w:tcPr>
            <w:tcW w:type="dxa" w:w="4680"/>
            <w:shd w:fill="efeeee"/>
            <w:tcMar>
              <w:top w:w="80" w:type="dxa"/>
              <w:bottom w:w="80" w:type="dxa"/>
              <w:left w:w="120" w:type="dxa"/>
              <w:right w:w="120" w:type="dxa"/>
            </w:tcMar>
          </w:tcPr>
          <w:p>
            <w:r>
              <w:rPr>
                <w:rFonts w:ascii="Montserrat" w:hAnsi="Montserrat"/>
                <w:b w:val="0"/>
                <w:color w:val="3C3C3A"/>
                <w:sz w:val="17"/>
              </w:rPr>
              <w:t>https://mail.google.com/</w:t>
            </w:r>
          </w:p>
        </w:tc>
        <w:tc>
          <w:tcPr>
            <w:tcW w:type="dxa" w:w="4680"/>
            <w:shd w:fill="efeeee"/>
            <w:tcMar>
              <w:top w:w="80" w:type="dxa"/>
              <w:bottom w:w="80" w:type="dxa"/>
              <w:left w:w="120" w:type="dxa"/>
              <w:right w:w="120" w:type="dxa"/>
            </w:tcMar>
          </w:tcPr>
          <w:p>
            <w:r>
              <w:rPr>
                <w:rFonts w:ascii="Montserrat" w:hAnsi="Montserrat"/>
                <w:b w:val="0"/>
                <w:color w:val="3C3C3A"/>
                <w:sz w:val="17"/>
              </w:rPr>
              <w:t>Grants administrative access to search, move to trash, and permanently delete messages.</w:t>
            </w:r>
          </w:p>
        </w:tc>
      </w:tr>
      <w:tr>
        <w:tc>
          <w:tcPr>
            <w:tcW w:type="dxa" w:w="4680"/>
            <w:shd w:fill="ffffff"/>
            <w:tcMar>
              <w:top w:w="80" w:type="dxa"/>
              <w:bottom w:w="80" w:type="dxa"/>
              <w:left w:w="120" w:type="dxa"/>
              <w:right w:w="120" w:type="dxa"/>
            </w:tcMar>
          </w:tcPr>
          <w:p>
            <w:r>
              <w:rPr>
                <w:rFonts w:ascii="Montserrat" w:hAnsi="Montserrat"/>
                <w:b w:val="0"/>
                <w:color w:val="3C3C3A"/>
                <w:sz w:val="17"/>
              </w:rPr>
              <w:t>https://www.googleapis.com/auth/admin.directory.user.readonly</w:t>
            </w:r>
          </w:p>
        </w:tc>
        <w:tc>
          <w:tcPr>
            <w:tcW w:type="dxa" w:w="4680"/>
            <w:shd w:fill="ffffff"/>
            <w:tcMar>
              <w:top w:w="80" w:type="dxa"/>
              <w:bottom w:w="80" w:type="dxa"/>
              <w:left w:w="120" w:type="dxa"/>
              <w:right w:w="120" w:type="dxa"/>
            </w:tcMar>
          </w:tcPr>
          <w:p>
            <w:r>
              <w:rPr>
                <w:rFonts w:ascii="Montserrat" w:hAnsi="Montserrat"/>
                <w:b w:val="0"/>
                <w:color w:val="3C3C3A"/>
                <w:sz w:val="17"/>
              </w:rPr>
              <w:t>Enables GAM to enumerate target users and evaluate domain-wide recipients.</w:t>
            </w:r>
          </w:p>
        </w:tc>
      </w:tr>
      <w:tr>
        <w:tc>
          <w:tcPr>
            <w:tcW w:type="dxa" w:w="4680"/>
            <w:shd w:fill="efeeee"/>
            <w:tcMar>
              <w:top w:w="80" w:type="dxa"/>
              <w:bottom w:w="80" w:type="dxa"/>
              <w:left w:w="120" w:type="dxa"/>
              <w:right w:w="120" w:type="dxa"/>
            </w:tcMar>
          </w:tcPr>
          <w:p>
            <w:r>
              <w:rPr>
                <w:rFonts w:ascii="Montserrat" w:hAnsi="Montserrat"/>
                <w:b w:val="0"/>
                <w:color w:val="3C3C3A"/>
                <w:sz w:val="17"/>
              </w:rPr>
              <w:t>https://www.googleapis.com/auth/admin.directory.group.readonly</w:t>
            </w:r>
          </w:p>
        </w:tc>
        <w:tc>
          <w:tcPr>
            <w:tcW w:type="dxa" w:w="4680"/>
            <w:shd w:fill="efeeee"/>
            <w:tcMar>
              <w:top w:w="80" w:type="dxa"/>
              <w:bottom w:w="80" w:type="dxa"/>
              <w:left w:w="120" w:type="dxa"/>
              <w:right w:w="120" w:type="dxa"/>
            </w:tcMar>
          </w:tcPr>
          <w:p>
            <w:r>
              <w:rPr>
                <w:rFonts w:ascii="Montserrat" w:hAnsi="Montserrat"/>
                <w:b w:val="0"/>
                <w:color w:val="3C3C3A"/>
                <w:sz w:val="17"/>
              </w:rPr>
              <w:t>Allows GAM to expand Google Groups into individual target mailboxes.</w:t>
            </w:r>
          </w:p>
        </w:tc>
      </w:tr>
      <w:tr>
        <w:tc>
          <w:tcPr>
            <w:tcW w:type="dxa" w:w="4680"/>
            <w:shd w:fill="ffffff"/>
            <w:tcMar>
              <w:top w:w="80" w:type="dxa"/>
              <w:bottom w:w="80" w:type="dxa"/>
              <w:left w:w="120" w:type="dxa"/>
              <w:right w:w="120" w:type="dxa"/>
            </w:tcMar>
          </w:tcPr>
          <w:p>
            <w:r>
              <w:rPr>
                <w:rFonts w:ascii="Montserrat" w:hAnsi="Montserrat"/>
                <w:b w:val="0"/>
                <w:color w:val="3C3C3A"/>
                <w:sz w:val="17"/>
              </w:rPr>
              <w:t>https://www.googleapis.com/auth/spreadsheets.readonly</w:t>
            </w:r>
          </w:p>
        </w:tc>
        <w:tc>
          <w:tcPr>
            <w:tcW w:type="dxa" w:w="4680"/>
            <w:shd w:fill="ffffff"/>
            <w:tcMar>
              <w:top w:w="80" w:type="dxa"/>
              <w:bottom w:w="80" w:type="dxa"/>
              <w:left w:w="120" w:type="dxa"/>
              <w:right w:w="120" w:type="dxa"/>
            </w:tcMar>
          </w:tcPr>
          <w:p>
            <w:r>
              <w:rPr>
                <w:rFonts w:ascii="Montserrat" w:hAnsi="Montserrat"/>
                <w:b w:val="0"/>
                <w:color w:val="3C3C3A"/>
                <w:sz w:val="17"/>
              </w:rPr>
              <w:t>Enables direct real-time batch execution from live Google Sheet tabs (gam csv gsheet).</w:t>
            </w:r>
          </w:p>
        </w:tc>
      </w:tr>
    </w:tbl>
    <w:p>
      <w:pPr>
        <w:spacing w:after="200"/>
      </w:pPr>
    </w:p>
    <w:p>
      <w:pPr>
        <w:keepNext/>
        <w:spacing w:before="360" w:after="120"/>
      </w:pPr>
      <w:r>
        <w:rPr>
          <w:rFonts w:ascii="Montserrat" w:hAnsi="Montserrat"/>
          <w:b/>
          <w:color w:val="3C3C3A"/>
          <w:sz w:val="30"/>
        </w:rPr>
        <w:t>3. Standard Operating Procedure (SOP)</w:t>
      </w:r>
    </w:p>
    <w:p>
      <w:pPr>
        <w:keepNext/>
        <w:spacing w:before="240" w:after="80"/>
      </w:pPr>
      <w:r>
        <w:rPr>
          <w:rFonts w:ascii="Montserrat" w:hAnsi="Montserrat"/>
          <w:b/>
          <w:color w:val="F8485E"/>
          <w:sz w:val="24"/>
        </w:rPr>
        <w:t>Phase 1: Incident Triage &amp; Query Formulation</w:t>
      </w:r>
    </w:p>
    <w:p>
      <w:pPr>
        <w:spacing w:before="40" w:after="80"/>
      </w:pPr>
      <w:r>
        <w:rPr>
          <w:rFonts w:ascii="Montserrat" w:hAnsi="Montserrat"/>
          <w:color w:val="3C3C3A"/>
          <w:sz w:val="20"/>
        </w:rPr>
        <w:t>Identify the malicious message attributes using perimeter gateway logs, SecOps telemetry, or user report headers. Formulate an RFC 822 compliant search query containing at least two restrictive anchors:</w:t>
      </w:r>
    </w:p>
    <w:p>
      <w:pPr>
        <w:spacing w:before="40" w:after="80"/>
      </w:pPr>
      <w:r>
        <w:rPr>
          <w:rFonts w:ascii="Montserrat" w:hAnsi="Montserrat"/>
          <w:b/>
          <w:color w:val="3C3C3A"/>
          <w:sz w:val="20"/>
        </w:rPr>
        <w:t xml:space="preserve">Primary Filter: </w:t>
      </w:r>
      <w:r>
        <w:rPr>
          <w:rFonts w:ascii="Montserrat" w:hAnsi="Montserrat"/>
          <w:color w:val="3C3C3A"/>
          <w:sz w:val="20"/>
        </w:rPr>
        <w:t>• Message-ID Anchor: rfc822msgid:&lt;unique-id@attacker.com&gt;</w:t>
      </w:r>
    </w:p>
    <w:p>
      <w:pPr>
        <w:spacing w:before="40" w:after="80"/>
      </w:pPr>
      <w:r>
        <w:rPr>
          <w:rFonts w:ascii="Montserrat" w:hAnsi="Montserrat"/>
          <w:b/>
          <w:color w:val="3C3C3A"/>
          <w:sz w:val="20"/>
        </w:rPr>
        <w:t xml:space="preserve">Alternative Filter: </w:t>
      </w:r>
      <w:r>
        <w:rPr>
          <w:rFonts w:ascii="Montserrat" w:hAnsi="Montserrat"/>
          <w:color w:val="3C3C3A"/>
          <w:sz w:val="20"/>
        </w:rPr>
        <w:t>• Sender &amp; Subject: from:attacker@evil.com subject:"Overdue Invoice"</w:t>
      </w:r>
    </w:p>
    <w:p>
      <w:pPr>
        <w:spacing w:before="40" w:after="80"/>
      </w:pPr>
      <w:r>
        <w:rPr>
          <w:rFonts w:ascii="Montserrat" w:hAnsi="Montserrat"/>
          <w:b/>
          <w:color w:val="3C3C3A"/>
          <w:sz w:val="20"/>
        </w:rPr>
        <w:t xml:space="preserve">Mandatory Bound: </w:t>
      </w:r>
      <w:r>
        <w:rPr>
          <w:rFonts w:ascii="Montserrat" w:hAnsi="Montserrat"/>
          <w:color w:val="3C3C3A"/>
          <w:sz w:val="20"/>
        </w:rPr>
        <w:t>• Date Guardrail: after:2026/10/01 (Restricts search window to avoid historical collateral damage).</w:t>
      </w:r>
    </w:p>
    <w:p>
      <w:pPr>
        <w:keepNext/>
        <w:spacing w:before="240" w:after="80"/>
      </w:pPr>
      <w:r>
        <w:rPr>
          <w:rFonts w:ascii="Montserrat" w:hAnsi="Montserrat"/>
          <w:b/>
          <w:color w:val="F8485E"/>
          <w:sz w:val="24"/>
        </w:rPr>
        <w:t>Phase 2: Setting up Google Sheet Control Center</w:t>
      </w:r>
    </w:p>
    <w:p>
      <w:pPr>
        <w:spacing w:before="40" w:after="80"/>
      </w:pPr>
      <w:r>
        <w:rPr>
          <w:rFonts w:ascii="Montserrat" w:hAnsi="Montserrat"/>
          <w:color w:val="3C3C3A"/>
          <w:sz w:val="20"/>
        </w:rPr>
        <w:t>1. Navigate to the enterprise Purge Control Center spreadsheet.</w:t>
      </w:r>
    </w:p>
    <w:p>
      <w:pPr>
        <w:spacing w:before="40" w:after="80"/>
      </w:pPr>
      <w:r>
        <w:rPr>
          <w:rFonts w:ascii="Montserrat" w:hAnsi="Montserrat"/>
          <w:color w:val="3C3C3A"/>
          <w:sz w:val="20"/>
        </w:rPr>
        <w:t>2. Open the interactive UI by selecting '⚡ GAM Email Purge' &gt; '📱 Open Purge Dashboard (Sidebar)'.</w:t>
      </w:r>
    </w:p>
    <w:p>
      <w:pPr>
        <w:spacing w:before="40" w:after="80"/>
      </w:pPr>
      <w:r>
        <w:rPr>
          <w:rFonts w:ascii="Montserrat" w:hAnsi="Montserrat"/>
          <w:color w:val="3C3C3A"/>
          <w:sz w:val="20"/>
        </w:rPr>
        <w:t>3. Fill in the Incident Reference ID (e.g. INC-2026-10-092), target scope, and the Gmail RFC 822 query.</w:t>
      </w:r>
    </w:p>
    <w:p>
      <w:pPr>
        <w:spacing w:before="40" w:after="80"/>
      </w:pPr>
      <w:r>
        <w:rPr>
          <w:rFonts w:ascii="Montserrat" w:hAnsi="Montserrat"/>
          <w:color w:val="3C3C3A"/>
          <w:sz w:val="20"/>
        </w:rPr>
        <w:t>4. If the incident affects specific accounts, paste victim email addresses into the 'Target_Mailboxes' tab.</w:t>
      </w:r>
    </w:p>
    <w:p>
      <w:pPr>
        <w:keepNext/>
        <w:spacing w:before="240" w:after="80"/>
      </w:pPr>
      <w:r>
        <w:rPr>
          <w:rFonts w:ascii="Montserrat" w:hAnsi="Montserrat"/>
          <w:b/>
          <w:color w:val="F8485E"/>
          <w:sz w:val="24"/>
        </w:rPr>
        <w:t>Phase 3: Simulation &amp; Blast-Radius Audit (DRY_RUN)</w:t>
      </w:r>
    </w:p>
    <w:p>
      <w:pPr>
        <w:spacing w:before="40" w:after="80"/>
      </w:pPr>
      <w:r>
        <w:rPr>
          <w:rFonts w:ascii="Montserrat" w:hAnsi="Montserrat"/>
          <w:color w:val="3C3C3A"/>
          <w:sz w:val="20"/>
        </w:rPr>
        <w:t>1. Set the Purge Action to 'DRY_RUN (Count &amp; List Only)'.</w:t>
      </w:r>
    </w:p>
    <w:p>
      <w:pPr>
        <w:spacing w:before="40" w:after="80"/>
      </w:pPr>
      <w:r>
        <w:rPr>
          <w:rFonts w:ascii="Montserrat" w:hAnsi="Montserrat"/>
          <w:color w:val="3C3C3A"/>
          <w:sz w:val="20"/>
        </w:rPr>
        <w:t>2. Copy the generated dry-run command or execute via gam-purge-runner.sh:</w:t>
      </w:r>
    </w:p>
    <w:p>
      <w:pPr>
        <w:spacing w:before="40" w:after="80"/>
      </w:pPr>
      <w:r>
        <w:rPr>
          <w:rFonts w:ascii="Montserrat" w:hAnsi="Montserrat"/>
          <w:color w:val="3C3C3A"/>
          <w:sz w:val="20"/>
        </w:rPr>
        <w:t xml:space="preserve">   gam all users print messages query "rfc822msgid:&lt;...&gt; after:2026/10/01"</w:t>
      </w:r>
    </w:p>
    <w:p>
      <w:pPr>
        <w:spacing w:before="40" w:after="80"/>
      </w:pPr>
      <w:r>
        <w:rPr>
          <w:rFonts w:ascii="Montserrat" w:hAnsi="Montserrat"/>
          <w:color w:val="3C3C3A"/>
          <w:sz w:val="20"/>
        </w:rPr>
        <w:t>3. Review the output CSV. Confirm that the message count aligns with threat intelligence and that no internal executive communications match the query.</w:t>
      </w:r>
    </w:p>
    <w:p>
      <w:pPr>
        <w:keepNext/>
        <w:spacing w:before="240" w:after="80"/>
      </w:pPr>
      <w:r>
        <w:rPr>
          <w:rFonts w:ascii="Montserrat" w:hAnsi="Montserrat"/>
          <w:b/>
          <w:color w:val="F8485E"/>
          <w:sz w:val="24"/>
        </w:rPr>
        <w:t>Phase 4: Dual-Custody Approval &amp; Containment Execution</w:t>
      </w:r>
    </w:p>
    <w:p>
      <w:pPr>
        <w:spacing w:before="40" w:after="80"/>
      </w:pPr>
      <w:r>
        <w:rPr>
          <w:rFonts w:ascii="Montserrat" w:hAnsi="Montserrat"/>
          <w:color w:val="3C3C3A"/>
          <w:sz w:val="20"/>
        </w:rPr>
        <w:t>1. Review the blast-radius impact report with the Incident Commander or Lead SecOps Architect.</w:t>
      </w:r>
    </w:p>
    <w:p>
      <w:pPr>
        <w:spacing w:before="40" w:after="80"/>
      </w:pPr>
      <w:r>
        <w:rPr>
          <w:rFonts w:ascii="Montserrat" w:hAnsi="Montserrat"/>
          <w:color w:val="3C3C3A"/>
          <w:sz w:val="20"/>
        </w:rPr>
        <w:t>2. Determine containment mode:</w:t>
      </w:r>
    </w:p>
    <w:p>
      <w:pPr>
        <w:spacing w:before="40" w:after="80"/>
      </w:pPr>
      <w:r>
        <w:rPr>
          <w:rFonts w:ascii="Montserrat" w:hAnsi="Montserrat"/>
          <w:color w:val="3C3C3A"/>
          <w:sz w:val="20"/>
        </w:rPr>
        <w:t xml:space="preserve">   • Soft Purge (TRASH) - Recommended: Moves messages to user Trash. Completely isolates threat while preserving a 30-day administrative recovery window.</w:t>
      </w:r>
    </w:p>
    <w:p>
      <w:pPr>
        <w:spacing w:before="40" w:after="80"/>
      </w:pPr>
      <w:r>
        <w:rPr>
          <w:rFonts w:ascii="Montserrat" w:hAnsi="Montserrat"/>
          <w:color w:val="3C3C3A"/>
          <w:sz w:val="20"/>
        </w:rPr>
        <w:t xml:space="preserve">   • Hard Purge (DELETE) - Exceptional Cases: Permanently expunges messages. Requires setting 'Safety Confirmation' to 'YES' in cell C11 of the sheet.</w:t>
      </w:r>
    </w:p>
    <w:p>
      <w:pPr>
        <w:spacing w:before="40" w:after="80"/>
      </w:pPr>
      <w:r>
        <w:rPr>
          <w:rFonts w:ascii="Montserrat" w:hAnsi="Montserrat"/>
          <w:color w:val="3C3C3A"/>
          <w:sz w:val="20"/>
        </w:rPr>
        <w:t>3. Execute the containment command via CLI runner or live sheet connector:</w:t>
      </w:r>
    </w:p>
    <w:p>
      <w:pPr>
        <w:spacing w:before="40" w:after="80"/>
      </w:pPr>
      <w:r>
        <w:rPr>
          <w:rFonts w:ascii="Montserrat" w:hAnsi="Montserrat"/>
          <w:color w:val="3C3C3A"/>
          <w:sz w:val="20"/>
        </w:rPr>
        <w:t xml:space="preserve">   gam csv gsheet "&lt;SHEET_ID&gt;" "Target_Mailboxes" gam user ~Email trash messages query "&lt;QUERY&gt;" doit</w:t>
      </w:r>
    </w:p>
    <w:p>
      <w:pPr>
        <w:keepNext/>
        <w:spacing w:before="240" w:after="80"/>
      </w:pPr>
      <w:r>
        <w:rPr>
          <w:rFonts w:ascii="Montserrat" w:hAnsi="Montserrat"/>
          <w:b/>
          <w:color w:val="F8485E"/>
          <w:sz w:val="24"/>
        </w:rPr>
        <w:t>Phase 5: Post-Incident Verification &amp; Audit Sign-Off</w:t>
      </w:r>
    </w:p>
    <w:p>
      <w:pPr>
        <w:spacing w:before="40" w:after="80"/>
      </w:pPr>
      <w:r>
        <w:rPr>
          <w:rFonts w:ascii="Montserrat" w:hAnsi="Montserrat"/>
          <w:color w:val="3C3C3A"/>
          <w:sz w:val="20"/>
        </w:rPr>
        <w:t>1. Re-run the simulation query. Confirm matching message count returns exactly 0 in user inboxes.</w:t>
      </w:r>
    </w:p>
    <w:p>
      <w:pPr>
        <w:spacing w:before="40" w:after="80"/>
      </w:pPr>
      <w:r>
        <w:rPr>
          <w:rFonts w:ascii="Montserrat" w:hAnsi="Montserrat"/>
          <w:color w:val="3C3C3A"/>
          <w:sz w:val="20"/>
        </w:rPr>
        <w:t>2. Verify that the command execution details, operator identity, and SHA-256 hash are recorded in the 'Audit_Log' tab.</w:t>
      </w:r>
    </w:p>
    <w:p>
      <w:pPr>
        <w:spacing w:before="40" w:after="80"/>
      </w:pPr>
      <w:r>
        <w:rPr>
          <w:rFonts w:ascii="Montserrat" w:hAnsi="Montserrat"/>
          <w:color w:val="3C3C3A"/>
          <w:sz w:val="20"/>
        </w:rPr>
        <w:t>3. Attach the audit log export to the SecOps incident ticket.</w:t>
      </w:r>
    </w:p>
    <w:p>
      <w:pPr>
        <w:keepNext/>
        <w:spacing w:before="360" w:after="120"/>
      </w:pPr>
      <w:r>
        <w:rPr>
          <w:rFonts w:ascii="Montserrat" w:hAnsi="Montserrat"/>
          <w:b/>
          <w:color w:val="3C3C3A"/>
          <w:sz w:val="30"/>
        </w:rPr>
        <w:t>4. Operational Guardrails &amp; Pattern Blacklist</w:t>
      </w:r>
    </w:p>
    <w:p>
      <w:pPr>
        <w:spacing w:before="40" w:after="80"/>
      </w:pPr>
      <w:r>
        <w:rPr>
          <w:rFonts w:ascii="Montserrat" w:hAnsi="Montserrat"/>
          <w:color w:val="3C3C3A"/>
          <w:sz w:val="20"/>
        </w:rPr>
        <w:t>The Google Apps Script validator strictly blocks unsafe, broad, or malformed queries before command generation. Any query matching the following patterns will be immediately rejected:</w:t>
      </w:r>
    </w:p>
    <w:tbl>
      <w:tblPr>
        <w:tblW w:type="auto" w:w="0"/>
        <w:jc w:val="center"/>
        <w:tblLook w:firstColumn="1" w:firstRow="1" w:lastColumn="0" w:lastRow="0" w:noHBand="0" w:noVBand="1" w:val="04A0"/>
      </w:tblPr>
      <w:tblGrid>
        <w:gridCol w:w="4680"/>
        <w:gridCol w:w="4680"/>
      </w:tblGrid>
      <w:tr>
        <w:tc>
          <w:tcPr>
            <w:tcW w:type="dxa" w:w="4680"/>
            <w:shd w:fill="3c3c3a"/>
            <w:tcMar>
              <w:top w:w="80" w:type="dxa"/>
              <w:bottom w:w="80" w:type="dxa"/>
              <w:left w:w="120" w:type="dxa"/>
              <w:right w:w="120" w:type="dxa"/>
            </w:tcMar>
          </w:tcPr>
          <w:p>
            <w:r>
              <w:rPr>
                <w:rFonts w:ascii="Montserrat" w:hAnsi="Montserrat"/>
                <w:b/>
                <w:color w:val="FFFFFF"/>
                <w:sz w:val="17"/>
              </w:rPr>
              <w:t>Disallowed Pattern</w:t>
            </w:r>
          </w:p>
        </w:tc>
        <w:tc>
          <w:tcPr>
            <w:tcW w:type="dxa" w:w="4680"/>
            <w:shd w:fill="3c3c3a"/>
            <w:tcMar>
              <w:top w:w="80" w:type="dxa"/>
              <w:bottom w:w="80" w:type="dxa"/>
              <w:left w:w="120" w:type="dxa"/>
              <w:right w:w="120" w:type="dxa"/>
            </w:tcMar>
          </w:tcPr>
          <w:p>
            <w:r>
              <w:rPr>
                <w:rFonts w:ascii="Montserrat" w:hAnsi="Montserrat"/>
                <w:b/>
                <w:color w:val="FFFFFF"/>
                <w:sz w:val="17"/>
              </w:rPr>
              <w:t>Risk Description &amp; Mitigation</w:t>
            </w:r>
          </w:p>
        </w:tc>
      </w:tr>
      <w:tr>
        <w:tc>
          <w:tcPr>
            <w:tcW w:type="dxa" w:w="4680"/>
            <w:shd w:fill="efeeee"/>
            <w:tcMar>
              <w:top w:w="80" w:type="dxa"/>
              <w:bottom w:w="80" w:type="dxa"/>
              <w:left w:w="120" w:type="dxa"/>
              <w:right w:w="120" w:type="dxa"/>
            </w:tcMar>
          </w:tcPr>
          <w:p>
            <w:r>
              <w:rPr>
                <w:rFonts w:ascii="Montserrat" w:hAnsi="Montserrat"/>
                <w:b w:val="0"/>
                <w:color w:val="3C3C3A"/>
                <w:sz w:val="17"/>
              </w:rPr>
              <w:t>Empty Query / Whitespace</w:t>
            </w:r>
          </w:p>
        </w:tc>
        <w:tc>
          <w:tcPr>
            <w:tcW w:type="dxa" w:w="4680"/>
            <w:shd w:fill="efeeee"/>
            <w:tcMar>
              <w:top w:w="80" w:type="dxa"/>
              <w:bottom w:w="80" w:type="dxa"/>
              <w:left w:w="120" w:type="dxa"/>
              <w:right w:w="120" w:type="dxa"/>
            </w:tcMar>
          </w:tcPr>
          <w:p>
            <w:r>
              <w:rPr>
                <w:rFonts w:ascii="Montserrat" w:hAnsi="Montserrat"/>
                <w:b w:val="0"/>
                <w:color w:val="3C3C3A"/>
                <w:sz w:val="17"/>
              </w:rPr>
              <w:t>Matches 100% of domain emails. Mandatory rejection.</w:t>
            </w:r>
          </w:p>
        </w:tc>
      </w:tr>
      <w:tr>
        <w:tc>
          <w:tcPr>
            <w:tcW w:type="dxa" w:w="4680"/>
            <w:shd w:fill="ffffff"/>
            <w:tcMar>
              <w:top w:w="80" w:type="dxa"/>
              <w:bottom w:w="80" w:type="dxa"/>
              <w:left w:w="120" w:type="dxa"/>
              <w:right w:w="120" w:type="dxa"/>
            </w:tcMar>
          </w:tcPr>
          <w:p>
            <w:r>
              <w:rPr>
                <w:rFonts w:ascii="Montserrat" w:hAnsi="Montserrat"/>
                <w:b w:val="0"/>
                <w:color w:val="3C3C3A"/>
                <w:sz w:val="17"/>
              </w:rPr>
              <w:t>Wildcard '*'</w:t>
            </w:r>
          </w:p>
        </w:tc>
        <w:tc>
          <w:tcPr>
            <w:tcW w:type="dxa" w:w="4680"/>
            <w:shd w:fill="ffffff"/>
            <w:tcMar>
              <w:top w:w="80" w:type="dxa"/>
              <w:bottom w:w="80" w:type="dxa"/>
              <w:left w:w="120" w:type="dxa"/>
              <w:right w:w="120" w:type="dxa"/>
            </w:tcMar>
          </w:tcPr>
          <w:p>
            <w:r>
              <w:rPr>
                <w:rFonts w:ascii="Montserrat" w:hAnsi="Montserrat"/>
                <w:b w:val="0"/>
                <w:color w:val="3C3C3A"/>
                <w:sz w:val="17"/>
              </w:rPr>
              <w:t>Catastrophic blanket match across entire mailbox.</w:t>
            </w:r>
          </w:p>
        </w:tc>
      </w:tr>
      <w:tr>
        <w:tc>
          <w:tcPr>
            <w:tcW w:type="dxa" w:w="4680"/>
            <w:shd w:fill="efeeee"/>
            <w:tcMar>
              <w:top w:w="80" w:type="dxa"/>
              <w:bottom w:w="80" w:type="dxa"/>
              <w:left w:w="120" w:type="dxa"/>
              <w:right w:w="120" w:type="dxa"/>
            </w:tcMar>
          </w:tcPr>
          <w:p>
            <w:r>
              <w:rPr>
                <w:rFonts w:ascii="Montserrat" w:hAnsi="Montserrat"/>
                <w:b w:val="0"/>
                <w:color w:val="3C3C3A"/>
                <w:sz w:val="17"/>
              </w:rPr>
              <w:t>is:unread / is:read</w:t>
            </w:r>
          </w:p>
        </w:tc>
        <w:tc>
          <w:tcPr>
            <w:tcW w:type="dxa" w:w="4680"/>
            <w:shd w:fill="efeeee"/>
            <w:tcMar>
              <w:top w:w="80" w:type="dxa"/>
              <w:bottom w:w="80" w:type="dxa"/>
              <w:left w:w="120" w:type="dxa"/>
              <w:right w:w="120" w:type="dxa"/>
            </w:tcMar>
          </w:tcPr>
          <w:p>
            <w:r>
              <w:rPr>
                <w:rFonts w:ascii="Montserrat" w:hAnsi="Montserrat"/>
                <w:b w:val="0"/>
                <w:color w:val="3C3C3A"/>
                <w:sz w:val="17"/>
              </w:rPr>
              <w:t>Matches normal corporate correspondence. Specific sender/subject anchor required.</w:t>
            </w:r>
          </w:p>
        </w:tc>
      </w:tr>
      <w:tr>
        <w:tc>
          <w:tcPr>
            <w:tcW w:type="dxa" w:w="4680"/>
            <w:shd w:fill="ffffff"/>
            <w:tcMar>
              <w:top w:w="80" w:type="dxa"/>
              <w:bottom w:w="80" w:type="dxa"/>
              <w:left w:w="120" w:type="dxa"/>
              <w:right w:w="120" w:type="dxa"/>
            </w:tcMar>
          </w:tcPr>
          <w:p>
            <w:r>
              <w:rPr>
                <w:rFonts w:ascii="Montserrat" w:hAnsi="Montserrat"/>
                <w:b w:val="0"/>
                <w:color w:val="3C3C3A"/>
                <w:sz w:val="17"/>
              </w:rPr>
              <w:t>label:inbox / label:sent</w:t>
            </w:r>
          </w:p>
        </w:tc>
        <w:tc>
          <w:tcPr>
            <w:tcW w:type="dxa" w:w="4680"/>
            <w:shd w:fill="ffffff"/>
            <w:tcMar>
              <w:top w:w="80" w:type="dxa"/>
              <w:bottom w:w="80" w:type="dxa"/>
              <w:left w:w="120" w:type="dxa"/>
              <w:right w:w="120" w:type="dxa"/>
            </w:tcMar>
          </w:tcPr>
          <w:p>
            <w:r>
              <w:rPr>
                <w:rFonts w:ascii="Montserrat" w:hAnsi="Montserrat"/>
                <w:b w:val="0"/>
                <w:color w:val="3C3C3A"/>
                <w:sz w:val="17"/>
              </w:rPr>
              <w:t>Matches all active inbox or sent messages without filtering.</w:t>
            </w:r>
          </w:p>
        </w:tc>
      </w:tr>
      <w:tr>
        <w:tc>
          <w:tcPr>
            <w:tcW w:type="dxa" w:w="4680"/>
            <w:shd w:fill="efeeee"/>
            <w:tcMar>
              <w:top w:w="80" w:type="dxa"/>
              <w:bottom w:w="80" w:type="dxa"/>
              <w:left w:w="120" w:type="dxa"/>
              <w:right w:w="120" w:type="dxa"/>
            </w:tcMar>
          </w:tcPr>
          <w:p>
            <w:r>
              <w:rPr>
                <w:rFonts w:ascii="Montserrat" w:hAnsi="Montserrat"/>
                <w:b w:val="0"/>
                <w:color w:val="3C3C3A"/>
                <w:sz w:val="17"/>
              </w:rPr>
              <w:t>Missing Anchors</w:t>
            </w:r>
          </w:p>
        </w:tc>
        <w:tc>
          <w:tcPr>
            <w:tcW w:type="dxa" w:w="4680"/>
            <w:shd w:fill="efeeee"/>
            <w:tcMar>
              <w:top w:w="80" w:type="dxa"/>
              <w:bottom w:w="80" w:type="dxa"/>
              <w:left w:w="120" w:type="dxa"/>
              <w:right w:w="120" w:type="dxa"/>
            </w:tcMar>
          </w:tcPr>
          <w:p>
            <w:r>
              <w:rPr>
                <w:rFonts w:ascii="Montserrat" w:hAnsi="Montserrat"/>
                <w:b w:val="0"/>
                <w:color w:val="3C3C3A"/>
                <w:sz w:val="17"/>
              </w:rPr>
              <w:t>Queries without from:, subject:, rfc822msgid:, or date bounds are flagged for review.</w:t>
            </w:r>
          </w:p>
        </w:tc>
      </w:tr>
    </w:tbl>
    <w:p>
      <w:pPr>
        <w:spacing w:after="200"/>
      </w:pPr>
    </w:p>
    <w:p>
      <w:pPr>
        <w:keepNext/>
        <w:spacing w:before="360" w:after="120"/>
      </w:pPr>
      <w:r>
        <w:rPr>
          <w:rFonts w:ascii="Montserrat" w:hAnsi="Montserrat"/>
          <w:b/>
          <w:color w:val="3C3C3A"/>
          <w:sz w:val="30"/>
        </w:rPr>
        <w:t>5. GAM Command Quick Reference Matrix</w:t>
      </w:r>
    </w:p>
    <w:tbl>
      <w:tblPr>
        <w:tblW w:type="auto" w:w="0"/>
        <w:jc w:val="center"/>
        <w:tblLook w:firstColumn="1" w:firstRow="1" w:lastColumn="0" w:lastRow="0" w:noHBand="0" w:noVBand="1" w:val="04A0"/>
      </w:tblPr>
      <w:tblGrid>
        <w:gridCol w:w="3120"/>
        <w:gridCol w:w="3120"/>
        <w:gridCol w:w="3120"/>
      </w:tblGrid>
      <w:tr>
        <w:tc>
          <w:tcPr>
            <w:tcW w:type="dxa" w:w="3120"/>
            <w:shd w:fill="3c3c3a"/>
            <w:tcMar>
              <w:top w:w="80" w:type="dxa"/>
              <w:bottom w:w="80" w:type="dxa"/>
              <w:left w:w="100" w:type="dxa"/>
              <w:right w:w="100" w:type="dxa"/>
            </w:tcMar>
          </w:tcPr>
          <w:p>
            <w:r>
              <w:rPr>
                <w:rFonts w:ascii="Montserrat" w:hAnsi="Montserrat"/>
                <w:b/>
                <w:color w:val="FFFFFF"/>
                <w:sz w:val="16"/>
              </w:rPr>
              <w:t>Target Scope</w:t>
            </w:r>
          </w:p>
        </w:tc>
        <w:tc>
          <w:tcPr>
            <w:tcW w:type="dxa" w:w="3120"/>
            <w:shd w:fill="3c3c3a"/>
            <w:tcMar>
              <w:top w:w="80" w:type="dxa"/>
              <w:bottom w:w="80" w:type="dxa"/>
              <w:left w:w="100" w:type="dxa"/>
              <w:right w:w="100" w:type="dxa"/>
            </w:tcMar>
          </w:tcPr>
          <w:p>
            <w:r>
              <w:rPr>
                <w:rFonts w:ascii="Montserrat" w:hAnsi="Montserrat"/>
                <w:b/>
                <w:color w:val="FFFFFF"/>
                <w:sz w:val="16"/>
              </w:rPr>
              <w:t>Simulation (Dry Run)</w:t>
            </w:r>
          </w:p>
        </w:tc>
        <w:tc>
          <w:tcPr>
            <w:tcW w:type="dxa" w:w="3120"/>
            <w:shd w:fill="3c3c3a"/>
            <w:tcMar>
              <w:top w:w="80" w:type="dxa"/>
              <w:bottom w:w="80" w:type="dxa"/>
              <w:left w:w="100" w:type="dxa"/>
              <w:right w:w="100" w:type="dxa"/>
            </w:tcMar>
          </w:tcPr>
          <w:p>
            <w:r>
              <w:rPr>
                <w:rFonts w:ascii="Montserrat" w:hAnsi="Montserrat"/>
                <w:b/>
                <w:color w:val="FFFFFF"/>
                <w:sz w:val="16"/>
              </w:rPr>
              <w:t>Containment Action (Trash / Delete)</w:t>
            </w:r>
          </w:p>
        </w:tc>
      </w:tr>
      <w:tr>
        <w:tc>
          <w:tcPr>
            <w:tcW w:type="dxa" w:w="3120"/>
            <w:shd w:fill="efeeee"/>
            <w:tcMar>
              <w:top w:w="80" w:type="dxa"/>
              <w:bottom w:w="80" w:type="dxa"/>
              <w:left w:w="100" w:type="dxa"/>
              <w:right w:w="100" w:type="dxa"/>
            </w:tcMar>
          </w:tcPr>
          <w:p>
            <w:r>
              <w:rPr>
                <w:rFonts w:ascii="Montserrat" w:hAnsi="Montserrat"/>
                <w:b w:val="0"/>
                <w:color w:val="3C3C3A"/>
                <w:sz w:val="16"/>
              </w:rPr>
              <w:t>Live Google Sheet (Target_Mailboxes)</w:t>
            </w:r>
          </w:p>
        </w:tc>
        <w:tc>
          <w:tcPr>
            <w:tcW w:type="dxa" w:w="3120"/>
            <w:shd w:fill="efeeee"/>
            <w:tcMar>
              <w:top w:w="80" w:type="dxa"/>
              <w:bottom w:w="80" w:type="dxa"/>
              <w:left w:w="100" w:type="dxa"/>
              <w:right w:w="100" w:type="dxa"/>
            </w:tcMar>
          </w:tcPr>
          <w:p>
            <w:r>
              <w:rPr>
                <w:rFonts w:ascii="Montserrat" w:hAnsi="Montserrat"/>
                <w:b w:val="0"/>
                <w:color w:val="3C3C3A"/>
                <w:sz w:val="16"/>
              </w:rPr>
              <w:t>gam csv gsheet "&lt;ID&gt;" "Target_Mailboxes" gam user ~Email print messages query "&lt;Q&gt;"</w:t>
            </w:r>
          </w:p>
        </w:tc>
        <w:tc>
          <w:tcPr>
            <w:tcW w:type="dxa" w:w="3120"/>
            <w:shd w:fill="efeeee"/>
            <w:tcMar>
              <w:top w:w="80" w:type="dxa"/>
              <w:bottom w:w="80" w:type="dxa"/>
              <w:left w:w="100" w:type="dxa"/>
              <w:right w:w="100" w:type="dxa"/>
            </w:tcMar>
          </w:tcPr>
          <w:p>
            <w:r>
              <w:rPr>
                <w:rFonts w:ascii="Montserrat" w:hAnsi="Montserrat"/>
                <w:b w:val="0"/>
                <w:color w:val="3C3C3A"/>
                <w:sz w:val="16"/>
              </w:rPr>
              <w:t>gam csv gsheet "&lt;ID&gt;" "Target_Mailboxes" gam user ~Email trash messages query "&lt;Q&gt;" doit</w:t>
            </w:r>
          </w:p>
        </w:tc>
      </w:tr>
      <w:tr>
        <w:tc>
          <w:tcPr>
            <w:tcW w:type="dxa" w:w="3120"/>
            <w:shd w:fill="ffffff"/>
            <w:tcMar>
              <w:top w:w="80" w:type="dxa"/>
              <w:bottom w:w="80" w:type="dxa"/>
              <w:left w:w="100" w:type="dxa"/>
              <w:right w:w="100" w:type="dxa"/>
            </w:tcMar>
          </w:tcPr>
          <w:p>
            <w:r>
              <w:rPr>
                <w:rFonts w:ascii="Montserrat" w:hAnsi="Montserrat"/>
                <w:b w:val="0"/>
                <w:color w:val="3C3C3A"/>
                <w:sz w:val="16"/>
              </w:rPr>
              <w:t>All Domain Users (Domain-Wide)</w:t>
            </w:r>
          </w:p>
        </w:tc>
        <w:tc>
          <w:tcPr>
            <w:tcW w:type="dxa" w:w="3120"/>
            <w:shd w:fill="ffffff"/>
            <w:tcMar>
              <w:top w:w="80" w:type="dxa"/>
              <w:bottom w:w="80" w:type="dxa"/>
              <w:left w:w="100" w:type="dxa"/>
              <w:right w:w="100" w:type="dxa"/>
            </w:tcMar>
          </w:tcPr>
          <w:p>
            <w:r>
              <w:rPr>
                <w:rFonts w:ascii="Montserrat" w:hAnsi="Montserrat"/>
                <w:b w:val="0"/>
                <w:color w:val="3C3C3A"/>
                <w:sz w:val="16"/>
              </w:rPr>
              <w:t>gam all users print messages query "&lt;Q&gt;"</w:t>
            </w:r>
          </w:p>
        </w:tc>
        <w:tc>
          <w:tcPr>
            <w:tcW w:type="dxa" w:w="3120"/>
            <w:shd w:fill="ffffff"/>
            <w:tcMar>
              <w:top w:w="80" w:type="dxa"/>
              <w:bottom w:w="80" w:type="dxa"/>
              <w:left w:w="100" w:type="dxa"/>
              <w:right w:w="100" w:type="dxa"/>
            </w:tcMar>
          </w:tcPr>
          <w:p>
            <w:r>
              <w:rPr>
                <w:rFonts w:ascii="Montserrat" w:hAnsi="Montserrat"/>
                <w:b w:val="0"/>
                <w:color w:val="3C3C3A"/>
                <w:sz w:val="16"/>
              </w:rPr>
              <w:t>gam all users trash messages query "&lt;Q&gt;" doit</w:t>
            </w:r>
          </w:p>
        </w:tc>
      </w:tr>
      <w:tr>
        <w:tc>
          <w:tcPr>
            <w:tcW w:type="dxa" w:w="3120"/>
            <w:shd w:fill="efeeee"/>
            <w:tcMar>
              <w:top w:w="80" w:type="dxa"/>
              <w:bottom w:w="80" w:type="dxa"/>
              <w:left w:w="100" w:type="dxa"/>
              <w:right w:w="100" w:type="dxa"/>
            </w:tcMar>
          </w:tcPr>
          <w:p>
            <w:r>
              <w:rPr>
                <w:rFonts w:ascii="Montserrat" w:hAnsi="Montserrat"/>
                <w:b w:val="0"/>
                <w:color w:val="3C3C3A"/>
                <w:sz w:val="16"/>
              </w:rPr>
              <w:t>Single Mailbox</w:t>
            </w:r>
          </w:p>
        </w:tc>
        <w:tc>
          <w:tcPr>
            <w:tcW w:type="dxa" w:w="3120"/>
            <w:shd w:fill="efeeee"/>
            <w:tcMar>
              <w:top w:w="80" w:type="dxa"/>
              <w:bottom w:w="80" w:type="dxa"/>
              <w:left w:w="100" w:type="dxa"/>
              <w:right w:w="100" w:type="dxa"/>
            </w:tcMar>
          </w:tcPr>
          <w:p>
            <w:r>
              <w:rPr>
                <w:rFonts w:ascii="Montserrat" w:hAnsi="Montserrat"/>
                <w:b w:val="0"/>
                <w:color w:val="3C3C3A"/>
                <w:sz w:val="16"/>
              </w:rPr>
              <w:t>gam user &lt;USER&gt; print messages query "&lt;Q&gt;"</w:t>
            </w:r>
          </w:p>
        </w:tc>
        <w:tc>
          <w:tcPr>
            <w:tcW w:type="dxa" w:w="3120"/>
            <w:shd w:fill="efeeee"/>
            <w:tcMar>
              <w:top w:w="80" w:type="dxa"/>
              <w:bottom w:w="80" w:type="dxa"/>
              <w:left w:w="100" w:type="dxa"/>
              <w:right w:w="100" w:type="dxa"/>
            </w:tcMar>
          </w:tcPr>
          <w:p>
            <w:r>
              <w:rPr>
                <w:rFonts w:ascii="Montserrat" w:hAnsi="Montserrat"/>
                <w:b w:val="0"/>
                <w:color w:val="3C3C3A"/>
                <w:sz w:val="16"/>
              </w:rPr>
              <w:t>gam user &lt;USER&gt; trash messages query "&lt;Q&gt;" doit</w:t>
            </w:r>
          </w:p>
        </w:tc>
      </w:tr>
    </w:tbl>
    <w:p>
      <w:pPr>
        <w:spacing w:after="280"/>
      </w:pPr>
    </w:p>
    <w:p>
      <w:pPr>
        <w:keepNext/>
        <w:spacing w:before="360" w:after="120"/>
      </w:pPr>
      <w:r>
        <w:rPr>
          <w:rFonts w:ascii="Montserrat" w:hAnsi="Montserrat"/>
          <w:b/>
          <w:color w:val="3C3C3A"/>
          <w:sz w:val="30"/>
        </w:rPr>
        <w:t>6. Emergency Rollback &amp; Recovery Runbook</w:t>
      </w:r>
    </w:p>
    <w:p>
      <w:pPr>
        <w:spacing w:before="40" w:after="80"/>
      </w:pPr>
      <w:r>
        <w:rPr>
          <w:rFonts w:ascii="Montserrat" w:hAnsi="Montserrat"/>
          <w:color w:val="3C3C3A"/>
          <w:sz w:val="20"/>
        </w:rPr>
        <w:t>If an operational error or false positive occurs during a Soft Purge (TRASH), messages can be rapidly restored to user inboxes within 30 days without data loss.</w:t>
      </w:r>
    </w:p>
    <w:p>
      <w:pPr>
        <w:spacing w:before="40" w:after="80"/>
      </w:pPr>
      <w:r>
        <w:rPr>
          <w:rFonts w:ascii="Montserrat" w:hAnsi="Montserrat"/>
          <w:color w:val="3C3C3A"/>
          <w:sz w:val="20"/>
        </w:rPr>
        <w:t>To restore messages from Trash back to the Inbox across affected users, run:</w:t>
      </w:r>
    </w:p>
    <w:p>
      <w:pPr>
        <w:spacing w:before="40" w:after="80"/>
      </w:pPr>
      <w:r>
        <w:rPr>
          <w:rFonts w:ascii="Montserrat" w:hAnsi="Montserrat"/>
          <w:b/>
          <w:color w:val="3C3C3A"/>
          <w:sz w:val="20"/>
        </w:rPr>
        <w:t xml:space="preserve">Restoration Command: </w:t>
      </w:r>
      <w:r>
        <w:rPr>
          <w:rFonts w:ascii="Montserrat" w:hAnsi="Montserrat"/>
          <w:color w:val="3C3C3A"/>
          <w:sz w:val="20"/>
        </w:rPr>
        <w:t>gam csv gsheet "&lt;SHEET_ID&gt;" "Target_Mailboxes" gam user ~Email untrash messages query "&lt;QUERY&gt;" doit</w:t>
      </w:r>
    </w:p>
    <w:p>
      <w:pPr>
        <w:spacing w:before="40" w:after="80"/>
      </w:pPr>
      <w:r>
        <w:rPr>
          <w:rFonts w:ascii="Montserrat" w:hAnsi="Montserrat"/>
          <w:color w:val="3C3C3A"/>
          <w:sz w:val="20"/>
        </w:rPr>
        <w:t>Alternatively, to restore across all users in the tenant:</w:t>
      </w:r>
    </w:p>
    <w:p>
      <w:pPr>
        <w:spacing w:before="40" w:after="80"/>
      </w:pPr>
      <w:r>
        <w:rPr>
          <w:rFonts w:ascii="Montserrat" w:hAnsi="Montserrat"/>
          <w:b/>
          <w:color w:val="3C3C3A"/>
          <w:sz w:val="20"/>
        </w:rPr>
        <w:t xml:space="preserve">Domain Restoration: </w:t>
      </w:r>
      <w:r>
        <w:rPr>
          <w:rFonts w:ascii="Montserrat" w:hAnsi="Montserrat"/>
          <w:color w:val="3C3C3A"/>
          <w:sz w:val="20"/>
        </w:rPr>
        <w:t>gam all users untrash messages query "&lt;QUERY&gt;" doit</w:t>
      </w:r>
    </w:p>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olor w:val="787876"/>
        <w:sz w:val="17"/>
      </w:rPr>
      <w:t>Devoteam G Cloud • AI-driven tech consulting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color w:val="3C3C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