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Com esse contexto, vou montar uma arquitetura completa e visual para você.Ótimo contexto! Vou criar uma arquitetura completa e visual para o sistema de gestão pública.Aqui está a arquitetura em camadas para o sistema! Vou explicar cada parte com foco nos problemas que você mencionou: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Camada de Serviços — os 3 módulos principais: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7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Ponto Eletrônico</w:t>
      </w:r>
      <w:r w:rsidDel="00000000" w:rsidR="00000000" w:rsidRPr="00000000">
        <w:rPr>
          <w:rtl w:val="0"/>
        </w:rPr>
        <w:t xml:space="preserve"> é o coração do combate à fraude de senha. Em vez de senha, o sistema usa reconhecimento facial ou digital no momento do registro — assim, bater o ponto com a credencial de outro funcionário se torna tecnicamente impossível. A geolocalização reforça: o sistema valida se o funcionário está fisicamente na unidade.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Gestão de Setores</w:t>
      </w:r>
      <w:r w:rsidDel="00000000" w:rsidR="00000000" w:rsidRPr="00000000">
        <w:rPr>
          <w:rtl w:val="0"/>
        </w:rPr>
        <w:t xml:space="preserve"> é onde supervisores acompanham resultados em tempo real — metas, produtividade, prazos. Alertas automáticos disparam quando um setor desvia dos indicadores esperados, sem precisar esperar o relatório mensal.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Notificações</w:t>
      </w:r>
      <w:r w:rsidDel="00000000" w:rsidR="00000000" w:rsidRPr="00000000">
        <w:rPr>
          <w:rtl w:val="0"/>
        </w:rPr>
        <w:t xml:space="preserve"> garante rastreabilidade: toda ação (ponto registrado, meta atualizada, anomalia detectada) é logada e pode gerar alertas via e-mail, SMS ou push.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Dois elementos que merecem atenção especial: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Motor de IA</w:t>
      </w:r>
      <w:r w:rsidDel="00000000" w:rsidR="00000000" w:rsidRPr="00000000">
        <w:rPr>
          <w:rtl w:val="0"/>
        </w:rPr>
        <w:t xml:space="preserve"> pode identificar padrões suspeitos — como um funcionário que registra ponto sempre exatamente no horário limite, ou setores onde a produtividade cai consistentemente em determinados dias. Isso transforma dados brutos em inteligência.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camada de </w:t>
      </w:r>
      <w:r w:rsidDel="00000000" w:rsidR="00000000" w:rsidRPr="00000000">
        <w:rPr>
          <w:b w:val="1"/>
          <w:bCs w:val="1"/>
          <w:rtl w:val="0"/>
        </w:rPr>
        <w:t xml:space="preserve">Infra</w:t>
      </w:r>
      <w:r w:rsidDel="00000000" w:rsidR="00000000" w:rsidRPr="00000000">
        <w:rPr>
          <w:rtl w:val="0"/>
        </w:rPr>
        <w:t xml:space="preserve"> inclui conformidade com 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, essencial para órgãos públicos que lidam com dados biométricos de servidores.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Ideia para a Lange Page: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34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arquitetura completa da landing page! Cada seção é clicável e você pode explorar mais detalhes sobre qualquer uma delas.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segue uma lógica de conversão bem testada para software B2G (business-to-government):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seção do problema é estratégica — antes de mostrar o produto, você precisa que o gestor público se reconheça na dor. Isso cria identificação imediata. Depois, as funcionalidades em cards mostram a solução de forma objetiva, e o "como funciona" reduz o atrito de "isso vai ser complicado de implementar".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prova social é especialmente importante nesse setor, porque órgãos públicos têm desconfiança natural de softwares novos — ver outros órgãos já usando muda completamente a decisão. Métricas concretas (ex: "37% de redução de fraudes em X meses") valem mais que qualquer descrição.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CTA final deve ir direto para agendamento de demo — não precisa de formulário longo, pois o processo de contratação pública já é burocrático o suficiente; a landing deve ser o oposto disso.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