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BCE5F" w14:textId="77777777" w:rsidR="00AF4ECD" w:rsidRPr="004A7F73" w:rsidRDefault="00000000" w:rsidP="004A7F73">
      <w:pPr>
        <w:pStyle w:val="Title"/>
        <w:pBdr>
          <w:bottom w:val="single" w:sz="8" w:space="10" w:color="4F81BD" w:themeColor="accent1"/>
        </w:pBdr>
        <w:jc w:val="cente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Methodology Memo: EDA and Preprocessing</w:t>
      </w:r>
    </w:p>
    <w:p w14:paraId="54E8C4B6" w14:textId="77777777" w:rsidR="00AF4ECD" w:rsidRPr="004A7F73" w:rsidRDefault="00000000">
      <w:pPr>
        <w:jc w:val="center"/>
        <w:rPr>
          <w:rFonts w:ascii="Times New Roman" w:hAnsi="Times New Roman" w:cs="Times New Roman"/>
          <w:color w:val="000000" w:themeColor="text1"/>
          <w:sz w:val="24"/>
          <w:szCs w:val="24"/>
        </w:rPr>
      </w:pPr>
      <w:r w:rsidRPr="004A7F73">
        <w:rPr>
          <w:rFonts w:ascii="Times New Roman" w:hAnsi="Times New Roman" w:cs="Times New Roman"/>
          <w:b/>
          <w:color w:val="000000" w:themeColor="text1"/>
          <w:sz w:val="24"/>
          <w:szCs w:val="24"/>
        </w:rPr>
        <w:t>Optimizing the Order and Execution of Tobacco Retail Inspections in Pittsburgh, PA</w:t>
      </w:r>
    </w:p>
    <w:p w14:paraId="00CF6EC9" w14:textId="77777777" w:rsidR="00AF4ECD" w:rsidRPr="004A7F73" w:rsidRDefault="00000000">
      <w:pPr>
        <w:jc w:val="cente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Notebook documented: 01_EDA_Preprocessing.ipynb</w:t>
      </w:r>
    </w:p>
    <w:p w14:paraId="30D9C161" w14:textId="77777777" w:rsidR="00AF4ECD" w:rsidRPr="004A7F73" w:rsidRDefault="00000000">
      <w:pPr>
        <w:jc w:val="cente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Purpose: Exact audit trail of the first-stage data audit, cleaning, entity resolution, EDA, feature engineering, validation, and exports.</w:t>
      </w:r>
    </w:p>
    <w:p w14:paraId="2CDC6E19" w14:textId="77777777" w:rsidR="00AF4ECD" w:rsidRPr="004A7F73" w:rsidRDefault="00000000">
      <w:pPr>
        <w:pStyle w:val="Heading1"/>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Executive Summary</w:t>
      </w:r>
    </w:p>
    <w:p w14:paraId="1F787B7B"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The preprocessing notebook was built to convert the FDA Pittsburgh tobacco compliance export into transparent, reproducible analytical tables without prematurely imposing assumptions needed for prediction or optimization. The original FDA export was treated as the source of truth. Previously generated cleaned and retailer-level files were used only as comparators. No optimization model was built in this stage.</w:t>
      </w:r>
    </w:p>
    <w:p w14:paraId="6C25D6F7"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The raw export contains 1,816 FDA records and 17 source columns. There are no exact duplicate rows. The data contain 208 records explicitly marked as a sale to an underage purchaser and 1,608 explicitly marked as no sale. The notebook does not interpret these records as a census of Pittsburgh tobacco retailers: the FDA file represents observed enforcement records and therefore supports statements about observed/inspected retailers, not all retailers that exist.</w:t>
      </w:r>
    </w:p>
    <w:p w14:paraId="02B4A98C"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A major methodological change from the preliminary Stage 1 master was the entity-resolution rule. The earlier aggregation was too aggressive. The audited notebook identifies 749 normalized physical locations and 868 conservative retailer entities. It also flags 108 locations associated with more than one retailer name. The final pipeline therefore preserves both a geographic location identifier and a separate conservative retailer-entity identifier.</w:t>
      </w:r>
    </w:p>
    <w:p w14:paraId="67D919A1" w14:textId="77777777" w:rsidR="00AF4ECD" w:rsidRPr="004A7F73" w:rsidRDefault="00000000">
      <w:pPr>
        <w:pStyle w:val="Heading1"/>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1. Files and Role of Each File</w:t>
      </w:r>
    </w:p>
    <w:tbl>
      <w:tblPr>
        <w:tblStyle w:val="TableGrid"/>
        <w:tblW w:w="0" w:type="auto"/>
        <w:jc w:val="center"/>
        <w:tblLook w:val="04A0" w:firstRow="1" w:lastRow="0" w:firstColumn="1" w:lastColumn="0" w:noHBand="0" w:noVBand="1"/>
      </w:tblPr>
      <w:tblGrid>
        <w:gridCol w:w="3862"/>
        <w:gridCol w:w="3139"/>
        <w:gridCol w:w="3151"/>
      </w:tblGrid>
      <w:tr w:rsidR="004A7F73" w:rsidRPr="004A7F73" w14:paraId="504C596A" w14:textId="77777777">
        <w:trPr>
          <w:jc w:val="center"/>
        </w:trPr>
        <w:tc>
          <w:tcPr>
            <w:tcW w:w="3312" w:type="dxa"/>
          </w:tcPr>
          <w:p w14:paraId="0EB9110E"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File</w:t>
            </w:r>
          </w:p>
        </w:tc>
        <w:tc>
          <w:tcPr>
            <w:tcW w:w="3312" w:type="dxa"/>
          </w:tcPr>
          <w:p w14:paraId="6CD00F37"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Role</w:t>
            </w:r>
          </w:p>
        </w:tc>
        <w:tc>
          <w:tcPr>
            <w:tcW w:w="3312" w:type="dxa"/>
          </w:tcPr>
          <w:p w14:paraId="04E4959D"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Treatment</w:t>
            </w:r>
          </w:p>
        </w:tc>
      </w:tr>
      <w:tr w:rsidR="004A7F73" w:rsidRPr="004A7F73" w14:paraId="27C52B51" w14:textId="77777777">
        <w:trPr>
          <w:jc w:val="center"/>
        </w:trPr>
        <w:tc>
          <w:tcPr>
            <w:tcW w:w="3312" w:type="dxa"/>
          </w:tcPr>
          <w:p w14:paraId="1C0F05E3"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Pittsburgh Inspections.csv</w:t>
            </w:r>
          </w:p>
        </w:tc>
        <w:tc>
          <w:tcPr>
            <w:tcW w:w="3312" w:type="dxa"/>
          </w:tcPr>
          <w:p w14:paraId="076188CB"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Original FDA Pittsburgh export</w:t>
            </w:r>
          </w:p>
        </w:tc>
        <w:tc>
          <w:tcPr>
            <w:tcW w:w="3312" w:type="dxa"/>
          </w:tcPr>
          <w:p w14:paraId="43C9977B"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Authoritative source; never overwritten or silently modified.</w:t>
            </w:r>
          </w:p>
        </w:tc>
      </w:tr>
      <w:tr w:rsidR="004A7F73" w:rsidRPr="004A7F73" w14:paraId="5EA8B778" w14:textId="77777777">
        <w:trPr>
          <w:jc w:val="center"/>
        </w:trPr>
        <w:tc>
          <w:tcPr>
            <w:tcW w:w="3312" w:type="dxa"/>
          </w:tcPr>
          <w:p w14:paraId="521B8FE7"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pittsburgh_inspections_cleaned.csv</w:t>
            </w:r>
          </w:p>
        </w:tc>
        <w:tc>
          <w:tcPr>
            <w:tcW w:w="3312" w:type="dxa"/>
          </w:tcPr>
          <w:p w14:paraId="066C63B8"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Previously generated cleaned file</w:t>
            </w:r>
          </w:p>
        </w:tc>
        <w:tc>
          <w:tcPr>
            <w:tcW w:w="3312" w:type="dxa"/>
          </w:tcPr>
          <w:p w14:paraId="073A324F"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Audit comparator only; not used to generate the new outputs.</w:t>
            </w:r>
          </w:p>
        </w:tc>
      </w:tr>
      <w:tr w:rsidR="004A7F73" w:rsidRPr="004A7F73" w14:paraId="405286AC" w14:textId="77777777">
        <w:trPr>
          <w:jc w:val="center"/>
        </w:trPr>
        <w:tc>
          <w:tcPr>
            <w:tcW w:w="3312" w:type="dxa"/>
          </w:tcPr>
          <w:p w14:paraId="09936E55"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pittsburgh_retailer_master_stage1.csv</w:t>
            </w:r>
          </w:p>
        </w:tc>
        <w:tc>
          <w:tcPr>
            <w:tcW w:w="3312" w:type="dxa"/>
          </w:tcPr>
          <w:p w14:paraId="77FC7064"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Preliminary retailer aggregation</w:t>
            </w:r>
          </w:p>
        </w:tc>
        <w:tc>
          <w:tcPr>
            <w:tcW w:w="3312" w:type="dxa"/>
          </w:tcPr>
          <w:p w14:paraId="2A70B167"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Audit comparator only; used to detect over-aggressive entity collapsing.</w:t>
            </w:r>
          </w:p>
        </w:tc>
      </w:tr>
    </w:tbl>
    <w:p w14:paraId="39054E8D" w14:textId="77777777" w:rsidR="00AF4ECD" w:rsidRPr="004A7F73" w:rsidRDefault="00000000">
      <w:pPr>
        <w:pStyle w:val="Heading1"/>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2. Raw File Loading and Preamble Handling</w:t>
      </w:r>
    </w:p>
    <w:p w14:paraId="1BA33770"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The notebook first reads and prints the first ten physical lines of the original file before calling pandas. This was done so that the non-tabular FDA preamble would be visible and the row-skipping rule would be evidence-based rather than hidden.</w:t>
      </w:r>
    </w:p>
    <w:p w14:paraId="5F9290B6"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lastRenderedPageBreak/>
        <w:t>The export begins with the title “Tobacco Compliance Outcomes Through 07/31/2026 - Search Results,” followed by the search criteria, including City contains Pittsburgh and Underage Purchaser (UP) Involved: Yes. The actual CSV header appears on physical line 8. Accordingly, the notebook loads the table with skiprows=7 and dtype=str. Loading every source field as a string prevents pandas from making premature type assumptions.</w:t>
      </w:r>
    </w:p>
    <w:p w14:paraId="14C68BD5"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Result: 1,816 rows × 17 source columns.</w:t>
      </w:r>
    </w:p>
    <w:p w14:paraId="1FEF2B92" w14:textId="77777777" w:rsidR="00AF4ECD" w:rsidRPr="004A7F73" w:rsidRDefault="00000000">
      <w:pPr>
        <w:pStyle w:val="Heading1"/>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3. Raw-Data Audit Before Recoding</w:t>
      </w:r>
    </w:p>
    <w:p w14:paraId="35673491"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Before any cleaning, recoding, or row deletion, the notebook verifies the exact 17-column source schema. An assertion stops execution if the source columns differ from the expected FDA export structure. For every column, the notebook reports the inferred dtype, true-null count, true-null percentage, and number of unique nonmissing values.</w:t>
      </w:r>
    </w:p>
    <w:p w14:paraId="53585ED0"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The audit found zero exact duplicate rows, 737 unique raw retailer names, and 751 unique raw Street Address + ZIP combinations. All 1,816 rows have UP Involved = Yes, which is consistent with the search criterion embedded in the export preamble. Sale to UP contains only two values: 208 Yes and 1,608 No.</w:t>
      </w:r>
    </w:p>
    <w:p w14:paraId="003A3DFD"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Outcome values include 1,607 No Violations Observed records, 175 Warning Letters, 28 Civil Money Penalties, 4 Civil Money Penalty Archived records, and 2 Civil Money Penalty not available records.</w:t>
      </w:r>
    </w:p>
    <w:p w14:paraId="5568C004" w14:textId="77777777" w:rsidR="00AF4ECD" w:rsidRPr="004A7F73" w:rsidRDefault="00000000">
      <w:pPr>
        <w:pStyle w:val="Heading1"/>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4. Missingness and Placeholder Values</w:t>
      </w:r>
    </w:p>
    <w:p w14:paraId="2E9B40A2"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The notebook distinguishes actual null values from placeholder strings. This matters because some FDA fields contain text such as “Not available” rather than a true missing value. A placeholder inventory checks blank strings and common representations such as N/A, NA, NOT AVAILABLE, NONE, NULL, UNKNOWN, and --.</w:t>
      </w:r>
    </w:p>
    <w:p w14:paraId="150B4D49"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 xml:space="preserve">For example, Inspection Date has no </w:t>
      </w:r>
      <w:proofErr w:type="gramStart"/>
      <w:r w:rsidRPr="004A7F73">
        <w:rPr>
          <w:rFonts w:ascii="Times New Roman" w:hAnsi="Times New Roman" w:cs="Times New Roman"/>
          <w:color w:val="000000" w:themeColor="text1"/>
          <w:sz w:val="24"/>
          <w:szCs w:val="24"/>
        </w:rPr>
        <w:t>pandas</w:t>
      </w:r>
      <w:proofErr w:type="gramEnd"/>
      <w:r w:rsidRPr="004A7F73">
        <w:rPr>
          <w:rFonts w:ascii="Times New Roman" w:hAnsi="Times New Roman" w:cs="Times New Roman"/>
          <w:color w:val="000000" w:themeColor="text1"/>
          <w:sz w:val="24"/>
          <w:szCs w:val="24"/>
        </w:rPr>
        <w:t xml:space="preserve"> nulls in the raw string import, yet only 175 of the 1,816 values can be parsed as dates because most rows contain an unavailable-date placeholder. This distinction is retained rather than silently converting the source file before the audit.</w:t>
      </w:r>
    </w:p>
    <w:p w14:paraId="6DA0B977" w14:textId="77777777" w:rsidR="00AF4ECD" w:rsidRPr="004A7F73" w:rsidRDefault="00000000">
      <w:pPr>
        <w:pStyle w:val="Heading1"/>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5. Date Validation</w:t>
      </w:r>
    </w:p>
    <w:p w14:paraId="49F8032A"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Inspection Date and Decision Date are parsed into temporary audit series using errors='coerce'. The original string columns remain unchanged. The notebook checks parseability, minimum and maximum dates, and whether any decision date occurs before a known inspection date.</w:t>
      </w:r>
    </w:p>
    <w:tbl>
      <w:tblPr>
        <w:tblStyle w:val="TableGrid"/>
        <w:tblW w:w="0" w:type="auto"/>
        <w:jc w:val="center"/>
        <w:tblLook w:val="04A0" w:firstRow="1" w:lastRow="0" w:firstColumn="1" w:lastColumn="0" w:noHBand="0" w:noVBand="1"/>
      </w:tblPr>
      <w:tblGrid>
        <w:gridCol w:w="2484"/>
        <w:gridCol w:w="2484"/>
        <w:gridCol w:w="2484"/>
        <w:gridCol w:w="2484"/>
      </w:tblGrid>
      <w:tr w:rsidR="004A7F73" w:rsidRPr="004A7F73" w14:paraId="5759C7D7" w14:textId="77777777">
        <w:trPr>
          <w:jc w:val="center"/>
        </w:trPr>
        <w:tc>
          <w:tcPr>
            <w:tcW w:w="2484" w:type="dxa"/>
          </w:tcPr>
          <w:p w14:paraId="4A9E428A"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Field</w:t>
            </w:r>
          </w:p>
        </w:tc>
        <w:tc>
          <w:tcPr>
            <w:tcW w:w="2484" w:type="dxa"/>
          </w:tcPr>
          <w:p w14:paraId="346B91A2"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Parseable</w:t>
            </w:r>
          </w:p>
        </w:tc>
        <w:tc>
          <w:tcPr>
            <w:tcW w:w="2484" w:type="dxa"/>
          </w:tcPr>
          <w:p w14:paraId="1DBEC41A"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Unparseable / unavailable</w:t>
            </w:r>
          </w:p>
        </w:tc>
        <w:tc>
          <w:tcPr>
            <w:tcW w:w="2484" w:type="dxa"/>
          </w:tcPr>
          <w:p w14:paraId="3A75E187"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Observed range</w:t>
            </w:r>
          </w:p>
        </w:tc>
      </w:tr>
      <w:tr w:rsidR="004A7F73" w:rsidRPr="004A7F73" w14:paraId="55BA35C4" w14:textId="77777777">
        <w:trPr>
          <w:jc w:val="center"/>
        </w:trPr>
        <w:tc>
          <w:tcPr>
            <w:tcW w:w="2484" w:type="dxa"/>
          </w:tcPr>
          <w:p w14:paraId="2A546E1B"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Inspection Date</w:t>
            </w:r>
          </w:p>
        </w:tc>
        <w:tc>
          <w:tcPr>
            <w:tcW w:w="2484" w:type="dxa"/>
          </w:tcPr>
          <w:p w14:paraId="0410C3F9"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175</w:t>
            </w:r>
          </w:p>
        </w:tc>
        <w:tc>
          <w:tcPr>
            <w:tcW w:w="2484" w:type="dxa"/>
          </w:tcPr>
          <w:p w14:paraId="123AE9D9"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1,641</w:t>
            </w:r>
          </w:p>
        </w:tc>
        <w:tc>
          <w:tcPr>
            <w:tcW w:w="2484" w:type="dxa"/>
          </w:tcPr>
          <w:p w14:paraId="7929DAC2"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2011-05-31 to 2026-04-16</w:t>
            </w:r>
          </w:p>
        </w:tc>
      </w:tr>
      <w:tr w:rsidR="004A7F73" w:rsidRPr="004A7F73" w14:paraId="1A034FB6" w14:textId="77777777">
        <w:trPr>
          <w:jc w:val="center"/>
        </w:trPr>
        <w:tc>
          <w:tcPr>
            <w:tcW w:w="2484" w:type="dxa"/>
          </w:tcPr>
          <w:p w14:paraId="63AD929E"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Decision Date</w:t>
            </w:r>
          </w:p>
        </w:tc>
        <w:tc>
          <w:tcPr>
            <w:tcW w:w="2484" w:type="dxa"/>
          </w:tcPr>
          <w:p w14:paraId="14DE9F41"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1,816</w:t>
            </w:r>
          </w:p>
        </w:tc>
        <w:tc>
          <w:tcPr>
            <w:tcW w:w="2484" w:type="dxa"/>
          </w:tcPr>
          <w:p w14:paraId="3B902AA6"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0</w:t>
            </w:r>
          </w:p>
        </w:tc>
        <w:tc>
          <w:tcPr>
            <w:tcW w:w="2484" w:type="dxa"/>
          </w:tcPr>
          <w:p w14:paraId="24C0F853"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2011-06-20 to 2026-05-28</w:t>
            </w:r>
          </w:p>
        </w:tc>
      </w:tr>
    </w:tbl>
    <w:p w14:paraId="0C15BE81"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lastRenderedPageBreak/>
        <w:t>No row with both dates available had a decision date earlier than its inspection date. Crucially, the notebook does not impute missing inspection dates from decision dates. Decision Date is used only as an explicitly labeled temporal proxy for broad EDA because it is complete in this export.</w:t>
      </w:r>
    </w:p>
    <w:p w14:paraId="393A15FC" w14:textId="77777777" w:rsidR="00AF4ECD" w:rsidRPr="004A7F73" w:rsidRDefault="00000000">
      <w:pPr>
        <w:pStyle w:val="Heading1"/>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6. Conservative Cleaning and Standardization</w:t>
      </w:r>
    </w:p>
    <w:p w14:paraId="046A2417"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 xml:space="preserve">The raw table is copied before transformations. </w:t>
      </w:r>
      <w:proofErr w:type="gramStart"/>
      <w:r w:rsidRPr="004A7F73">
        <w:rPr>
          <w:rFonts w:ascii="Times New Roman" w:hAnsi="Times New Roman" w:cs="Times New Roman"/>
          <w:color w:val="000000" w:themeColor="text1"/>
          <w:sz w:val="24"/>
          <w:szCs w:val="24"/>
        </w:rPr>
        <w:t>Text normalization strips leading/trailing whitespace,</w:t>
      </w:r>
      <w:proofErr w:type="gramEnd"/>
      <w:r w:rsidRPr="004A7F73">
        <w:rPr>
          <w:rFonts w:ascii="Times New Roman" w:hAnsi="Times New Roman" w:cs="Times New Roman"/>
          <w:color w:val="000000" w:themeColor="text1"/>
          <w:sz w:val="24"/>
          <w:szCs w:val="24"/>
        </w:rPr>
        <w:t xml:space="preserve"> converts text to uppercase, and collapses repeated whitespace. Addresses additionally remove periods and commas. ZIP codes are standardized by extracting the five-digit ZIP.</w:t>
      </w:r>
    </w:p>
    <w:p w14:paraId="76F73B07"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The notebook intentionally does not perform aggressive street-suffix replacements such as converting every AVENUE to AVE or STREET to ST. The earlier Stage 1 process used more aggressive normalization and produced fewer entities. Because such transformations can collapse distinct source strings without evidence that they are the same location, the audited notebook adopts the conservative rule.</w:t>
      </w:r>
    </w:p>
    <w:p w14:paraId="05A06FFC"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Assertions verify that cleaning does not change the number of records and that every record has a valid five-digit ZIP before identifiers are constructed.</w:t>
      </w:r>
    </w:p>
    <w:p w14:paraId="76F4D45C" w14:textId="77777777" w:rsidR="00AF4ECD" w:rsidRPr="004A7F73" w:rsidRDefault="00000000">
      <w:pPr>
        <w:pStyle w:val="Heading1"/>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7. Retailer and Location Entity Resolution</w:t>
      </w:r>
    </w:p>
    <w:p w14:paraId="2983C802"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Two identifiers are constructed because a physical place and a business entity are not necessarily the same analytical unit.</w:t>
      </w:r>
    </w:p>
    <w:p w14:paraId="3F9CAE7F"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location_key = normalized street address + ZIP</w:t>
      </w:r>
    </w:p>
    <w:p w14:paraId="78DF19B2"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retailer_entity_key = normalized retailer name + location_key</w:t>
      </w:r>
    </w:p>
    <w:p w14:paraId="21E9C085"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The location key is intended for geocoding, Census assignment, school-distance calculations, and routing. The retailer entity key is the conservative unit for aggregating historical FDA records. This avoids automatically combining different businesses that happen to share an address.</w:t>
      </w:r>
    </w:p>
    <w:tbl>
      <w:tblPr>
        <w:tblStyle w:val="TableGrid"/>
        <w:tblW w:w="0" w:type="auto"/>
        <w:jc w:val="center"/>
        <w:tblLook w:val="04A0" w:firstRow="1" w:lastRow="0" w:firstColumn="1" w:lastColumn="0" w:noHBand="0" w:noVBand="1"/>
      </w:tblPr>
      <w:tblGrid>
        <w:gridCol w:w="4968"/>
        <w:gridCol w:w="4968"/>
      </w:tblGrid>
      <w:tr w:rsidR="004A7F73" w:rsidRPr="004A7F73" w14:paraId="04163B2E" w14:textId="77777777">
        <w:trPr>
          <w:jc w:val="center"/>
        </w:trPr>
        <w:tc>
          <w:tcPr>
            <w:tcW w:w="4968" w:type="dxa"/>
          </w:tcPr>
          <w:p w14:paraId="1F8B75BA"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Entity-resolution metric</w:t>
            </w:r>
          </w:p>
        </w:tc>
        <w:tc>
          <w:tcPr>
            <w:tcW w:w="4968" w:type="dxa"/>
          </w:tcPr>
          <w:p w14:paraId="44301804"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Result</w:t>
            </w:r>
          </w:p>
        </w:tc>
      </w:tr>
      <w:tr w:rsidR="004A7F73" w:rsidRPr="004A7F73" w14:paraId="2A72170E" w14:textId="77777777">
        <w:trPr>
          <w:jc w:val="center"/>
        </w:trPr>
        <w:tc>
          <w:tcPr>
            <w:tcW w:w="4968" w:type="dxa"/>
          </w:tcPr>
          <w:p w14:paraId="63E91280"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Unique raw address + ZIP pairs</w:t>
            </w:r>
          </w:p>
        </w:tc>
        <w:tc>
          <w:tcPr>
            <w:tcW w:w="4968" w:type="dxa"/>
          </w:tcPr>
          <w:p w14:paraId="7F779A94"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751</w:t>
            </w:r>
          </w:p>
        </w:tc>
      </w:tr>
      <w:tr w:rsidR="004A7F73" w:rsidRPr="004A7F73" w14:paraId="44505351" w14:textId="77777777">
        <w:trPr>
          <w:jc w:val="center"/>
        </w:trPr>
        <w:tc>
          <w:tcPr>
            <w:tcW w:w="4968" w:type="dxa"/>
          </w:tcPr>
          <w:p w14:paraId="75EB2E27"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Unique normalized locations</w:t>
            </w:r>
          </w:p>
        </w:tc>
        <w:tc>
          <w:tcPr>
            <w:tcW w:w="4968" w:type="dxa"/>
          </w:tcPr>
          <w:p w14:paraId="5A56859A"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749</w:t>
            </w:r>
          </w:p>
        </w:tc>
      </w:tr>
      <w:tr w:rsidR="004A7F73" w:rsidRPr="004A7F73" w14:paraId="10245516" w14:textId="77777777">
        <w:trPr>
          <w:jc w:val="center"/>
        </w:trPr>
        <w:tc>
          <w:tcPr>
            <w:tcW w:w="4968" w:type="dxa"/>
          </w:tcPr>
          <w:p w14:paraId="58991341"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Conservative retailer entities</w:t>
            </w:r>
          </w:p>
        </w:tc>
        <w:tc>
          <w:tcPr>
            <w:tcW w:w="4968" w:type="dxa"/>
          </w:tcPr>
          <w:p w14:paraId="038493BC"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868</w:t>
            </w:r>
          </w:p>
        </w:tc>
      </w:tr>
      <w:tr w:rsidR="004A7F73" w:rsidRPr="004A7F73" w14:paraId="114F2433" w14:textId="77777777">
        <w:trPr>
          <w:jc w:val="center"/>
        </w:trPr>
        <w:tc>
          <w:tcPr>
            <w:tcW w:w="4968" w:type="dxa"/>
          </w:tcPr>
          <w:p w14:paraId="5CE0F2E6"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Locations with &gt;1 retailer name</w:t>
            </w:r>
          </w:p>
        </w:tc>
        <w:tc>
          <w:tcPr>
            <w:tcW w:w="4968" w:type="dxa"/>
          </w:tcPr>
          <w:p w14:paraId="3CD34D74"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108</w:t>
            </w:r>
          </w:p>
        </w:tc>
      </w:tr>
      <w:tr w:rsidR="004A7F73" w:rsidRPr="004A7F73" w14:paraId="1A382F16" w14:textId="77777777">
        <w:trPr>
          <w:jc w:val="center"/>
        </w:trPr>
        <w:tc>
          <w:tcPr>
            <w:tcW w:w="4968" w:type="dxa"/>
          </w:tcPr>
          <w:p w14:paraId="242C6FD4"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Maximum retailer names at one location</w:t>
            </w:r>
          </w:p>
        </w:tc>
        <w:tc>
          <w:tcPr>
            <w:tcW w:w="4968" w:type="dxa"/>
          </w:tcPr>
          <w:p w14:paraId="57CACD70"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4</w:t>
            </w:r>
          </w:p>
        </w:tc>
      </w:tr>
    </w:tbl>
    <w:p w14:paraId="787319F5"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Every location associated with more than one normalized retailer name receives multi_name_location_flag = 1. These cases are not automatically merged. They may represent renaming, ownership turnover, multiple tenants, or inconsistent source naming and require documented entity-resolution evidence if they are later consolidated.</w:t>
      </w:r>
    </w:p>
    <w:p w14:paraId="72B7CA55" w14:textId="77777777" w:rsidR="00AF4ECD" w:rsidRPr="004A7F73" w:rsidRDefault="00000000">
      <w:pPr>
        <w:pStyle w:val="Heading1"/>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lastRenderedPageBreak/>
        <w:t>8. Underage-Sale Outcome Validation</w:t>
      </w:r>
    </w:p>
    <w:p w14:paraId="0FDA022A"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Before creating a binary outcome, the notebook cross-tabulates UP Involved against Sale to UP and Sale to UP against Outcome. It then verifies that Sale to UP contains only Yes and No. An assertion stops the pipeline if unexpected or missing outcome values appear.</w:t>
      </w:r>
    </w:p>
    <w:p w14:paraId="3991AC4C"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The derived field underage_sale_violation is defined as 1 only when Sale to UP is explicitly Yes and 0 only when Sale to UP is explicitly No. This produces 208 positive records and 1,608 negative records, for an observed record-level positive rate of approximately 11.45%.</w:t>
      </w:r>
    </w:p>
    <w:p w14:paraId="248BAB70"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This variable is explicitly described as an observed historical FDA-record outcome. A retailer absent from the FDA data is not assigned a zero and is not classified as compliant.</w:t>
      </w:r>
    </w:p>
    <w:p w14:paraId="1D3CBAA3" w14:textId="77777777" w:rsidR="00AF4ECD" w:rsidRPr="004A7F73" w:rsidRDefault="00000000">
      <w:pPr>
        <w:pStyle w:val="Heading1"/>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9. Exploratory and Temporal Analysis</w:t>
      </w:r>
    </w:p>
    <w:p w14:paraId="3DD0B59D"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The notebook creates decision-year summaries of FDA record volume, recorded underage-sale violations, and observed violation rates. Decision year is used because Decision Date is complete; the notebook labels this choice rather than presenting it as inspection-year analysis.</w:t>
      </w:r>
    </w:p>
    <w:p w14:paraId="0AD41CEF"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Plots include FDA records by decision year, observed underage-sale violation rate by decision year, the distribution of FDA records per conservative retailer entity, the distribution of recorded violations per retailer entity, outcome-category frequencies, product-type frequencies, and the time between consecutive decision records for the same retailer entity.</w:t>
      </w:r>
    </w:p>
    <w:p w14:paraId="0666A896"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For repeat observations, the interval calculation sorts each retailer entity by Decision Date and computes the within-entity date difference. There are 948 repeat-record intervals. Their mean is about 777 days, median 497 days, 25th percentile 280 days, 75th percentile 1,041.25 days, minimum 56 days, and maximum 4,245 days. The histogram clips only the display at the 99th percentile; the underlying data are not truncated.</w:t>
      </w:r>
    </w:p>
    <w:p w14:paraId="2B5E38F7"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The interpretation attached to these plots is deliberately conditional: changes in annual volume or violation rate may reflect enforcement capacity, sampling strategy, reporting, and who was inspected, not only changes in retailer behavior.</w:t>
      </w:r>
    </w:p>
    <w:p w14:paraId="58BC3797" w14:textId="77777777" w:rsidR="00AF4ECD" w:rsidRPr="004A7F73" w:rsidRDefault="00000000">
      <w:pPr>
        <w:pStyle w:val="Heading1"/>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10. Retailer-Level Feature Engineering</w:t>
      </w:r>
    </w:p>
    <w:p w14:paraId="47AD9038"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A descriptive full-history retailer master is built by sorting records by retailer_entity_key and decision_date_parsed and aggregating to one row per conservative retailer entity. The notebook uses the maximum observed Decision Date as the descriptive as-of date.</w:t>
      </w:r>
    </w:p>
    <w:p w14:paraId="6882918D"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b/>
          <w:color w:val="000000" w:themeColor="text1"/>
          <w:sz w:val="24"/>
          <w:szCs w:val="24"/>
        </w:rPr>
        <w:t xml:space="preserve">Fields created or retained include: </w:t>
      </w:r>
      <w:r w:rsidRPr="004A7F73">
        <w:rPr>
          <w:rFonts w:ascii="Times New Roman" w:hAnsi="Times New Roman" w:cs="Times New Roman"/>
          <w:color w:val="000000" w:themeColor="text1"/>
          <w:sz w:val="24"/>
          <w:szCs w:val="24"/>
        </w:rPr>
        <w:t>retailer name and normalized retailer name; street address and normalized street address; city, state, and five-digit ZIP; location_key and multi-name-location flag; total FDA records; number of records involving an underage purchaser; number of recorded underage-sale violations; historical violation rate; first and most recent known inspection dates; first and most recent decision dates; most recent outcome; ever-recorded-underage-sale indicator; repeat-violation indicator; days since most recent decision.</w:t>
      </w:r>
    </w:p>
    <w:p w14:paraId="7416CCEC"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lastRenderedPageBreak/>
        <w:t>The resulting master contains 868 conservative retailer entities. Of these, 173 have at least one recorded underage-sale violation in their full observed FDA history.</w:t>
      </w:r>
    </w:p>
    <w:p w14:paraId="29C07FDC" w14:textId="77777777" w:rsidR="00AF4ECD" w:rsidRPr="004A7F73" w:rsidRDefault="00000000">
      <w:pPr>
        <w:pStyle w:val="Heading1"/>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11. Leakage Controls</w:t>
      </w:r>
    </w:p>
    <w:p w14:paraId="58F5D3A4"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The retailer master is explicitly labeled a descriptive current/full-history integration table, not a historical training matrix. Fields such as total FDA records, historical violation rate, ever-recorded violation, and most recent outcome contain future information if they are used to predict an earlier inspection.</w:t>
      </w:r>
    </w:p>
    <w:p w14:paraId="69C527AC"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For a future risk-model notebook, every feature for a prediction at time t must be recomputed using only information strictly before t. This means the predictive dataset should be constructed as time-indexed snapshots rather than simply training on the full-history retailer master.</w:t>
      </w:r>
    </w:p>
    <w:p w14:paraId="4B8FDD4E" w14:textId="77777777" w:rsidR="00AF4ECD" w:rsidRPr="004A7F73" w:rsidRDefault="00000000">
      <w:pPr>
        <w:pStyle w:val="Heading1"/>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12. Selection Bias and Denominator Problem</w:t>
      </w:r>
    </w:p>
    <w:p w14:paraId="6929E1C9"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 xml:space="preserve">The notebook treats selection bias as a core data-generating-process issue. The FDA file supports an observed quantity closer to </w:t>
      </w:r>
      <w:proofErr w:type="gramStart"/>
      <w:r w:rsidRPr="004A7F73">
        <w:rPr>
          <w:rFonts w:ascii="Times New Roman" w:hAnsi="Times New Roman" w:cs="Times New Roman"/>
          <w:color w:val="000000" w:themeColor="text1"/>
          <w:sz w:val="24"/>
          <w:szCs w:val="24"/>
        </w:rPr>
        <w:t>P(</w:t>
      </w:r>
      <w:proofErr w:type="gramEnd"/>
      <w:r w:rsidRPr="004A7F73">
        <w:rPr>
          <w:rFonts w:ascii="Times New Roman" w:hAnsi="Times New Roman" w:cs="Times New Roman"/>
          <w:color w:val="000000" w:themeColor="text1"/>
          <w:sz w:val="24"/>
          <w:szCs w:val="24"/>
        </w:rPr>
        <w:t xml:space="preserve">violation | retailer observed/inspected). The policy problem requires a quantity closer to </w:t>
      </w:r>
      <w:proofErr w:type="gramStart"/>
      <w:r w:rsidRPr="004A7F73">
        <w:rPr>
          <w:rFonts w:ascii="Times New Roman" w:hAnsi="Times New Roman" w:cs="Times New Roman"/>
          <w:color w:val="000000" w:themeColor="text1"/>
          <w:sz w:val="24"/>
          <w:szCs w:val="24"/>
        </w:rPr>
        <w:t>P(</w:t>
      </w:r>
      <w:proofErr w:type="gramEnd"/>
      <w:r w:rsidRPr="004A7F73">
        <w:rPr>
          <w:rFonts w:ascii="Times New Roman" w:hAnsi="Times New Roman" w:cs="Times New Roman"/>
          <w:color w:val="000000" w:themeColor="text1"/>
          <w:sz w:val="24"/>
          <w:szCs w:val="24"/>
        </w:rPr>
        <w:t>violation | retailer exists). These probabilities are not interchangeable when inspection selection is non-random.</w:t>
      </w:r>
    </w:p>
    <w:p w14:paraId="06C7BDCE"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For that reason, the Pennsylvania active tobacco-license list is required to define the retailer universe. A licensed retailer that does not appear in the FDA history must remain “not observed in this FDA history,” not be converted to a zero-violation observation.</w:t>
      </w:r>
    </w:p>
    <w:p w14:paraId="37C93CE3" w14:textId="77777777" w:rsidR="00AF4ECD" w:rsidRPr="004A7F73" w:rsidRDefault="00000000">
      <w:pPr>
        <w:pStyle w:val="Heading1"/>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13. Preparation for External Data Integration</w:t>
      </w:r>
    </w:p>
    <w:p w14:paraId="3E319B05"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The master table is deliberately prepared for later enrichment, but unavailable values are not fabricated. Empty schema fields are added for Pennsylvania license matching, latitude/longitude, Census tract GEOID, ACS population/youth/income/poverty variables, and NCES school-proximity variables.</w:t>
      </w:r>
    </w:p>
    <w:p w14:paraId="1014DE65"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 xml:space="preserve">The intended join strategy </w:t>
      </w:r>
      <w:proofErr w:type="gramStart"/>
      <w:r w:rsidRPr="004A7F73">
        <w:rPr>
          <w:rFonts w:ascii="Times New Roman" w:hAnsi="Times New Roman" w:cs="Times New Roman"/>
          <w:color w:val="000000" w:themeColor="text1"/>
          <w:sz w:val="24"/>
          <w:szCs w:val="24"/>
        </w:rPr>
        <w:t>is:</w:t>
      </w:r>
      <w:proofErr w:type="gramEnd"/>
      <w:r w:rsidRPr="004A7F73">
        <w:rPr>
          <w:rFonts w:ascii="Times New Roman" w:hAnsi="Times New Roman" w:cs="Times New Roman"/>
          <w:color w:val="000000" w:themeColor="text1"/>
          <w:sz w:val="24"/>
          <w:szCs w:val="24"/>
        </w:rPr>
        <w:t xml:space="preserve"> business/address matching for Pennsylvania licenses; geocoding followed by Census tract GEOID for ACS; coordinates for nearest-school and school-buffer calculations with NCES; and Synar as aggregate calibration/validation unless retailer-level identifiers </w:t>
      </w:r>
      <w:proofErr w:type="gramStart"/>
      <w:r w:rsidRPr="004A7F73">
        <w:rPr>
          <w:rFonts w:ascii="Times New Roman" w:hAnsi="Times New Roman" w:cs="Times New Roman"/>
          <w:color w:val="000000" w:themeColor="text1"/>
          <w:sz w:val="24"/>
          <w:szCs w:val="24"/>
        </w:rPr>
        <w:t>actually support</w:t>
      </w:r>
      <w:proofErr w:type="gramEnd"/>
      <w:r w:rsidRPr="004A7F73">
        <w:rPr>
          <w:rFonts w:ascii="Times New Roman" w:hAnsi="Times New Roman" w:cs="Times New Roman"/>
          <w:color w:val="000000" w:themeColor="text1"/>
          <w:sz w:val="24"/>
          <w:szCs w:val="24"/>
        </w:rPr>
        <w:t xml:space="preserve"> a direct join.</w:t>
      </w:r>
    </w:p>
    <w:p w14:paraId="0BA4786D" w14:textId="77777777" w:rsidR="00AF4ECD" w:rsidRPr="004A7F73" w:rsidRDefault="00000000">
      <w:pPr>
        <w:pStyle w:val="Heading1"/>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14. Audit Against Earlier Derived Files</w:t>
      </w:r>
    </w:p>
    <w:p w14:paraId="3FAC95C2"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The previously cleaned file and Stage 1 retailer master are read only after the new pipeline has been constructed. Their row and column counts are displayed for comparison. They are not used to regenerate the new outputs.</w:t>
      </w:r>
    </w:p>
    <w:p w14:paraId="5AFA1B1A"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The key substantive audit finding is that the earlier Stage 1 master contained 680 retailer/address rows, whereas the conservative reconstruction produces 868 retailer entities and 749 normalized locations. This discrepancy is why the notebook no longer treats the preliminary Stage 1 aggregation as ground truth.</w:t>
      </w:r>
    </w:p>
    <w:p w14:paraId="47EE964D" w14:textId="77777777" w:rsidR="00AF4ECD" w:rsidRPr="004A7F73" w:rsidRDefault="00000000">
      <w:pPr>
        <w:pStyle w:val="Heading1"/>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lastRenderedPageBreak/>
        <w:t>15. Outputs Written by the Notebook</w:t>
      </w:r>
    </w:p>
    <w:tbl>
      <w:tblPr>
        <w:tblStyle w:val="TableGrid"/>
        <w:tblW w:w="0" w:type="auto"/>
        <w:jc w:val="center"/>
        <w:tblLook w:val="04A0" w:firstRow="1" w:lastRow="0" w:firstColumn="1" w:lastColumn="0" w:noHBand="0" w:noVBand="1"/>
      </w:tblPr>
      <w:tblGrid>
        <w:gridCol w:w="5102"/>
        <w:gridCol w:w="4968"/>
      </w:tblGrid>
      <w:tr w:rsidR="004A7F73" w:rsidRPr="004A7F73" w14:paraId="300F90B9" w14:textId="77777777">
        <w:trPr>
          <w:jc w:val="center"/>
        </w:trPr>
        <w:tc>
          <w:tcPr>
            <w:tcW w:w="4968" w:type="dxa"/>
          </w:tcPr>
          <w:p w14:paraId="2708EA5B"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Output</w:t>
            </w:r>
          </w:p>
        </w:tc>
        <w:tc>
          <w:tcPr>
            <w:tcW w:w="4968" w:type="dxa"/>
          </w:tcPr>
          <w:p w14:paraId="1C136B7E"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Purpose</w:t>
            </w:r>
          </w:p>
        </w:tc>
      </w:tr>
      <w:tr w:rsidR="004A7F73" w:rsidRPr="004A7F73" w14:paraId="0F538DE8" w14:textId="77777777">
        <w:trPr>
          <w:jc w:val="center"/>
        </w:trPr>
        <w:tc>
          <w:tcPr>
            <w:tcW w:w="4968" w:type="dxa"/>
          </w:tcPr>
          <w:p w14:paraId="602FDBC7"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data/processed/pittsburgh_inspections_cleaned.csv</w:t>
            </w:r>
          </w:p>
        </w:tc>
        <w:tc>
          <w:tcPr>
            <w:tcW w:w="4968" w:type="dxa"/>
          </w:tcPr>
          <w:p w14:paraId="270F4194"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All 1,816 FDA records plus normalized identifiers, parsed dates, outcome variable, and audit fields.</w:t>
            </w:r>
          </w:p>
        </w:tc>
      </w:tr>
      <w:tr w:rsidR="004A7F73" w:rsidRPr="004A7F73" w14:paraId="03D69D31" w14:textId="77777777">
        <w:trPr>
          <w:jc w:val="center"/>
        </w:trPr>
        <w:tc>
          <w:tcPr>
            <w:tcW w:w="4968" w:type="dxa"/>
          </w:tcPr>
          <w:p w14:paraId="1377A72B"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data/processed/pittsburgh_retailer_master.csv</w:t>
            </w:r>
          </w:p>
        </w:tc>
        <w:tc>
          <w:tcPr>
            <w:tcW w:w="4968" w:type="dxa"/>
          </w:tcPr>
          <w:p w14:paraId="7054E4B3"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One row per conservative retailer entity; 868 rows; descriptive full-history integration table.</w:t>
            </w:r>
          </w:p>
        </w:tc>
      </w:tr>
      <w:tr w:rsidR="004A7F73" w:rsidRPr="004A7F73" w14:paraId="69FA0678" w14:textId="77777777">
        <w:trPr>
          <w:jc w:val="center"/>
        </w:trPr>
        <w:tc>
          <w:tcPr>
            <w:tcW w:w="4968" w:type="dxa"/>
          </w:tcPr>
          <w:p w14:paraId="5B592582"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data/processed/data_quality_summary.csv</w:t>
            </w:r>
          </w:p>
        </w:tc>
        <w:tc>
          <w:tcPr>
            <w:tcW w:w="4968" w:type="dxa"/>
          </w:tcPr>
          <w:p w14:paraId="0600DBB9"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Compact reconciliation metrics documenting the transformation.</w:t>
            </w:r>
          </w:p>
        </w:tc>
      </w:tr>
    </w:tbl>
    <w:p w14:paraId="37D727A0" w14:textId="77777777" w:rsidR="00AF4ECD" w:rsidRPr="004A7F73" w:rsidRDefault="00000000">
      <w:pPr>
        <w:pStyle w:val="Heading1"/>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16. Final Reconciliation and Assertions</w:t>
      </w:r>
    </w:p>
    <w:p w14:paraId="5417EC88"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The notebook uses assertions as executable data-quality checks. It verifies the source schema; confirms cleaning does not change row count; requires nonmissing retailer/location keys and valid ZIPs; requires Sale to UP to contain only Yes/No before recoding; verifies the retailer master has exactly one row per retailer_entity_key; reconciles the sum of retailer-level FDA-record counts back to 1,816 source records; and reconciles positive plus negative binary outcomes back to the cleaned row count.</w:t>
      </w:r>
    </w:p>
    <w:tbl>
      <w:tblPr>
        <w:tblStyle w:val="TableGrid"/>
        <w:tblW w:w="0" w:type="auto"/>
        <w:jc w:val="center"/>
        <w:tblLook w:val="04A0" w:firstRow="1" w:lastRow="0" w:firstColumn="1" w:lastColumn="0" w:noHBand="0" w:noVBand="1"/>
      </w:tblPr>
      <w:tblGrid>
        <w:gridCol w:w="4968"/>
        <w:gridCol w:w="4968"/>
      </w:tblGrid>
      <w:tr w:rsidR="004A7F73" w:rsidRPr="004A7F73" w14:paraId="48161C8B" w14:textId="77777777">
        <w:trPr>
          <w:jc w:val="center"/>
        </w:trPr>
        <w:tc>
          <w:tcPr>
            <w:tcW w:w="4968" w:type="dxa"/>
          </w:tcPr>
          <w:p w14:paraId="34D9FB38"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Final quality metric</w:t>
            </w:r>
          </w:p>
        </w:tc>
        <w:tc>
          <w:tcPr>
            <w:tcW w:w="4968" w:type="dxa"/>
          </w:tcPr>
          <w:p w14:paraId="298756B5"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Value</w:t>
            </w:r>
          </w:p>
        </w:tc>
      </w:tr>
      <w:tr w:rsidR="004A7F73" w:rsidRPr="004A7F73" w14:paraId="65B5F85E" w14:textId="77777777">
        <w:trPr>
          <w:jc w:val="center"/>
        </w:trPr>
        <w:tc>
          <w:tcPr>
            <w:tcW w:w="4968" w:type="dxa"/>
          </w:tcPr>
          <w:p w14:paraId="1351E295"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Raw observations</w:t>
            </w:r>
          </w:p>
        </w:tc>
        <w:tc>
          <w:tcPr>
            <w:tcW w:w="4968" w:type="dxa"/>
          </w:tcPr>
          <w:p w14:paraId="476E18B0"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1,816</w:t>
            </w:r>
          </w:p>
        </w:tc>
      </w:tr>
      <w:tr w:rsidR="004A7F73" w:rsidRPr="004A7F73" w14:paraId="34DEFE55" w14:textId="77777777">
        <w:trPr>
          <w:jc w:val="center"/>
        </w:trPr>
        <w:tc>
          <w:tcPr>
            <w:tcW w:w="4968" w:type="dxa"/>
          </w:tcPr>
          <w:p w14:paraId="11062596"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Cleaned observations</w:t>
            </w:r>
          </w:p>
        </w:tc>
        <w:tc>
          <w:tcPr>
            <w:tcW w:w="4968" w:type="dxa"/>
          </w:tcPr>
          <w:p w14:paraId="33DCB380"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1,816</w:t>
            </w:r>
          </w:p>
        </w:tc>
      </w:tr>
      <w:tr w:rsidR="004A7F73" w:rsidRPr="004A7F73" w14:paraId="6E8E6245" w14:textId="77777777">
        <w:trPr>
          <w:jc w:val="center"/>
        </w:trPr>
        <w:tc>
          <w:tcPr>
            <w:tcW w:w="4968" w:type="dxa"/>
          </w:tcPr>
          <w:p w14:paraId="69CFCBA2"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Exact duplicate rows removed</w:t>
            </w:r>
          </w:p>
        </w:tc>
        <w:tc>
          <w:tcPr>
            <w:tcW w:w="4968" w:type="dxa"/>
          </w:tcPr>
          <w:p w14:paraId="63C3EE00"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0</w:t>
            </w:r>
          </w:p>
        </w:tc>
      </w:tr>
      <w:tr w:rsidR="004A7F73" w:rsidRPr="004A7F73" w14:paraId="3ADED4AE" w14:textId="77777777">
        <w:trPr>
          <w:jc w:val="center"/>
        </w:trPr>
        <w:tc>
          <w:tcPr>
            <w:tcW w:w="4968" w:type="dxa"/>
          </w:tcPr>
          <w:p w14:paraId="675CDCF6"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Unique normalized locations</w:t>
            </w:r>
          </w:p>
        </w:tc>
        <w:tc>
          <w:tcPr>
            <w:tcW w:w="4968" w:type="dxa"/>
          </w:tcPr>
          <w:p w14:paraId="7095B8C8"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749</w:t>
            </w:r>
          </w:p>
        </w:tc>
      </w:tr>
      <w:tr w:rsidR="004A7F73" w:rsidRPr="004A7F73" w14:paraId="2D3B2A3D" w14:textId="77777777">
        <w:trPr>
          <w:jc w:val="center"/>
        </w:trPr>
        <w:tc>
          <w:tcPr>
            <w:tcW w:w="4968" w:type="dxa"/>
          </w:tcPr>
          <w:p w14:paraId="1191F300"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Conservative retailer entities</w:t>
            </w:r>
          </w:p>
        </w:tc>
        <w:tc>
          <w:tcPr>
            <w:tcW w:w="4968" w:type="dxa"/>
          </w:tcPr>
          <w:p w14:paraId="27240E09"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868</w:t>
            </w:r>
          </w:p>
        </w:tc>
      </w:tr>
      <w:tr w:rsidR="004A7F73" w:rsidRPr="004A7F73" w14:paraId="4CB6759B" w14:textId="77777777">
        <w:trPr>
          <w:jc w:val="center"/>
        </w:trPr>
        <w:tc>
          <w:tcPr>
            <w:tcW w:w="4968" w:type="dxa"/>
          </w:tcPr>
          <w:p w14:paraId="51D03E20"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Multi-name locations flagged</w:t>
            </w:r>
          </w:p>
        </w:tc>
        <w:tc>
          <w:tcPr>
            <w:tcW w:w="4968" w:type="dxa"/>
          </w:tcPr>
          <w:p w14:paraId="3CEC34E8"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108</w:t>
            </w:r>
          </w:p>
        </w:tc>
      </w:tr>
      <w:tr w:rsidR="004A7F73" w:rsidRPr="004A7F73" w14:paraId="782AAC57" w14:textId="77777777">
        <w:trPr>
          <w:jc w:val="center"/>
        </w:trPr>
        <w:tc>
          <w:tcPr>
            <w:tcW w:w="4968" w:type="dxa"/>
          </w:tcPr>
          <w:p w14:paraId="0ECAA689"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Missing/</w:t>
            </w:r>
            <w:proofErr w:type="spellStart"/>
            <w:r w:rsidRPr="004A7F73">
              <w:rPr>
                <w:rFonts w:ascii="Times New Roman" w:hAnsi="Times New Roman" w:cs="Times New Roman"/>
                <w:color w:val="000000" w:themeColor="text1"/>
                <w:sz w:val="24"/>
                <w:szCs w:val="24"/>
              </w:rPr>
              <w:t>unparseable</w:t>
            </w:r>
            <w:proofErr w:type="spellEnd"/>
            <w:r w:rsidRPr="004A7F73">
              <w:rPr>
                <w:rFonts w:ascii="Times New Roman" w:hAnsi="Times New Roman" w:cs="Times New Roman"/>
                <w:color w:val="000000" w:themeColor="text1"/>
                <w:sz w:val="24"/>
                <w:szCs w:val="24"/>
              </w:rPr>
              <w:t xml:space="preserve"> inspection dates</w:t>
            </w:r>
          </w:p>
        </w:tc>
        <w:tc>
          <w:tcPr>
            <w:tcW w:w="4968" w:type="dxa"/>
          </w:tcPr>
          <w:p w14:paraId="0F63867A"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1,641</w:t>
            </w:r>
          </w:p>
        </w:tc>
      </w:tr>
      <w:tr w:rsidR="004A7F73" w:rsidRPr="004A7F73" w14:paraId="76F0937A" w14:textId="77777777">
        <w:trPr>
          <w:jc w:val="center"/>
        </w:trPr>
        <w:tc>
          <w:tcPr>
            <w:tcW w:w="4968" w:type="dxa"/>
          </w:tcPr>
          <w:p w14:paraId="18228463"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Missing/</w:t>
            </w:r>
            <w:proofErr w:type="spellStart"/>
            <w:r w:rsidRPr="004A7F73">
              <w:rPr>
                <w:rFonts w:ascii="Times New Roman" w:hAnsi="Times New Roman" w:cs="Times New Roman"/>
                <w:color w:val="000000" w:themeColor="text1"/>
                <w:sz w:val="24"/>
                <w:szCs w:val="24"/>
              </w:rPr>
              <w:t>unparseable</w:t>
            </w:r>
            <w:proofErr w:type="spellEnd"/>
            <w:r w:rsidRPr="004A7F73">
              <w:rPr>
                <w:rFonts w:ascii="Times New Roman" w:hAnsi="Times New Roman" w:cs="Times New Roman"/>
                <w:color w:val="000000" w:themeColor="text1"/>
                <w:sz w:val="24"/>
                <w:szCs w:val="24"/>
              </w:rPr>
              <w:t xml:space="preserve"> decision dates</w:t>
            </w:r>
          </w:p>
        </w:tc>
        <w:tc>
          <w:tcPr>
            <w:tcW w:w="4968" w:type="dxa"/>
          </w:tcPr>
          <w:p w14:paraId="7F3D8A53"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0</w:t>
            </w:r>
          </w:p>
        </w:tc>
      </w:tr>
      <w:tr w:rsidR="004A7F73" w:rsidRPr="004A7F73" w14:paraId="31B3C24A" w14:textId="77777777">
        <w:trPr>
          <w:jc w:val="center"/>
        </w:trPr>
        <w:tc>
          <w:tcPr>
            <w:tcW w:w="4968" w:type="dxa"/>
          </w:tcPr>
          <w:p w14:paraId="06569CCB"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Positive underage-sale records</w:t>
            </w:r>
          </w:p>
        </w:tc>
        <w:tc>
          <w:tcPr>
            <w:tcW w:w="4968" w:type="dxa"/>
          </w:tcPr>
          <w:p w14:paraId="43C9D9C2"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208</w:t>
            </w:r>
          </w:p>
        </w:tc>
      </w:tr>
      <w:tr w:rsidR="004A7F73" w:rsidRPr="004A7F73" w14:paraId="0A5A5CD2" w14:textId="77777777">
        <w:trPr>
          <w:jc w:val="center"/>
        </w:trPr>
        <w:tc>
          <w:tcPr>
            <w:tcW w:w="4968" w:type="dxa"/>
          </w:tcPr>
          <w:p w14:paraId="5831706A"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Negative underage-sale records</w:t>
            </w:r>
          </w:p>
        </w:tc>
        <w:tc>
          <w:tcPr>
            <w:tcW w:w="4968" w:type="dxa"/>
          </w:tcPr>
          <w:p w14:paraId="7BB2830C"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1,608</w:t>
            </w:r>
          </w:p>
        </w:tc>
      </w:tr>
      <w:tr w:rsidR="004A7F73" w:rsidRPr="004A7F73" w14:paraId="3CDBE50E" w14:textId="77777777">
        <w:trPr>
          <w:jc w:val="center"/>
        </w:trPr>
        <w:tc>
          <w:tcPr>
            <w:tcW w:w="4968" w:type="dxa"/>
          </w:tcPr>
          <w:p w14:paraId="47A7A8B3"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Retailer entities with ≥1 recorded violation</w:t>
            </w:r>
          </w:p>
        </w:tc>
        <w:tc>
          <w:tcPr>
            <w:tcW w:w="4968" w:type="dxa"/>
          </w:tcPr>
          <w:p w14:paraId="05FFAEA7"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173</w:t>
            </w:r>
          </w:p>
        </w:tc>
      </w:tr>
    </w:tbl>
    <w:p w14:paraId="5AEF2041"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All final reconciliation assertions passed in the executed notebook.</w:t>
      </w:r>
    </w:p>
    <w:p w14:paraId="22B5331C" w14:textId="77777777" w:rsidR="00AF4ECD" w:rsidRPr="004A7F73" w:rsidRDefault="00000000">
      <w:pPr>
        <w:pStyle w:val="Heading1"/>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17. What the Notebook Deliberately Did Not Do</w:t>
      </w:r>
    </w:p>
    <w:p w14:paraId="1C767651"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This stage did not geocode retailers, merge external license/ACS/NCES/Synar observations, infer compliance for unobserved retailers, perform fuzzy business-name consolidation, impute missing inspection dates, create a historical predictive training matrix, estimate retailer risk, assign inspection priorities, or solve a routing/optimization problem. Those tasks require additional data or belong in later pipeline stages.</w:t>
      </w:r>
    </w:p>
    <w:p w14:paraId="07A5BD4C" w14:textId="77777777" w:rsidR="00AF4ECD" w:rsidRPr="004A7F73" w:rsidRDefault="00000000">
      <w:pPr>
        <w:pStyle w:val="Heading1"/>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18. Implications for the Next Stage</w:t>
      </w:r>
    </w:p>
    <w:p w14:paraId="7C5BC51A"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The next notebook should begin with the Pennsylvania active license universe, match license locations to the conservative FDA entities/locations, geocode the retailer universe, attach Census geography and ACS features, and compute NCES school-proximity measures. Only after the retailer universe and external features are established should the project build a time-aware risk-model dataset.</w:t>
      </w:r>
    </w:p>
    <w:p w14:paraId="67A574FF"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lastRenderedPageBreak/>
        <w:t>For modeling, historical features must be reconstructed as of each target date. For optimization, the geographic location key should be the routing node, while retailer-level risk/history can be attached to that node. Ambiguous multi-name locations should remain flagged until a documented resolution rule is justified.</w:t>
      </w:r>
    </w:p>
    <w:p w14:paraId="518652E5" w14:textId="77777777" w:rsidR="00AF4ECD" w:rsidRPr="004A7F73" w:rsidRDefault="00000000">
      <w:pPr>
        <w:pStyle w:val="Heading1"/>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Reproducibility Note</w:t>
      </w:r>
    </w:p>
    <w:p w14:paraId="2927097D" w14:textId="77777777" w:rsidR="00AF4ECD" w:rsidRPr="004A7F73" w:rsidRDefault="00000000">
      <w:pPr>
        <w:rPr>
          <w:rFonts w:ascii="Times New Roman" w:hAnsi="Times New Roman" w:cs="Times New Roman"/>
          <w:color w:val="000000" w:themeColor="text1"/>
          <w:sz w:val="24"/>
          <w:szCs w:val="24"/>
        </w:rPr>
      </w:pPr>
      <w:r w:rsidRPr="004A7F73">
        <w:rPr>
          <w:rFonts w:ascii="Times New Roman" w:hAnsi="Times New Roman" w:cs="Times New Roman"/>
          <w:color w:val="000000" w:themeColor="text1"/>
          <w:sz w:val="24"/>
          <w:szCs w:val="24"/>
        </w:rPr>
        <w:t xml:space="preserve">The memo describes the executed 01_EDA_Preprocessing.ipynb as built in this project conversation. The notebook is the executable record of the transformations; this memo is the human-readable methodological audit trail. If the raw FDA export changes in a future refresh, the notebook should be </w:t>
      </w:r>
      <w:proofErr w:type="gramStart"/>
      <w:r w:rsidRPr="004A7F73">
        <w:rPr>
          <w:rFonts w:ascii="Times New Roman" w:hAnsi="Times New Roman" w:cs="Times New Roman"/>
          <w:color w:val="000000" w:themeColor="text1"/>
          <w:sz w:val="24"/>
          <w:szCs w:val="24"/>
        </w:rPr>
        <w:t>rerun</w:t>
      </w:r>
      <w:proofErr w:type="gramEnd"/>
      <w:r w:rsidRPr="004A7F73">
        <w:rPr>
          <w:rFonts w:ascii="Times New Roman" w:hAnsi="Times New Roman" w:cs="Times New Roman"/>
          <w:color w:val="000000" w:themeColor="text1"/>
          <w:sz w:val="24"/>
          <w:szCs w:val="24"/>
        </w:rPr>
        <w:t xml:space="preserve"> and the resulting counts should be allowed to change rather than being </w:t>
      </w:r>
      <w:proofErr w:type="gramStart"/>
      <w:r w:rsidRPr="004A7F73">
        <w:rPr>
          <w:rFonts w:ascii="Times New Roman" w:hAnsi="Times New Roman" w:cs="Times New Roman"/>
          <w:color w:val="000000" w:themeColor="text1"/>
          <w:sz w:val="24"/>
          <w:szCs w:val="24"/>
        </w:rPr>
        <w:t>hard-coded</w:t>
      </w:r>
      <w:proofErr w:type="gramEnd"/>
      <w:r w:rsidRPr="004A7F73">
        <w:rPr>
          <w:rFonts w:ascii="Times New Roman" w:hAnsi="Times New Roman" w:cs="Times New Roman"/>
          <w:color w:val="000000" w:themeColor="text1"/>
          <w:sz w:val="24"/>
          <w:szCs w:val="24"/>
        </w:rPr>
        <w:t xml:space="preserve"> to the values above.</w:t>
      </w:r>
    </w:p>
    <w:sectPr w:rsidR="00AF4ECD" w:rsidRPr="004A7F73"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06A51" w14:textId="77777777" w:rsidR="002823DC" w:rsidRDefault="002823DC">
      <w:pPr>
        <w:spacing w:after="0" w:line="240" w:lineRule="auto"/>
      </w:pPr>
      <w:r>
        <w:separator/>
      </w:r>
    </w:p>
  </w:endnote>
  <w:endnote w:type="continuationSeparator" w:id="0">
    <w:p w14:paraId="7AB410A0" w14:textId="77777777" w:rsidR="002823DC" w:rsidRDefault="002823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150DA" w14:textId="77777777" w:rsidR="00AF4ECD" w:rsidRPr="004A7F73" w:rsidRDefault="00000000">
    <w:pPr>
      <w:pStyle w:val="Footer"/>
      <w:jc w:val="center"/>
      <w:rPr>
        <w:rFonts w:ascii="Times New Roman" w:hAnsi="Times New Roman" w:cs="Times New Roman"/>
        <w:sz w:val="18"/>
        <w:szCs w:val="18"/>
      </w:rPr>
    </w:pPr>
    <w:r w:rsidRPr="004A7F73">
      <w:rPr>
        <w:rFonts w:ascii="Times New Roman" w:hAnsi="Times New Roman" w:cs="Times New Roman"/>
        <w:sz w:val="18"/>
        <w:szCs w:val="18"/>
      </w:rPr>
      <w:t>CMU Data-to-Action | EDA &amp; Preprocessing Methodology Memo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9E9C8" w14:textId="77777777" w:rsidR="002823DC" w:rsidRDefault="002823DC">
      <w:pPr>
        <w:spacing w:after="0" w:line="240" w:lineRule="auto"/>
      </w:pPr>
      <w:r>
        <w:separator/>
      </w:r>
    </w:p>
  </w:footnote>
  <w:footnote w:type="continuationSeparator" w:id="0">
    <w:p w14:paraId="2E2B69D1" w14:textId="77777777" w:rsidR="002823DC" w:rsidRDefault="002823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4702932">
    <w:abstractNumId w:val="8"/>
  </w:num>
  <w:num w:numId="2" w16cid:durableId="588268987">
    <w:abstractNumId w:val="6"/>
  </w:num>
  <w:num w:numId="3" w16cid:durableId="1879199337">
    <w:abstractNumId w:val="5"/>
  </w:num>
  <w:num w:numId="4" w16cid:durableId="1691566681">
    <w:abstractNumId w:val="4"/>
  </w:num>
  <w:num w:numId="5" w16cid:durableId="1147357472">
    <w:abstractNumId w:val="7"/>
  </w:num>
  <w:num w:numId="6" w16cid:durableId="1351104612">
    <w:abstractNumId w:val="3"/>
  </w:num>
  <w:num w:numId="7" w16cid:durableId="1229220397">
    <w:abstractNumId w:val="2"/>
  </w:num>
  <w:num w:numId="8" w16cid:durableId="1950769064">
    <w:abstractNumId w:val="1"/>
  </w:num>
  <w:num w:numId="9" w16cid:durableId="62071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23DC"/>
    <w:rsid w:val="0029639D"/>
    <w:rsid w:val="00326F90"/>
    <w:rsid w:val="004A7F73"/>
    <w:rsid w:val="00AA1D8D"/>
    <w:rsid w:val="00AF4ECD"/>
    <w:rsid w:val="00B47730"/>
    <w:rsid w:val="00CB0664"/>
    <w:rsid w:val="00D376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FEFB3D"/>
  <w14:defaultImageDpi w14:val="300"/>
  <w15:docId w15:val="{99782A8E-BCC2-4B44-B7FE-10BE7B018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2366</Words>
  <Characters>13487</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Abigail Torbatian</cp:lastModifiedBy>
  <cp:revision>2</cp:revision>
  <dcterms:created xsi:type="dcterms:W3CDTF">2013-12-23T23:15:00Z</dcterms:created>
  <dcterms:modified xsi:type="dcterms:W3CDTF">2026-09-28T14:17:00Z</dcterms:modified>
  <cp:category/>
</cp:coreProperties>
</file>