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6F5F2"/>
  <w:body>
    <w:p w:rsidR="00000000" w:rsidDel="00000000" w:rsidP="00000000" w:rsidRDefault="00000000" w:rsidRPr="00000000" w14:paraId="00000001">
      <w:pPr>
        <w:pStyle w:val="Heading1"/>
        <w:pageBreakBefore w:val="0"/>
        <w:rPr>
          <w:rFonts w:ascii="IBM Plex Sans" w:cs="IBM Plex Sans" w:eastAsia="IBM Plex Sans" w:hAnsi="IBM Plex Sans"/>
          <w:color w:val="999999"/>
          <w:sz w:val="14"/>
          <w:szCs w:val="14"/>
          <w:highlight w:val="white"/>
        </w:rPr>
      </w:pPr>
      <w:bookmarkStart w:colFirst="0" w:colLast="0" w:name="_w09riado97hl" w:id="0"/>
      <w:bookmarkEnd w:id="0"/>
      <w:r w:rsidDel="00000000" w:rsidR="00000000" w:rsidRPr="00000000">
        <w:rPr>
          <w:rFonts w:ascii="IBM Plex Sans" w:cs="IBM Plex Sans" w:eastAsia="IBM Plex Sans" w:hAnsi="IBM Plex Sans"/>
          <w:color w:val="000000"/>
          <w:sz w:val="30"/>
          <w:szCs w:val="30"/>
          <w:rtl w:val="0"/>
        </w:rPr>
        <w:t xml:space="preserve">MACHINE LEARNING CANVAS</w:t>
      </w:r>
      <w:r w:rsidDel="00000000" w:rsidR="00000000" w:rsidRPr="00000000">
        <w:rPr>
          <w:rFonts w:ascii="IBM Plex Sans" w:cs="IBM Plex Sans" w:eastAsia="IBM Plex Sans" w:hAnsi="IBM Plex Sans"/>
          <w:color w:val="000000"/>
          <w:rtl w:val="0"/>
        </w:rPr>
        <w:t xml:space="preserve"> </w:t>
      </w:r>
      <w:r w:rsidDel="00000000" w:rsidR="00000000" w:rsidRPr="00000000">
        <w:rPr>
          <w:rFonts w:ascii="IBM Plex Sans" w:cs="IBM Plex Sans" w:eastAsia="IBM Plex Sans" w:hAnsi="IBM Plex Sans"/>
          <w:rtl w:val="0"/>
        </w:rPr>
        <w:t xml:space="preserve">  </w:t>
      </w:r>
      <w:r w:rsidDel="00000000" w:rsidR="00000000" w:rsidRPr="00000000">
        <w:rPr>
          <w:rFonts w:ascii="IBM Plex Sans" w:cs="IBM Plex Sans" w:eastAsia="IBM Plex Sans" w:hAnsi="IBM Plex Sans"/>
          <w:b w:val="0"/>
          <w:bCs w:val="0"/>
          <w:color w:val="b7b7b7"/>
          <w:sz w:val="16"/>
          <w:szCs w:val="16"/>
          <w:rtl w:val="0"/>
        </w:rPr>
        <w:t xml:space="preserve">     </w:t>
      </w:r>
      <w:r w:rsidDel="00000000" w:rsidR="00000000" w:rsidRPr="00000000">
        <w:rPr>
          <w:rFonts w:ascii="IBM Plex Sans" w:cs="IBM Plex Sans" w:eastAsia="IBM Plex Sans" w:hAnsi="IBM Plex Sans"/>
          <w:rtl w:val="0"/>
        </w:rPr>
        <w:t xml:space="preserve">  </w:t>
        <w:tab/>
        <w:t xml:space="preserve">                             </w:t>
      </w:r>
      <w:r w:rsidDel="00000000" w:rsidR="00000000" w:rsidRPr="00000000">
        <w:rPr>
          <w:rFonts w:ascii="IBM Plex Sans" w:cs="IBM Plex Sans" w:eastAsia="IBM Plex Sans" w:hAnsi="IBM Plex Sans"/>
          <w:b w:val="0"/>
          <w:bCs w:val="0"/>
          <w:color w:val="b7b7b7"/>
          <w:sz w:val="16"/>
          <w:szCs w:val="16"/>
          <w:rtl w:val="0"/>
        </w:rPr>
        <w:t xml:space="preserve">    </w:t>
      </w:r>
      <w:r w:rsidDel="00000000" w:rsidR="00000000" w:rsidRPr="00000000">
        <w:rPr>
          <w:rFonts w:ascii="IBM Plex Sans" w:cs="IBM Plex Sans" w:eastAsia="IBM Plex Sans" w:hAnsi="IBM Plex Sans"/>
          <w:b w:val="0"/>
          <w:bCs w:val="0"/>
          <w:color w:val="999999"/>
          <w:sz w:val="14"/>
          <w:szCs w:val="14"/>
          <w:rtl w:val="0"/>
        </w:rPr>
        <w:t xml:space="preserve">Designed for: </w:t>
      </w:r>
      <w:r w:rsidDel="00000000" w:rsidR="00000000" w:rsidRPr="00000000">
        <w:rPr>
          <w:rFonts w:ascii="IBM Plex Sans" w:cs="IBM Plex Sans" w:eastAsia="IBM Plex Sans" w:hAnsi="IBM Plex Sans"/>
          <w:b w:val="0"/>
          <w:bCs w:val="0"/>
          <w:color w:val="000000"/>
          <w:sz w:val="14"/>
          <w:szCs w:val="14"/>
          <w:highlight w:val="white"/>
          <w:rtl w:val="0"/>
        </w:rPr>
        <w:t xml:space="preserve"> MiBici, AMG </w:t>
      </w:r>
      <w:r w:rsidDel="00000000" w:rsidR="00000000" w:rsidRPr="00000000">
        <w:rPr>
          <w:rFonts w:ascii="IBM Plex Sans" w:cs="IBM Plex Sans" w:eastAsia="IBM Plex Sans" w:hAnsi="IBM Plex Sans"/>
          <w:b w:val="0"/>
          <w:bCs w:val="0"/>
          <w:color w:val="999999"/>
          <w:sz w:val="14"/>
          <w:szCs w:val="14"/>
          <w:rtl w:val="0"/>
        </w:rPr>
        <w:t xml:space="preserve">   Designed by: </w:t>
      </w:r>
      <w:r w:rsidDel="00000000" w:rsidR="00000000" w:rsidRPr="00000000">
        <w:rPr>
          <w:rFonts w:ascii="IBM Plex Sans" w:cs="IBM Plex Sans" w:eastAsia="IBM Plex Sans" w:hAnsi="IBM Plex Sans"/>
          <w:b w:val="0"/>
          <w:bCs w:val="0"/>
          <w:color w:val="000000"/>
          <w:sz w:val="14"/>
          <w:szCs w:val="14"/>
          <w:highlight w:val="white"/>
          <w:rtl w:val="0"/>
        </w:rPr>
        <w:t xml:space="preserve"> Equipo __ </w:t>
      </w:r>
      <w:r w:rsidDel="00000000" w:rsidR="00000000" w:rsidRPr="00000000">
        <w:rPr>
          <w:rFonts w:ascii="IBM Plex Sans" w:cs="IBM Plex Sans" w:eastAsia="IBM Plex Sans" w:hAnsi="IBM Plex Sans"/>
          <w:sz w:val="14"/>
          <w:szCs w:val="14"/>
          <w:highlight w:val="white"/>
          <w:rtl w:val="0"/>
        </w:rPr>
        <w:t xml:space="preserve">     </w:t>
      </w:r>
      <w:r w:rsidDel="00000000" w:rsidR="00000000" w:rsidRPr="00000000">
        <w:rPr>
          <w:rFonts w:ascii="IBM Plex Sans" w:cs="IBM Plex Sans" w:eastAsia="IBM Plex Sans" w:hAnsi="IBM Plex Sans"/>
          <w:b w:val="0"/>
          <w:bCs w:val="0"/>
          <w:color w:val="999999"/>
          <w:sz w:val="14"/>
          <w:szCs w:val="14"/>
          <w:highlight w:val="white"/>
          <w:rtl w:val="0"/>
        </w:rPr>
        <w:t xml:space="preserve">                                </w:t>
      </w:r>
      <w:r w:rsidDel="00000000" w:rsidR="00000000" w:rsidRPr="00000000">
        <w:rPr>
          <w:rFonts w:ascii="IBM Plex Sans" w:cs="IBM Plex Sans" w:eastAsia="IBM Plex Sans" w:hAnsi="IBM Plex Sans"/>
          <w:b w:val="0"/>
          <w:bCs w:val="0"/>
          <w:color w:val="999999"/>
          <w:sz w:val="14"/>
          <w:szCs w:val="14"/>
          <w:rtl w:val="0"/>
        </w:rPr>
        <w:t xml:space="preserve">     Date: </w:t>
      </w:r>
      <w:r w:rsidDel="00000000" w:rsidR="00000000" w:rsidRPr="00000000">
        <w:rPr>
          <w:rFonts w:ascii="IBM Plex Sans" w:cs="IBM Plex Sans" w:eastAsia="IBM Plex Sans" w:hAnsi="IBM Plex Sans"/>
          <w:b w:val="0"/>
          <w:bCs w:val="0"/>
          <w:color w:val="000000"/>
          <w:sz w:val="14"/>
          <w:szCs w:val="14"/>
          <w:highlight w:val="white"/>
          <w:rtl w:val="0"/>
        </w:rPr>
        <w:t xml:space="preserve"> 17/10/2026 </w:t>
      </w:r>
      <w:r w:rsidDel="00000000" w:rsidR="00000000" w:rsidRPr="00000000">
        <w:rPr>
          <w:rFonts w:ascii="IBM Plex Sans" w:cs="IBM Plex Sans" w:eastAsia="IBM Plex Sans" w:hAnsi="IBM Plex Sans"/>
          <w:b w:val="0"/>
          <w:bCs w:val="0"/>
          <w:color w:val="999999"/>
          <w:sz w:val="14"/>
          <w:szCs w:val="14"/>
          <w:rtl w:val="0"/>
        </w:rPr>
        <w:t xml:space="preserve">  Iteration: </w:t>
      </w:r>
      <w:r w:rsidDel="00000000" w:rsidR="00000000" w:rsidRPr="00000000">
        <w:rPr>
          <w:rFonts w:ascii="IBM Plex Sans" w:cs="IBM Plex Sans" w:eastAsia="IBM Plex Sans" w:hAnsi="IBM Plex Sans"/>
          <w:b w:val="0"/>
          <w:bCs w:val="0"/>
          <w:color w:val="000000"/>
          <w:sz w:val="14"/>
          <w:szCs w:val="14"/>
          <w:highlight w:val="white"/>
          <w:rtl w:val="0"/>
        </w:rPr>
        <w:t xml:space="preserve"> 1 </w:t>
      </w:r>
      <w:r w:rsidDel="00000000" w:rsidR="00000000" w:rsidRPr="00000000">
        <w:rPr>
          <w:rtl w:val="0"/>
        </w:rPr>
      </w:r>
    </w:p>
    <w:tbl>
      <w:tblPr>
        <w:tblStyle w:val="Table1"/>
        <w:tblW w:w="144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2880"/>
        <w:gridCol w:w="2880"/>
        <w:gridCol w:w="2880"/>
        <w:gridCol w:w="2880"/>
        <w:tblGridChange w:id="0">
          <w:tblGrid>
            <w:gridCol w:w="2955"/>
            <w:gridCol w:w="2880"/>
            <w:gridCol w:w="2880"/>
            <w:gridCol w:w="2880"/>
            <w:gridCol w:w="2880"/>
          </w:tblGrid>
        </w:tblGridChange>
      </w:tblGrid>
      <w:tr>
        <w:trPr>
          <w:cantSplit w:val="0"/>
          <w:trHeight w:val="3700" w:hRule="atLeast"/>
          <w:tblHeader w:val="0"/>
        </w:trPr>
        <w:tc>
          <w:tcPr>
            <w:tcBorders>
              <w:top w:color="000000" w:space="0" w:sz="24" w:val="single"/>
              <w:lef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2">
            <w:pPr>
              <w:pStyle w:val="Heading2"/>
              <w:pageBreakBefore w:val="0"/>
              <w:rPr>
                <w:rFonts w:ascii="IBM Plex Sans" w:cs="IBM Plex Sans" w:eastAsia="IBM Plex Sans" w:hAnsi="IBM Plex Sans"/>
              </w:rPr>
            </w:pPr>
            <w:bookmarkStart w:colFirst="0" w:colLast="0" w:name="_1h1dkvi2yfu9" w:id="1"/>
            <w:bookmarkEnd w:id="1"/>
            <w:r w:rsidDel="00000000" w:rsidR="00000000" w:rsidRPr="00000000">
              <w:rPr>
                <w:rFonts w:ascii="IBM Plex Sans" w:cs="IBM Plex Sans" w:eastAsia="IBM Plex Sans" w:hAnsi="IBM Plex Sans"/>
                <w:rtl w:val="0"/>
              </w:rPr>
              <w:t xml:space="preserve">PREDICTION TASK</w:t>
            </w:r>
            <w:r w:rsidDel="00000000" w:rsidR="00000000" w:rsidRPr="00000000">
              <w:drawing>
                <wp:anchor allowOverlap="1" behindDoc="0" distB="0" distT="0" distL="0" distR="0" hidden="0" layoutInCell="1" locked="0" relativeHeight="0" simplePos="0">
                  <wp:simplePos x="0" y="0"/>
                  <wp:positionH relativeFrom="column">
                    <wp:posOffset>1390650</wp:posOffset>
                  </wp:positionH>
                  <wp:positionV relativeFrom="paragraph">
                    <wp:posOffset>0</wp:posOffset>
                  </wp:positionV>
                  <wp:extent cx="324000" cy="324000"/>
                  <wp:effectExtent b="0" l="0" r="0" t="0"/>
                  <wp:wrapSquare wrapText="bothSides" distB="0" distT="0" distL="0" distR="0"/>
                  <wp:docPr id="1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3">
            <w:pPr>
              <w:pStyle w:val="Heading3"/>
              <w:pageBreakBefore w:val="0"/>
              <w:spacing w:after="200" w:lineRule="auto"/>
              <w:rPr>
                <w:rFonts w:ascii="IBM Plex Sans" w:cs="IBM Plex Sans" w:eastAsia="IBM Plex Sans" w:hAnsi="IBM Plex Sans"/>
                <w:color w:val="999999"/>
                <w:sz w:val="14"/>
                <w:szCs w:val="14"/>
              </w:rPr>
            </w:pPr>
            <w:bookmarkStart w:colFirst="0" w:colLast="0" w:name="_ey8zlrtsndyk" w:id="2"/>
            <w:bookmarkEnd w:id="2"/>
            <w:r w:rsidDel="00000000" w:rsidR="00000000" w:rsidRPr="00000000">
              <w:rPr>
                <w:rFonts w:ascii="IBM Plex Sans" w:cs="IBM Plex Sans" w:eastAsia="IBM Plex Sans" w:hAnsi="IBM Plex Sans"/>
                <w:color w:val="999999"/>
                <w:sz w:val="14"/>
                <w:szCs w:val="14"/>
                <w:rtl w:val="0"/>
              </w:rPr>
              <w:t xml:space="preserve">What is the type of task?</w:t>
              <w:br w:type="textWrapping"/>
              <w:t xml:space="preserve">Which entity are predictions made on?</w:t>
              <w:br w:type="textWrapping"/>
              <w:t xml:space="preserve">What are the possible outcomes to predict?</w:t>
              <w:br w:type="textWrapping"/>
              <w:t xml:space="preserve">When are outcomes observed?</w:t>
              <w:br w:type="textWrapping"/>
            </w:r>
          </w:p>
          <w:p>
            <w:pPr>
              <w:spacing w:before="0" w:after="15" w:line="140" w:lineRule="exact"/>
              <w:jc w:val="left"/>
            </w:pPr>
            <w:r>
              <w:rPr>
                <w:rFonts w:ascii="IBM Plex Sans" w:cs="IBM Plex Sans" w:eastAsia="IBM Plex Sans" w:hAnsi="IBM Plex Sans"/>
                <w:b w:val="1"/>
                <w:bCs w:val="1"/>
                <w:color w:val="020094"/>
                <w:sz w:val="12"/>
                <w:szCs w:val="12"/>
              </w:rPr>
              <w:t xml:space="preserve">Datos</w:t>
            </w:r>
            <w:r>
              <w:rPr>
                <w:rFonts w:ascii="IBM Plex Sans" w:cs="IBM Plex Sans" w:eastAsia="IBM Plex Sans" w:hAnsi="IBM Plex Sans"/>
                <w:color w:val="020094"/>
                <w:sz w:val="12"/>
                <w:szCs w:val="12"/>
              </w:rPr>
              <w:t xml:space="preserve">: ene 2022 a sep 2026 (post COVID). Unidad base: estación × hora.</w:t>
            </w:r>
          </w:p>
          <w:p>
            <w:pPr>
              <w:spacing w:before="0" w:after="15" w:line="140" w:lineRule="exact"/>
              <w:jc w:val="left"/>
            </w:pPr>
            <w:r>
              <w:rPr>
                <w:rFonts w:ascii="IBM Plex Sans" w:cs="IBM Plex Sans" w:eastAsia="IBM Plex Sans" w:hAnsi="IBM Plex Sans"/>
                <w:b w:val="1"/>
                <w:bCs w:val="1"/>
                <w:color w:val="020094"/>
                <w:sz w:val="12"/>
                <w:szCs w:val="12"/>
              </w:rPr>
              <w:t xml:space="preserve">P1 Regresión</w:t>
            </w:r>
            <w:r>
              <w:rPr>
                <w:rFonts w:ascii="IBM Plex Sans" w:cs="IBM Plex Sans" w:eastAsia="IBM Plex Sans" w:hAnsi="IBM Plex Sans"/>
                <w:color w:val="020094"/>
                <w:sz w:val="12"/>
                <w:szCs w:val="12"/>
              </w:rPr>
              <w:t xml:space="preserve">: viajes iniciados por estación (y zona H3) en cada hora del día siguiente. Horizonte 24 h. Lo observado es min(demanda, bicis disponibles): demanda censurada.</w:t>
            </w:r>
          </w:p>
          <w:p>
            <w:pPr>
              <w:spacing w:before="0" w:after="15" w:line="140" w:lineRule="exact"/>
              <w:jc w:val="left"/>
            </w:pPr>
            <w:r>
              <w:rPr>
                <w:rFonts w:ascii="IBM Plex Sans" w:cs="IBM Plex Sans" w:eastAsia="IBM Plex Sans" w:hAnsi="IBM Plex Sans"/>
                <w:b w:val="1"/>
                <w:bCs w:val="1"/>
                <w:color w:val="020094"/>
                <w:sz w:val="12"/>
                <w:szCs w:val="12"/>
              </w:rPr>
              <w:t xml:space="preserve">P2 Clasificación multiclase</w:t>
            </w:r>
            <w:r>
              <w:rPr>
                <w:rFonts w:ascii="IBM Plex Sans" w:cs="IBM Plex Sans" w:eastAsia="IBM Plex Sans" w:hAnsi="IBM Plex Sans"/>
                <w:color w:val="020094"/>
                <w:sz w:val="12"/>
                <w:szCs w:val="12"/>
              </w:rPr>
              <w:t xml:space="preserve">: estación × hora del día siguiente: {normal, riesgo de vaciado, riesgo de saturación}. Etiqueta proxy (no hay inventario): flujo neto horario vs. capacidad (≤ −50% vaciado, ≥ +50% saturación) más huellas de censura: hora pico sin salidas o salidas solo tras una llegada.</w:t>
            </w:r>
          </w:p>
          <w:p>
            <w:pPr>
              <w:spacing w:before="0" w:after="15" w:line="140" w:lineRule="exact"/>
              <w:jc w:val="left"/>
            </w:pPr>
            <w:r>
              <w:rPr>
                <w:rFonts w:ascii="IBM Plex Sans" w:cs="IBM Plex Sans" w:eastAsia="IBM Plex Sans" w:hAnsi="IBM Plex Sans"/>
                <w:b w:val="1"/>
                <w:bCs w:val="1"/>
                <w:color w:val="020094"/>
                <w:sz w:val="12"/>
                <w:szCs w:val="12"/>
              </w:rPr>
              <w:t xml:space="preserve">P3 Clustering</w:t>
            </w:r>
            <w:r>
              <w:rPr>
                <w:rFonts w:ascii="IBM Plex Sans" w:cs="IBM Plex Sans" w:eastAsia="IBM Plex Sans" w:hAnsi="IBM Plex Sans"/>
                <w:color w:val="020094"/>
                <w:sz w:val="12"/>
                <w:szCs w:val="12"/>
              </w:rPr>
              <w:t xml:space="preserve">: estaciones por perfil de uso. Sin objetivo; se valida con silueta, estabilidad bootstrap y lectura en el mapa.</w:t>
            </w:r>
          </w:p>
        </w:tc>
        <w:tc>
          <w:tcPr>
            <w:tcBorders>
              <w:top w:color="000000" w:space="0" w:sz="24"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5">
            <w:pPr>
              <w:pStyle w:val="Heading2"/>
              <w:pageBreakBefore w:val="0"/>
              <w:rPr>
                <w:rFonts w:ascii="IBM Plex Sans" w:cs="IBM Plex Sans" w:eastAsia="IBM Plex Sans" w:hAnsi="IBM Plex Sans"/>
              </w:rPr>
            </w:pPr>
            <w:bookmarkStart w:colFirst="0" w:colLast="0" w:name="_zi43bbo66xa8" w:id="3"/>
            <w:bookmarkEnd w:id="3"/>
            <w:r w:rsidDel="00000000" w:rsidR="00000000" w:rsidRPr="00000000">
              <w:rPr>
                <w:rFonts w:ascii="IBM Plex Sans" w:cs="IBM Plex Sans" w:eastAsia="IBM Plex Sans" w:hAnsi="IBM Plex Sans"/>
                <w:rtl w:val="0"/>
              </w:rPr>
              <w:t xml:space="preserve">DECISIONS</w:t>
            </w:r>
            <w:r w:rsidDel="00000000" w:rsidR="00000000" w:rsidRPr="00000000">
              <w:drawing>
                <wp:anchor allowOverlap="1" behindDoc="0" distB="0" distT="0" distL="0" distR="0" hidden="0" layoutInCell="1" locked="0" relativeHeight="0" simplePos="0">
                  <wp:simplePos x="0" y="0"/>
                  <wp:positionH relativeFrom="column">
                    <wp:posOffset>1371600</wp:posOffset>
                  </wp:positionH>
                  <wp:positionV relativeFrom="paragraph">
                    <wp:posOffset>0</wp:posOffset>
                  </wp:positionV>
                  <wp:extent cx="324000" cy="324000"/>
                  <wp:effectExtent b="0" l="0" r="0" t="0"/>
                  <wp:wrapSquare wrapText="bothSides" distB="0" distT="0" distL="0" distR="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6">
            <w:pPr>
              <w:pStyle w:val="Heading3"/>
              <w:pageBreakBefore w:val="0"/>
              <w:spacing w:after="200" w:lineRule="auto"/>
              <w:rPr>
                <w:rFonts w:ascii="IBM Plex Sans" w:cs="IBM Plex Sans" w:eastAsia="IBM Plex Sans" w:hAnsi="IBM Plex Sans"/>
                <w:color w:val="999999"/>
                <w:sz w:val="14"/>
                <w:szCs w:val="14"/>
              </w:rPr>
            </w:pPr>
            <w:bookmarkStart w:colFirst="0" w:colLast="0" w:name="_n3znq0gcdzbg" w:id="4"/>
            <w:bookmarkEnd w:id="4"/>
            <w:r w:rsidDel="00000000" w:rsidR="00000000" w:rsidRPr="00000000">
              <w:rPr>
                <w:rFonts w:ascii="IBM Plex Sans" w:cs="IBM Plex Sans" w:eastAsia="IBM Plex Sans" w:hAnsi="IBM Plex Sans"/>
                <w:color w:val="999999"/>
                <w:sz w:val="14"/>
                <w:szCs w:val="14"/>
                <w:rtl w:val="0"/>
              </w:rPr>
              <w:t xml:space="preserve">How are predictions turned into actionable recommendations or decisions for the end-user? (Mention parameters of the process / application for this.)</w:t>
            </w:r>
          </w:p>
          <w:p>
            <w:pPr>
              <w:spacing w:before="0" w:after="15" w:line="140" w:lineRule="exact"/>
              <w:jc w:val="left"/>
            </w:pPr>
            <w:r>
              <w:rPr>
                <w:rFonts w:ascii="IBM Plex Sans" w:cs="IBM Plex Sans" w:eastAsia="IBM Plex Sans" w:hAnsi="IBM Plex Sans"/>
                <w:b w:val="1"/>
                <w:bCs w:val="1"/>
                <w:color w:val="020094"/>
                <w:sz w:val="12"/>
                <w:szCs w:val="12"/>
              </w:rPr>
              <w:t xml:space="preserve">P1</w:t>
            </w:r>
            <w:r>
              <w:rPr>
                <w:rFonts w:ascii="IBM Plex Sans" w:cs="IBM Plex Sans" w:eastAsia="IBM Plex Sans" w:hAnsi="IBM Plex Sans"/>
                <w:color w:val="020094"/>
                <w:sz w:val="12"/>
                <w:szCs w:val="12"/>
              </w:rPr>
              <w:t xml:space="preserve">: el operador asigna bicicletas operativas y personal por zona para el día siguiente y programa mantenimiento en las horas de menor demanda pronosticada.</w:t>
            </w:r>
          </w:p>
          <w:p>
            <w:pPr>
              <w:spacing w:before="0" w:after="15" w:line="140" w:lineRule="exact"/>
              <w:jc w:val="left"/>
            </w:pPr>
            <w:r>
              <w:rPr>
                <w:rFonts w:ascii="IBM Plex Sans" w:cs="IBM Plex Sans" w:eastAsia="IBM Plex Sans" w:hAnsi="IBM Plex Sans"/>
                <w:b w:val="1"/>
                <w:bCs w:val="1"/>
                <w:color w:val="020094"/>
                <w:sz w:val="12"/>
                <w:szCs w:val="12"/>
              </w:rPr>
              <w:t xml:space="preserve">P2</w:t>
            </w:r>
            <w:r>
              <w:rPr>
                <w:rFonts w:ascii="IBM Plex Sans" w:cs="IBM Plex Sans" w:eastAsia="IBM Plex Sans" w:hAnsi="IBM Plex Sans"/>
                <w:color w:val="020094"/>
                <w:sz w:val="12"/>
                <w:szCs w:val="12"/>
              </w:rPr>
              <w:t xml:space="preserve">: lista de estaciones ordenada por probabilidad de riesgo y hora. Se programa visita de camión cuando p ≥ 1/(1+c), con c = costo FN / costo FP, limitada al top‑K de visitas que cabe en cada turno.</w:t>
            </w:r>
          </w:p>
          <w:p>
            <w:pPr>
              <w:spacing w:before="0" w:after="15" w:line="140" w:lineRule="exact"/>
              <w:jc w:val="left"/>
            </w:pPr>
            <w:r>
              <w:rPr>
                <w:rFonts w:ascii="IBM Plex Sans" w:cs="IBM Plex Sans" w:eastAsia="IBM Plex Sans" w:hAnsi="IBM Plex Sans"/>
                <w:b w:val="1"/>
                <w:bCs w:val="1"/>
                <w:color w:val="020094"/>
                <w:sz w:val="12"/>
                <w:szCs w:val="12"/>
              </w:rPr>
              <w:t xml:space="preserve">P3</w:t>
            </w:r>
            <w:r>
              <w:rPr>
                <w:rFonts w:ascii="IBM Plex Sans" w:cs="IBM Plex Sans" w:eastAsia="IBM Plex Sans" w:hAnsi="IBM Plex Sans"/>
                <w:color w:val="020094"/>
                <w:sz w:val="12"/>
                <w:szCs w:val="12"/>
              </w:rPr>
              <w:t xml:space="preserve">: mapa de clusters para decidir dónde ampliar estaciones o anclajes y qué tipo de estación replicar.</w:t>
            </w:r>
          </w:p>
          <w:p>
            <w:pPr>
              <w:spacing w:before="0" w:after="15" w:line="140" w:lineRule="exact"/>
              <w:jc w:val="left"/>
            </w:pPr>
            <w:r>
              <w:rPr>
                <w:rFonts w:ascii="IBM Plex Sans" w:cs="IBM Plex Sans" w:eastAsia="IBM Plex Sans" w:hAnsi="IBM Plex Sans"/>
                <w:b w:val="1"/>
                <w:bCs w:val="1"/>
                <w:color w:val="020094"/>
                <w:sz w:val="12"/>
                <w:szCs w:val="12"/>
              </w:rPr>
              <w:t xml:space="preserve">Aprendizaje</w:t>
            </w:r>
            <w:r>
              <w:rPr>
                <w:rFonts w:ascii="IBM Plex Sans" w:cs="IBM Plex Sans" w:eastAsia="IBM Plex Sans" w:hAnsi="IBM Plex Sans"/>
                <w:color w:val="020094"/>
                <w:sz w:val="12"/>
                <w:szCs w:val="12"/>
              </w:rPr>
              <w:t xml:space="preserve">: se deja sin acción un 5% aleatorio de alertas de P2 para medir el efecto real del rebalanceo.</w:t>
            </w:r>
          </w:p>
        </w:tc>
        <w:tc>
          <w:tcPr>
            <w:tcBorders>
              <w:top w:color="000000" w:space="0" w:sz="24" w:val="single"/>
              <w:left w:color="000000" w:space="0" w:sz="12" w:val="single"/>
              <w:bottom w:color="000000" w:space="0" w:sz="0" w:val="nil"/>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8">
            <w:pPr>
              <w:pStyle w:val="Heading2"/>
              <w:pageBreakBefore w:val="0"/>
              <w:rPr>
                <w:rFonts w:ascii="IBM Plex Sans" w:cs="IBM Plex Sans" w:eastAsia="IBM Plex Sans" w:hAnsi="IBM Plex Sans"/>
              </w:rPr>
            </w:pPr>
            <w:bookmarkStart w:colFirst="0" w:colLast="0" w:name="_2awhjch1rrw2" w:id="5"/>
            <w:bookmarkEnd w:id="5"/>
            <w:r w:rsidDel="00000000" w:rsidR="00000000" w:rsidRPr="00000000">
              <w:rPr>
                <w:rFonts w:ascii="IBM Plex Sans" w:cs="IBM Plex Sans" w:eastAsia="IBM Plex Sans" w:hAnsi="IBM Plex Sans"/>
                <w:rtl w:val="0"/>
              </w:rPr>
              <w:t xml:space="preserve">VALUE PROPOSITION</w:t>
            </w:r>
            <w:r w:rsidDel="00000000" w:rsidR="00000000" w:rsidRPr="00000000">
              <w:drawing>
                <wp:anchor allowOverlap="1" behindDoc="0" distB="0" distT="0" distL="0" distR="0" hidden="0" layoutInCell="1" locked="0" relativeHeight="0" simplePos="0">
                  <wp:simplePos x="0" y="0"/>
                  <wp:positionH relativeFrom="column">
                    <wp:posOffset>1333500</wp:posOffset>
                  </wp:positionH>
                  <wp:positionV relativeFrom="paragraph">
                    <wp:posOffset>0</wp:posOffset>
                  </wp:positionV>
                  <wp:extent cx="360000" cy="360000"/>
                  <wp:effectExtent b="0" l="0" r="0" t="0"/>
                  <wp:wrapSquare wrapText="bothSides" distB="0" distT="0" distL="0" distR="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60000" cy="360000"/>
                          </a:xfrm>
                          <a:prstGeom prst="rect"/>
                          <a:ln/>
                        </pic:spPr>
                      </pic:pic>
                    </a:graphicData>
                  </a:graphic>
                </wp:anchor>
              </w:drawing>
            </w:r>
          </w:p>
          <w:p w:rsidR="00000000" w:rsidDel="00000000" w:rsidP="00000000" w:rsidRDefault="00000000" w:rsidRPr="00000000" w14:paraId="00000009">
            <w:pPr>
              <w:pStyle w:val="Heading3"/>
              <w:rPr>
                <w:rFonts w:ascii="IBM Plex Sans" w:cs="IBM Plex Sans" w:eastAsia="IBM Plex Sans" w:hAnsi="IBM Plex Sans"/>
                <w:color w:val="999999"/>
                <w:sz w:val="14"/>
                <w:szCs w:val="14"/>
              </w:rPr>
            </w:pPr>
            <w:bookmarkStart w:colFirst="0" w:colLast="0" w:name="_dxjs2hhn8jih" w:id="6"/>
            <w:bookmarkEnd w:id="6"/>
            <w:r w:rsidDel="00000000" w:rsidR="00000000" w:rsidRPr="00000000">
              <w:rPr>
                <w:rFonts w:ascii="IBM Plex Sans" w:cs="IBM Plex Sans" w:eastAsia="IBM Plex Sans" w:hAnsi="IBM Plex Sans"/>
                <w:sz w:val="14"/>
                <w:szCs w:val="14"/>
                <w:rtl w:val="0"/>
              </w:rPr>
              <w:t xml:space="preserve">Who is the end beneficiary, and what specific pain points are addressed?</w:t>
              <w:br w:type="textWrapping"/>
              <w:t xml:space="preserve">How will the ML solution integrate with their workflow, and through which user interfaces?</w:t>
            </w:r>
            <w:r w:rsidDel="00000000" w:rsidR="00000000" w:rsidRPr="00000000">
              <w:rPr>
                <w:rtl w:val="0"/>
              </w:rPr>
            </w:r>
          </w:p>
          <w:p>
            <w:pPr>
              <w:spacing w:before="0" w:after="15" w:line="140" w:lineRule="exact"/>
              <w:jc w:val="left"/>
            </w:pPr>
            <w:r>
              <w:rPr>
                <w:rFonts w:ascii="IBM Plex Sans" w:cs="IBM Plex Sans" w:eastAsia="IBM Plex Sans" w:hAnsi="IBM Plex Sans"/>
                <w:b w:val="1"/>
                <w:bCs w:val="1"/>
                <w:color w:val="020094"/>
                <w:sz w:val="12"/>
                <w:szCs w:val="12"/>
              </w:rPr>
              <w:t xml:space="preserve">Beneficiarios</w:t>
            </w:r>
            <w:r>
              <w:rPr>
                <w:rFonts w:ascii="IBM Plex Sans" w:cs="IBM Plex Sans" w:eastAsia="IBM Plex Sans" w:hAnsi="IBM Plex Sans"/>
                <w:color w:val="020094"/>
                <w:sz w:val="12"/>
                <w:szCs w:val="12"/>
              </w:rPr>
              <w:t xml:space="preserve">: usuarios de MiBici (encontrar bicicleta y anclaje), operador del sistema, equipo de rebalanceo y planeación urbana del AMG.</w:t>
            </w:r>
          </w:p>
          <w:p>
            <w:pPr>
              <w:spacing w:before="0" w:after="15" w:line="140" w:lineRule="exact"/>
              <w:jc w:val="left"/>
            </w:pPr>
            <w:r>
              <w:rPr>
                <w:rFonts w:ascii="IBM Plex Sans" w:cs="IBM Plex Sans" w:eastAsia="IBM Plex Sans" w:hAnsi="IBM Plex Sans"/>
                <w:b w:val="1"/>
                <w:bCs w:val="1"/>
                <w:color w:val="020094"/>
                <w:sz w:val="12"/>
                <w:szCs w:val="12"/>
              </w:rPr>
              <w:t xml:space="preserve">Dolores</w:t>
            </w:r>
            <w:r>
              <w:rPr>
                <w:rFonts w:ascii="IBM Plex Sans" w:cs="IBM Plex Sans" w:eastAsia="IBM Plex Sans" w:hAnsi="IBM Plex Sans"/>
                <w:color w:val="020094"/>
                <w:sz w:val="12"/>
                <w:szCs w:val="12"/>
              </w:rPr>
              <w:t xml:space="preserve">: estaciones vacías en zonas residenciales y llenas en zonas de oficinas por la mañana; rebalanceo reactivo; expansión sin evidencia de patrones de uso.</w:t>
            </w:r>
          </w:p>
          <w:p>
            <w:pPr>
              <w:spacing w:before="0" w:after="15" w:line="140" w:lineRule="exact"/>
              <w:jc w:val="left"/>
            </w:pPr>
            <w:r>
              <w:rPr>
                <w:rFonts w:ascii="IBM Plex Sans" w:cs="IBM Plex Sans" w:eastAsia="IBM Plex Sans" w:hAnsi="IBM Plex Sans"/>
                <w:b w:val="1"/>
                <w:bCs w:val="1"/>
                <w:color w:val="020094"/>
                <w:sz w:val="12"/>
                <w:szCs w:val="12"/>
              </w:rPr>
              <w:t xml:space="preserve">Integración</w:t>
            </w:r>
            <w:r>
              <w:rPr>
                <w:rFonts w:ascii="IBM Plex Sans" w:cs="IBM Plex Sans" w:eastAsia="IBM Plex Sans" w:hAnsi="IBM Plex Sans"/>
                <w:color w:val="020094"/>
                <w:sz w:val="12"/>
                <w:szCs w:val="12"/>
              </w:rPr>
              <w:t xml:space="preserve">: tablero nocturno con pronóstico y riesgos por estación y hora, más un CSV para planear rutas antes del primer turno; mapa interactivo de clusters.</w:t>
            </w:r>
          </w:p>
          <w:p>
            <w:pPr>
              <w:spacing w:before="0" w:after="15" w:line="140" w:lineRule="exact"/>
              <w:jc w:val="left"/>
            </w:pPr>
            <w:r>
              <w:rPr>
                <w:rFonts w:ascii="IBM Plex Sans" w:cs="IBM Plex Sans" w:eastAsia="IBM Plex Sans" w:hAnsi="IBM Plex Sans"/>
                <w:b w:val="1"/>
                <w:bCs w:val="1"/>
                <w:color w:val="020094"/>
                <w:sz w:val="12"/>
                <w:szCs w:val="12"/>
              </w:rPr>
              <w:t xml:space="preserve">Por qué desde 2022</w:t>
            </w:r>
            <w:r>
              <w:rPr>
                <w:rFonts w:ascii="IBM Plex Sans" w:cs="IBM Plex Sans" w:eastAsia="IBM Plex Sans" w:hAnsi="IBM Plex Sans"/>
                <w:color w:val="020094"/>
                <w:sz w:val="12"/>
                <w:szCs w:val="12"/>
              </w:rPr>
              <w:t xml:space="preserve">: la pandemia cambió horarios, trabajo en casa y motivos de viaje; los datos previos sesgarían los patrones hacia un régimen que ya no existe.</w:t>
            </w:r>
          </w:p>
        </w:tc>
        <w:tc>
          <w:tcPr>
            <w:tcBorders>
              <w:top w:color="000000" w:space="0" w:sz="24" w:val="single"/>
              <w:lef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B">
            <w:pPr>
              <w:pStyle w:val="Heading2"/>
              <w:pageBreakBefore w:val="0"/>
              <w:rPr>
                <w:rFonts w:ascii="IBM Plex Sans" w:cs="IBM Plex Sans" w:eastAsia="IBM Plex Sans" w:hAnsi="IBM Plex Sans"/>
              </w:rPr>
            </w:pPr>
            <w:bookmarkStart w:colFirst="0" w:colLast="0" w:name="_xadehxe6m08r" w:id="7"/>
            <w:bookmarkEnd w:id="7"/>
            <w:r w:rsidDel="00000000" w:rsidR="00000000" w:rsidRPr="00000000">
              <w:rPr>
                <w:rFonts w:ascii="IBM Plex Sans" w:cs="IBM Plex Sans" w:eastAsia="IBM Plex Sans" w:hAnsi="IBM Plex Sans"/>
                <w:rtl w:val="0"/>
              </w:rPr>
              <w:t xml:space="preserve">DATA COLLECTION</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C">
            <w:pPr>
              <w:pStyle w:val="Heading3"/>
              <w:rPr>
                <w:rFonts w:ascii="IBM Plex Sans" w:cs="IBM Plex Sans" w:eastAsia="IBM Plex Sans" w:hAnsi="IBM Plex Sans"/>
                <w:color w:val="999999"/>
                <w:sz w:val="14"/>
                <w:szCs w:val="14"/>
              </w:rPr>
            </w:pPr>
            <w:bookmarkStart w:colFirst="0" w:colLast="0" w:name="_bycxw25eie8y" w:id="8"/>
            <w:bookmarkEnd w:id="8"/>
            <w:r w:rsidDel="00000000" w:rsidR="00000000" w:rsidRPr="00000000">
              <w:rPr>
                <w:rFonts w:ascii="IBM Plex Sans" w:cs="IBM Plex Sans" w:eastAsia="IBM Plex Sans" w:hAnsi="IBM Plex Sans"/>
                <w:sz w:val="14"/>
                <w:szCs w:val="14"/>
                <w:rtl w:val="0"/>
              </w:rPr>
              <w:t xml:space="preserve">How is the initial set of entities and outcomes sourced (e.g., database extracts, API pulls, manual labeling)?</w:t>
              <w:br w:type="textWrapping"/>
              <w:t xml:space="preserve">What strategies are in place to update data continuously while controlling cost and maintaining freshness?</w:t>
            </w:r>
            <w:r w:rsidDel="00000000" w:rsidR="00000000" w:rsidRPr="00000000">
              <w:rPr>
                <w:rtl w:val="0"/>
              </w:rPr>
            </w:r>
          </w:p>
          <w:p>
            <w:pPr>
              <w:spacing w:before="0" w:after="15" w:line="140" w:lineRule="exact"/>
              <w:jc w:val="left"/>
            </w:pPr>
            <w:r>
              <w:rPr>
                <w:rFonts w:ascii="IBM Plex Sans" w:cs="IBM Plex Sans" w:eastAsia="IBM Plex Sans" w:hAnsi="IBM Plex Sans"/>
                <w:b w:val="1"/>
                <w:bCs w:val="1"/>
                <w:color w:val="020094"/>
                <w:sz w:val="12"/>
                <w:szCs w:val="12"/>
              </w:rPr>
              <w:t xml:space="preserve">Pipeline reproducible</w:t>
            </w:r>
            <w:r>
              <w:rPr>
                <w:rFonts w:ascii="IBM Plex Sans" w:cs="IBM Plex Sans" w:eastAsia="IBM Plex Sans" w:hAnsi="IBM Plex Sans"/>
                <w:color w:val="020094"/>
                <w:sz w:val="12"/>
                <w:szCs w:val="12"/>
              </w:rPr>
              <w:t xml:space="preserve">: descarga de datos_abiertos_AAAA_MM.csv (2022‑01 a 2026‑09) y nomenclatura_2026_09.csv; detección de codificación (UTF‑8 / Latin‑1); mapeo de nombres de columna por año en un YAML; tipado y validación de esquema (pandera); guardado en Parquet por año y mes; manifiesto con hash SHA‑256 versionado en Git.</w:t>
            </w:r>
          </w:p>
          <w:p>
            <w:pPr>
              <w:spacing w:before="0" w:after="15" w:line="140" w:lineRule="exact"/>
              <w:jc w:val="left"/>
            </w:pPr>
            <w:r>
              <w:rPr>
                <w:rFonts w:ascii="IBM Plex Sans" w:cs="IBM Plex Sans" w:eastAsia="IBM Plex Sans" w:hAnsi="IBM Plex Sans"/>
                <w:b w:val="1"/>
                <w:bCs w:val="1"/>
                <w:color w:val="020094"/>
                <w:sz w:val="12"/>
                <w:szCs w:val="12"/>
              </w:rPr>
              <w:t xml:space="preserve">Limpieza</w:t>
            </w:r>
            <w:r>
              <w:rPr>
                <w:rFonts w:ascii="IBM Plex Sans" w:cs="IBM Plex Sans" w:eastAsia="IBM Plex Sans" w:hAnsi="IBM Plex Sans"/>
                <w:color w:val="020094"/>
                <w:sz w:val="12"/>
                <w:szCs w:val="12"/>
              </w:rPr>
              <w:t xml:space="preserve">: viajes &lt; 1 min con mismo origen y destino, duraciones &gt; 3 h y estaciones inexistentes en la nomenclatura.</w:t>
            </w:r>
          </w:p>
          <w:p>
            <w:pPr>
              <w:spacing w:before="0" w:after="15" w:line="140" w:lineRule="exact"/>
              <w:jc w:val="left"/>
            </w:pPr>
            <w:r>
              <w:rPr>
                <w:rFonts w:ascii="IBM Plex Sans" w:cs="IBM Plex Sans" w:eastAsia="IBM Plex Sans" w:hAnsi="IBM Plex Sans"/>
                <w:b w:val="1"/>
                <w:bCs w:val="1"/>
                <w:color w:val="020094"/>
                <w:sz w:val="12"/>
                <w:szCs w:val="12"/>
              </w:rPr>
              <w:t xml:space="preserve">Actualización</w:t>
            </w:r>
            <w:r>
              <w:rPr>
                <w:rFonts w:ascii="IBM Plex Sans" w:cs="IBM Plex Sans" w:eastAsia="IBM Plex Sans" w:hAnsi="IBM Plex Sans"/>
                <w:color w:val="020094"/>
                <w:sz w:val="12"/>
                <w:szCs w:val="12"/>
              </w:rPr>
              <w:t xml:space="preserve">: job mensual al publicarse el nuevo CSV; la nomenclatura se versiona para registrar altas y bajas de estaciones. Las etiquetas de P2 se derivan de los propios viajes.</w:t>
            </w:r>
          </w:p>
        </w:tc>
        <w:tc>
          <w:tcPr>
            <w:tcBorders>
              <w:top w:color="000000" w:space="0" w:sz="24" w:val="single"/>
              <w:righ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pStyle w:val="Heading2"/>
              <w:pageBreakBefore w:val="0"/>
              <w:rPr>
                <w:rFonts w:ascii="IBM Plex Sans" w:cs="IBM Plex Sans" w:eastAsia="IBM Plex Sans" w:hAnsi="IBM Plex Sans"/>
              </w:rPr>
            </w:pPr>
            <w:bookmarkStart w:colFirst="0" w:colLast="0" w:name="_akf661vjm278" w:id="9"/>
            <w:bookmarkEnd w:id="9"/>
            <w:r w:rsidDel="00000000" w:rsidR="00000000" w:rsidRPr="00000000">
              <w:rPr>
                <w:rFonts w:ascii="IBM Plex Sans" w:cs="IBM Plex Sans" w:eastAsia="IBM Plex Sans" w:hAnsi="IBM Plex Sans"/>
                <w:rtl w:val="0"/>
              </w:rPr>
              <w:t xml:space="preserve">DATA SOURCES</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F">
            <w:pPr>
              <w:pStyle w:val="Heading3"/>
              <w:pageBreakBefore w:val="0"/>
              <w:spacing w:after="200" w:lineRule="auto"/>
              <w:rPr>
                <w:rFonts w:ascii="IBM Plex Sans" w:cs="IBM Plex Sans" w:eastAsia="IBM Plex Sans" w:hAnsi="IBM Plex Sans"/>
                <w:color w:val="999999"/>
                <w:sz w:val="14"/>
                <w:szCs w:val="14"/>
              </w:rPr>
            </w:pPr>
            <w:bookmarkStart w:colFirst="0" w:colLast="0" w:name="_3ktfmkup4get" w:id="10"/>
            <w:bookmarkEnd w:id="10"/>
            <w:r w:rsidDel="00000000" w:rsidR="00000000" w:rsidRPr="00000000">
              <w:rPr>
                <w:rFonts w:ascii="IBM Plex Sans" w:cs="IBM Plex Sans" w:eastAsia="IBM Plex Sans" w:hAnsi="IBM Plex Sans"/>
                <w:color w:val="999999"/>
                <w:sz w:val="14"/>
                <w:szCs w:val="14"/>
                <w:rtl w:val="0"/>
              </w:rPr>
              <w:t xml:space="preserve">Where can we get data on entities and observed outcomes? (Mention internal and external database tables or API methods.)</w:t>
            </w:r>
          </w:p>
          <w:p>
            <w:pPr>
              <w:spacing w:before="0" w:after="15" w:line="140" w:lineRule="exact"/>
              <w:jc w:val="left"/>
            </w:pPr>
            <w:r>
              <w:rPr>
                <w:rFonts w:ascii="IBM Plex Sans" w:cs="IBM Plex Sans" w:eastAsia="IBM Plex Sans" w:hAnsi="IBM Plex Sans"/>
                <w:b w:val="1"/>
                <w:bCs w:val="1"/>
                <w:color w:val="020094"/>
                <w:sz w:val="12"/>
                <w:szCs w:val="12"/>
              </w:rPr>
              <w:t xml:space="preserve">MiBici datos abiertos</w:t>
            </w:r>
            <w:r>
              <w:rPr>
                <w:rFonts w:ascii="IBM Plex Sans" w:cs="IBM Plex Sans" w:eastAsia="IBM Plex Sans" w:hAnsi="IBM Plex Sans"/>
                <w:color w:val="020094"/>
                <w:sz w:val="12"/>
                <w:szCs w:val="12"/>
              </w:rPr>
              <w:t xml:space="preserve">: viajes mensuales (id de viaje, usuario: id, género y año de nacimiento, fecha y hora de inicio y fin, estación de origen y destino).</w:t>
            </w:r>
          </w:p>
          <w:p>
            <w:pPr>
              <w:spacing w:before="0" w:after="15" w:line="140" w:lineRule="exact"/>
              <w:jc w:val="left"/>
            </w:pPr>
            <w:r>
              <w:rPr>
                <w:rFonts w:ascii="IBM Plex Sans" w:cs="IBM Plex Sans" w:eastAsia="IBM Plex Sans" w:hAnsi="IBM Plex Sans"/>
                <w:b w:val="1"/>
                <w:bCs w:val="1"/>
                <w:color w:val="020094"/>
                <w:sz w:val="12"/>
                <w:szCs w:val="12"/>
              </w:rPr>
              <w:t xml:space="preserve">Nomenclatura</w:t>
            </w:r>
            <w:r>
              <w:rPr>
                <w:rFonts w:ascii="IBM Plex Sans" w:cs="IBM Plex Sans" w:eastAsia="IBM Plex Sans" w:hAnsi="IBM Plex Sans"/>
                <w:color w:val="020094"/>
                <w:sz w:val="12"/>
                <w:szCs w:val="12"/>
              </w:rPr>
              <w:t xml:space="preserve">: id, nombre, latitud, longitud y capacidad de cada estación.</w:t>
            </w:r>
          </w:p>
          <w:p>
            <w:pPr>
              <w:spacing w:before="0" w:after="15" w:line="140" w:lineRule="exact"/>
              <w:jc w:val="left"/>
            </w:pPr>
            <w:r>
              <w:rPr>
                <w:rFonts w:ascii="IBM Plex Sans" w:cs="IBM Plex Sans" w:eastAsia="IBM Plex Sans" w:hAnsi="IBM Plex Sans"/>
                <w:b w:val="1"/>
                <w:bCs w:val="1"/>
                <w:color w:val="020094"/>
                <w:sz w:val="12"/>
                <w:szCs w:val="12"/>
              </w:rPr>
              <w:t xml:space="preserve">Externas</w:t>
            </w:r>
            <w:r>
              <w:rPr>
                <w:rFonts w:ascii="IBM Plex Sans" w:cs="IBM Plex Sans" w:eastAsia="IBM Plex Sans" w:hAnsi="IBM Plex Sans"/>
                <w:color w:val="020094"/>
                <w:sz w:val="12"/>
                <w:szCs w:val="12"/>
              </w:rPr>
              <w:t xml:space="preserve">: días festivos y calendario escolar SEP; clima histórico por hora (Open‑Meteo); calendario de eventos masivos (p. ej. partidos del Mundial 2026 en Guadalajara).</w:t>
            </w:r>
          </w:p>
          <w:p>
            <w:pPr>
              <w:spacing w:before="0" w:after="15" w:line="140" w:lineRule="exact"/>
              <w:jc w:val="left"/>
            </w:pPr>
            <w:r>
              <w:rPr>
                <w:rFonts w:ascii="IBM Plex Sans" w:cs="IBM Plex Sans" w:eastAsia="IBM Plex Sans" w:hAnsi="IBM Plex Sans"/>
                <w:b w:val="1"/>
                <w:bCs w:val="1"/>
                <w:color w:val="020094"/>
                <w:sz w:val="12"/>
                <w:szCs w:val="12"/>
              </w:rPr>
              <w:t xml:space="preserve">Opcional</w:t>
            </w:r>
            <w:r>
              <w:rPr>
                <w:rFonts w:ascii="IBM Plex Sans" w:cs="IBM Plex Sans" w:eastAsia="IBM Plex Sans" w:hAnsi="IBM Plex Sans"/>
                <w:color w:val="020094"/>
                <w:sz w:val="12"/>
                <w:szCs w:val="12"/>
              </w:rPr>
              <w:t xml:space="preserve">: feed de disponibilidad en tiempo real (GBFS) si MiBici lo publica, para validar la etiqueta proxy de P2.</w:t>
            </w:r>
          </w:p>
        </w:tc>
      </w:tr>
      <w:tr>
        <w:trPr>
          <w:cantSplit w:val="0"/>
          <w:trHeight w:val="3750" w:hRule="atLeast"/>
          <w:tblHeader w:val="0"/>
        </w:trPr>
        <w:tc>
          <w:tcPr>
            <w:tcBorders>
              <w:left w:color="000000" w:space="0" w:sz="24" w:val="single"/>
              <w:bottom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1">
            <w:pPr>
              <w:pStyle w:val="Heading2"/>
              <w:pageBreakBefore w:val="0"/>
              <w:rPr>
                <w:rFonts w:ascii="IBM Plex Sans" w:cs="IBM Plex Sans" w:eastAsia="IBM Plex Sans" w:hAnsi="IBM Plex Sans"/>
              </w:rPr>
            </w:pPr>
            <w:bookmarkStart w:colFirst="0" w:colLast="0" w:name="_vz9cpjafdrq5" w:id="11"/>
            <w:bookmarkEnd w:id="11"/>
            <w:r w:rsidDel="00000000" w:rsidR="00000000" w:rsidRPr="00000000">
              <w:rPr>
                <w:rFonts w:ascii="IBM Plex Sans" w:cs="IBM Plex Sans" w:eastAsia="IBM Plex Sans" w:hAnsi="IBM Plex Sans"/>
                <w:rtl w:val="0"/>
              </w:rPr>
              <w:t xml:space="preserve">IMPACT SIMULATION</w:t>
            </w:r>
            <w:r w:rsidDel="00000000" w:rsidR="00000000" w:rsidRPr="00000000">
              <w:drawing>
                <wp:anchor allowOverlap="1" behindDoc="0" distB="0" distT="0" distL="0" distR="0" hidden="0" layoutInCell="1" locked="0" relativeHeight="0" simplePos="0">
                  <wp:simplePos x="0" y="0"/>
                  <wp:positionH relativeFrom="column">
                    <wp:posOffset>1390650</wp:posOffset>
                  </wp:positionH>
                  <wp:positionV relativeFrom="paragraph">
                    <wp:posOffset>0</wp:posOffset>
                  </wp:positionV>
                  <wp:extent cx="324000" cy="324000"/>
                  <wp:effectExtent b="0" l="0" r="0" t="0"/>
                  <wp:wrapSquare wrapText="bothSides" distB="0" distT="0" distL="0" distR="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2">
            <w:pPr>
              <w:pStyle w:val="Heading3"/>
              <w:pageBreakBefore w:val="0"/>
              <w:spacing w:after="200" w:lineRule="auto"/>
              <w:rPr>
                <w:rFonts w:ascii="IBM Plex Sans" w:cs="IBM Plex Sans" w:eastAsia="IBM Plex Sans" w:hAnsi="IBM Plex Sans"/>
                <w:color w:val="999999"/>
                <w:sz w:val="14"/>
                <w:szCs w:val="14"/>
              </w:rPr>
            </w:pPr>
            <w:bookmarkStart w:colFirst="0" w:colLast="0" w:name="_q0my9hts6rr1" w:id="12"/>
            <w:bookmarkEnd w:id="12"/>
            <w:r w:rsidDel="00000000" w:rsidR="00000000" w:rsidRPr="00000000">
              <w:rPr>
                <w:rFonts w:ascii="IBM Plex Sans" w:cs="IBM Plex Sans" w:eastAsia="IBM Plex Sans" w:hAnsi="IBM Plex Sans"/>
                <w:color w:val="999999"/>
                <w:sz w:val="14"/>
                <w:szCs w:val="14"/>
                <w:rtl w:val="0"/>
              </w:rPr>
              <w:t xml:space="preserve">What are the cost/gain values for (in)correct decisions?</w:t>
              <w:br w:type="textWrapping"/>
              <w:t xml:space="preserve">Which data is used to simulate pre-deployment impact?</w:t>
              <w:br w:type="textWrapping"/>
              <w:t xml:space="preserve">What are the criteria for deployment?</w:t>
              <w:br w:type="textWrapping"/>
              <w:t xml:space="preserve">Are there fairness constraints?</w:t>
            </w:r>
          </w:p>
          <w:p>
            <w:pPr>
              <w:spacing w:before="0" w:after="15" w:line="140" w:lineRule="exact"/>
              <w:jc w:val="left"/>
            </w:pPr>
            <w:r>
              <w:rPr>
                <w:rFonts w:ascii="IBM Plex Sans" w:cs="IBM Plex Sans" w:eastAsia="IBM Plex Sans" w:hAnsi="IBM Plex Sans"/>
                <w:b w:val="1"/>
                <w:bCs w:val="1"/>
                <w:color w:val="020094"/>
                <w:sz w:val="12"/>
                <w:szCs w:val="12"/>
              </w:rPr>
              <w:t xml:space="preserve">Costos P2</w:t>
            </w:r>
            <w:r>
              <w:rPr>
                <w:rFonts w:ascii="IBM Plex Sans" w:cs="IBM Plex Sans" w:eastAsia="IBM Plex Sans" w:hAnsi="IBM Plex Sans"/>
                <w:color w:val="020094"/>
                <w:sz w:val="12"/>
                <w:szCs w:val="12"/>
              </w:rPr>
              <w:t xml:space="preserve">: FN = viajes perdidos (salidas promedio de esa estación y hora × horas vacía); FP = visita innecesaria. c se estima con los datos.</w:t>
            </w:r>
          </w:p>
          <w:p>
            <w:pPr>
              <w:spacing w:before="0" w:after="15" w:line="140" w:lineRule="exact"/>
              <w:jc w:val="left"/>
            </w:pPr>
            <w:r>
              <w:rPr>
                <w:rFonts w:ascii="IBM Plex Sans" w:cs="IBM Plex Sans" w:eastAsia="IBM Plex Sans" w:hAnsi="IBM Plex Sans"/>
                <w:b w:val="1"/>
                <w:bCs w:val="1"/>
                <w:color w:val="020094"/>
                <w:sz w:val="12"/>
                <w:szCs w:val="12"/>
              </w:rPr>
              <w:t xml:space="preserve">Simulación</w:t>
            </w:r>
            <w:r>
              <w:rPr>
                <w:rFonts w:ascii="IBM Plex Sans" w:cs="IBM Plex Sans" w:eastAsia="IBM Plex Sans" w:hAnsi="IBM Plex Sans"/>
                <w:color w:val="020094"/>
                <w:sz w:val="12"/>
                <w:szCs w:val="12"/>
              </w:rPr>
              <w:t xml:space="preserve">: backtest temporal: train 2022‑01 a 2025‑06, validación 2025‑07 a 2025‑12, prueba 2026‑01 a 2026‑09.</w:t>
            </w:r>
          </w:p>
          <w:p>
            <w:pPr>
              <w:spacing w:before="0" w:after="15" w:line="140" w:lineRule="exact"/>
              <w:jc w:val="left"/>
            </w:pPr>
            <w:r>
              <w:rPr>
                <w:rFonts w:ascii="IBM Plex Sans" w:cs="IBM Plex Sans" w:eastAsia="IBM Plex Sans" w:hAnsi="IBM Plex Sans"/>
                <w:b w:val="1"/>
                <w:bCs w:val="1"/>
                <w:color w:val="020094"/>
                <w:sz w:val="12"/>
                <w:szCs w:val="12"/>
              </w:rPr>
              <w:t xml:space="preserve">Criterios</w:t>
            </w:r>
            <w:r>
              <w:rPr>
                <w:rFonts w:ascii="IBM Plex Sans" w:cs="IBM Plex Sans" w:eastAsia="IBM Plex Sans" w:hAnsi="IBM Plex Sans"/>
                <w:color w:val="020094"/>
                <w:sz w:val="12"/>
                <w:szCs w:val="12"/>
              </w:rPr>
              <w:t xml:space="preserve">: P1 cierra ≥ 50% de la brecha entre baseline y el piso Poisson de WAPE, con mejora significativa (Diebold‑Mariano); P2 costo esperado menor que la regla Q3 (IC bootstrap) y alertas ≤ visitas por turno; P3 silueta &gt; 0.25 y Jaccard bootstrap ≥ 0.75 por cluster.</w:t>
            </w:r>
          </w:p>
          <w:p>
            <w:pPr>
              <w:spacing w:before="0" w:after="15" w:line="140" w:lineRule="exact"/>
              <w:jc w:val="left"/>
            </w:pPr>
            <w:r>
              <w:rPr>
                <w:rFonts w:ascii="IBM Plex Sans" w:cs="IBM Plex Sans" w:eastAsia="IBM Plex Sans" w:hAnsi="IBM Plex Sans"/>
                <w:b w:val="1"/>
                <w:bCs w:val="1"/>
                <w:color w:val="020094"/>
                <w:sz w:val="12"/>
                <w:szCs w:val="12"/>
              </w:rPr>
              <w:t xml:space="preserve">Equidad</w:t>
            </w:r>
            <w:r>
              <w:rPr>
                <w:rFonts w:ascii="IBM Plex Sans" w:cs="IBM Plex Sans" w:eastAsia="IBM Plex Sans" w:hAnsi="IBM Plex Sans"/>
                <w:color w:val="020094"/>
                <w:sz w:val="12"/>
                <w:szCs w:val="12"/>
              </w:rPr>
              <w:t xml:space="preserve">: métricas por zona; la periferia no debe quedar fuera del rebalanceo.</w:t>
            </w:r>
          </w:p>
        </w:tc>
        <w:tc>
          <w:tcPr>
            <w:tcBorders>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pStyle w:val="Heading2"/>
              <w:rPr>
                <w:rFonts w:ascii="IBM Plex Sans" w:cs="IBM Plex Sans" w:eastAsia="IBM Plex Sans" w:hAnsi="IBM Plex Sans"/>
                <w:sz w:val="20"/>
                <w:szCs w:val="20"/>
              </w:rPr>
            </w:pPr>
            <w:bookmarkStart w:colFirst="0" w:colLast="0" w:name="_5s79pjkaaapc" w:id="13"/>
            <w:bookmarkEnd w:id="13"/>
            <w:r w:rsidDel="00000000" w:rsidR="00000000" w:rsidRPr="00000000">
              <w:rPr>
                <w:rFonts w:ascii="IBM Plex Sans" w:cs="IBM Plex Sans" w:eastAsia="IBM Plex Sans" w:hAnsi="IBM Plex Sans"/>
                <w:rtl w:val="0"/>
              </w:rPr>
              <w:t xml:space="preserve">MAKING PREDICTIONS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1371600</wp:posOffset>
                  </wp:positionH>
                  <wp:positionV relativeFrom="paragraph">
                    <wp:posOffset>0</wp:posOffset>
                  </wp:positionV>
                  <wp:extent cx="324000" cy="324000"/>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5">
            <w:pPr>
              <w:pStyle w:val="Heading3"/>
              <w:pageBreakBefore w:val="0"/>
              <w:spacing w:after="200" w:lineRule="auto"/>
              <w:rPr>
                <w:rFonts w:ascii="IBM Plex Sans" w:cs="IBM Plex Sans" w:eastAsia="IBM Plex Sans" w:hAnsi="IBM Plex Sans"/>
                <w:color w:val="999999"/>
                <w:sz w:val="14"/>
                <w:szCs w:val="14"/>
              </w:rPr>
            </w:pPr>
            <w:bookmarkStart w:colFirst="0" w:colLast="0" w:name="_crxt7dvm8btd" w:id="14"/>
            <w:bookmarkEnd w:id="14"/>
            <w:r w:rsidDel="00000000" w:rsidR="00000000" w:rsidRPr="00000000">
              <w:rPr>
                <w:rFonts w:ascii="IBM Plex Sans" w:cs="IBM Plex Sans" w:eastAsia="IBM Plex Sans" w:hAnsi="IBM Plex Sans"/>
                <w:color w:val="999999"/>
                <w:sz w:val="14"/>
                <w:szCs w:val="14"/>
                <w:rtl w:val="0"/>
              </w:rPr>
              <w:t xml:space="preserve">Are predictions made in batch or in real time?</w:t>
              <w:br w:type="textWrapping"/>
              <w:t xml:space="preserve">How frequently?</w:t>
              <w:br w:type="textWrapping"/>
              <w:t xml:space="preserve">How much time is available for this (including featurization and decisions)?</w:t>
              <w:br w:type="textWrapping"/>
              <w:t xml:space="preserve">Which computational resources are used?</w:t>
            </w:r>
          </w:p>
          <w:p>
            <w:pPr>
              <w:spacing w:before="0" w:after="15" w:line="140" w:lineRule="exact"/>
              <w:jc w:val="left"/>
            </w:pPr>
            <w:r>
              <w:rPr>
                <w:rFonts w:ascii="IBM Plex Sans" w:cs="IBM Plex Sans" w:eastAsia="IBM Plex Sans" w:hAnsi="IBM Plex Sans"/>
                <w:b w:val="1"/>
                <w:bCs w:val="1"/>
                <w:color w:val="020094"/>
                <w:sz w:val="12"/>
                <w:szCs w:val="12"/>
              </w:rPr>
              <w:t xml:space="preserve">Batch. P1 y P2</w:t>
            </w:r>
            <w:r>
              <w:rPr>
                <w:rFonts w:ascii="IBM Plex Sans" w:cs="IBM Plex Sans" w:eastAsia="IBM Plex Sans" w:hAnsi="IBM Plex Sans"/>
                <w:color w:val="020094"/>
                <w:sz w:val="12"/>
                <w:szCs w:val="12"/>
              </w:rPr>
              <w:t xml:space="preserve">: diario a las 00:00 para las 24 horas del día siguiente (n estaciones × 24 filas). Con datos en tiempo real, P2 sería horario (horizonte 1 a 3 h).</w:t>
            </w:r>
          </w:p>
          <w:p>
            <w:pPr>
              <w:spacing w:before="0" w:after="15" w:line="140" w:lineRule="exact"/>
              <w:jc w:val="left"/>
            </w:pPr>
            <w:r>
              <w:rPr>
                <w:rFonts w:ascii="IBM Plex Sans" w:cs="IBM Plex Sans" w:eastAsia="IBM Plex Sans" w:hAnsi="IBM Plex Sans"/>
                <w:b w:val="1"/>
                <w:bCs w:val="1"/>
                <w:color w:val="020094"/>
                <w:sz w:val="12"/>
                <w:szCs w:val="12"/>
              </w:rPr>
              <w:t xml:space="preserve">P3</w:t>
            </w:r>
            <w:r>
              <w:rPr>
                <w:rFonts w:ascii="IBM Plex Sans" w:cs="IBM Plex Sans" w:eastAsia="IBM Plex Sans" w:hAnsi="IBM Plex Sans"/>
                <w:color w:val="020094"/>
                <w:sz w:val="12"/>
                <w:szCs w:val="12"/>
              </w:rPr>
              <w:t xml:space="preserve">: se recalcula cada trimestre o al dar de alta estaciones.</w:t>
            </w:r>
          </w:p>
          <w:p>
            <w:pPr>
              <w:spacing w:before="0" w:after="15" w:line="140" w:lineRule="exact"/>
              <w:jc w:val="left"/>
            </w:pPr>
            <w:r>
              <w:rPr>
                <w:rFonts w:ascii="IBM Plex Sans" w:cs="IBM Plex Sans" w:eastAsia="IBM Plex Sans" w:hAnsi="IBM Plex Sans"/>
                <w:b w:val="1"/>
                <w:bCs w:val="1"/>
                <w:color w:val="020094"/>
                <w:sz w:val="12"/>
                <w:szCs w:val="12"/>
              </w:rPr>
              <w:t xml:space="preserve">Tiempo</w:t>
            </w:r>
            <w:r>
              <w:rPr>
                <w:rFonts w:ascii="IBM Plex Sans" w:cs="IBM Plex Sans" w:eastAsia="IBM Plex Sans" w:hAnsi="IBM Plex Sans"/>
                <w:color w:val="020094"/>
                <w:sz w:val="12"/>
                <w:szCs w:val="12"/>
              </w:rPr>
              <w:t xml:space="preserve">: menos de 30 min incluyendo features (la ventana nocturna es amplia).</w:t>
            </w:r>
          </w:p>
          <w:p>
            <w:pPr>
              <w:spacing w:before="0" w:after="15" w:line="140" w:lineRule="exact"/>
              <w:jc w:val="left"/>
            </w:pPr>
            <w:r>
              <w:rPr>
                <w:rFonts w:ascii="IBM Plex Sans" w:cs="IBM Plex Sans" w:eastAsia="IBM Plex Sans" w:hAnsi="IBM Plex Sans"/>
                <w:b w:val="1"/>
                <w:bCs w:val="1"/>
                <w:color w:val="020094"/>
                <w:sz w:val="12"/>
                <w:szCs w:val="12"/>
              </w:rPr>
              <w:t xml:space="preserve">Recursos</w:t>
            </w:r>
            <w:r>
              <w:rPr>
                <w:rFonts w:ascii="IBM Plex Sans" w:cs="IBM Plex Sans" w:eastAsia="IBM Plex Sans" w:hAnsi="IBM Plex Sans"/>
                <w:color w:val="020094"/>
                <w:sz w:val="12"/>
                <w:szCs w:val="12"/>
              </w:rPr>
              <w:t xml:space="preserve">: CPU, contenedor Docker y modelos servidos desde el registro de MLflow.</w:t>
            </w:r>
          </w:p>
        </w:tc>
        <w:tc>
          <w:tcPr>
            <w:tcBorders>
              <w:top w:color="000000" w:space="0" w:sz="0" w:val="nil"/>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pageBreakBefore w:val="0"/>
              <w:spacing w:after="200" w:lineRule="auto"/>
              <w:jc w:val="left"/>
              <w:rPr>
                <w:rFonts w:ascii="IBM Plex Sans" w:cs="IBM Plex Sans" w:eastAsia="IBM Plex Sans" w:hAnsi="IBM Plex Sans"/>
                <w:b w:val="1"/>
                <w:bCs w:val="1"/>
                <w:color w:val="020094"/>
                <w:sz w:val="26"/>
                <w:szCs w:val="26"/>
              </w:rPr>
            </w:pPr>
            <w:r w:rsidDel="00000000" w:rsidR="00000000" w:rsidRPr="00000000">
              <w:rPr>
                <w:rtl w:val="0"/>
              </w:rPr>
            </w:r>
          </w:p>
        </w:tc>
        <w:tc>
          <w:tcPr>
            <w:tcBorders>
              <w:left w:color="000000" w:space="0" w:sz="12" w:val="single"/>
              <w:bottom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pStyle w:val="Heading2"/>
              <w:pageBreakBefore w:val="0"/>
              <w:rPr>
                <w:rFonts w:ascii="IBM Plex Sans" w:cs="IBM Plex Sans" w:eastAsia="IBM Plex Sans" w:hAnsi="IBM Plex Sans"/>
              </w:rPr>
            </w:pPr>
            <w:bookmarkStart w:colFirst="0" w:colLast="0" w:name="_81vf84j4p1ue" w:id="15"/>
            <w:bookmarkEnd w:id="15"/>
            <w:r w:rsidDel="00000000" w:rsidR="00000000" w:rsidRPr="00000000">
              <w:rPr>
                <w:rFonts w:ascii="IBM Plex Sans" w:cs="IBM Plex Sans" w:eastAsia="IBM Plex Sans" w:hAnsi="IBM Plex Sans"/>
                <w:rtl w:val="0"/>
              </w:rPr>
              <w:t xml:space="preserve">BUILDING MODELS</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9">
            <w:pPr>
              <w:pStyle w:val="Heading3"/>
              <w:pageBreakBefore w:val="0"/>
              <w:spacing w:after="200" w:lineRule="auto"/>
              <w:rPr>
                <w:rFonts w:ascii="IBM Plex Sans" w:cs="IBM Plex Sans" w:eastAsia="IBM Plex Sans" w:hAnsi="IBM Plex Sans"/>
                <w:color w:val="999999"/>
                <w:sz w:val="14"/>
                <w:szCs w:val="14"/>
              </w:rPr>
            </w:pPr>
            <w:bookmarkStart w:colFirst="0" w:colLast="0" w:name="_uqcgz6o8ws7h" w:id="16"/>
            <w:bookmarkEnd w:id="16"/>
            <w:r w:rsidDel="00000000" w:rsidR="00000000" w:rsidRPr="00000000">
              <w:rPr>
                <w:rFonts w:ascii="IBM Plex Sans" w:cs="IBM Plex Sans" w:eastAsia="IBM Plex Sans" w:hAnsi="IBM Plex Sans"/>
                <w:color w:val="999999"/>
                <w:sz w:val="14"/>
                <w:szCs w:val="14"/>
                <w:rtl w:val="0"/>
              </w:rPr>
              <w:t xml:space="preserve">How many models are needed in production?</w:t>
              <w:br w:type="textWrapping"/>
              <w:t xml:space="preserve">When should they be updated?</w:t>
              <w:br w:type="textWrapping"/>
              <w:t xml:space="preserve">How much time is available for this (including featurization and analysis)?</w:t>
              <w:br w:type="textWrapping"/>
              <w:t xml:space="preserve">Which computation resources are used?</w:t>
            </w:r>
          </w:p>
          <w:p>
            <w:pPr>
              <w:spacing w:before="0" w:after="15" w:line="140" w:lineRule="exact"/>
              <w:jc w:val="left"/>
            </w:pPr>
            <w:r>
              <w:rPr>
                <w:rFonts w:ascii="IBM Plex Sans" w:cs="IBM Plex Sans" w:eastAsia="IBM Plex Sans" w:hAnsi="IBM Plex Sans"/>
                <w:b w:val="1"/>
                <w:bCs w:val="1"/>
                <w:color w:val="020094"/>
                <w:sz w:val="12"/>
                <w:szCs w:val="12"/>
              </w:rPr>
              <w:t xml:space="preserve">En producción</w:t>
            </w:r>
            <w:r>
              <w:rPr>
                <w:rFonts w:ascii="IBM Plex Sans" w:cs="IBM Plex Sans" w:eastAsia="IBM Plex Sans" w:hAnsi="IBM Plex Sans"/>
                <w:color w:val="020094"/>
                <w:sz w:val="12"/>
                <w:szCs w:val="12"/>
              </w:rPr>
              <w:t xml:space="preserve">: 3 modelos (P1, P2, P3) más sus baselines.</w:t>
            </w:r>
          </w:p>
          <w:p>
            <w:pPr>
              <w:spacing w:before="0" w:after="15" w:line="140" w:lineRule="exact"/>
              <w:jc w:val="left"/>
            </w:pPr>
            <w:r>
              <w:rPr>
                <w:rFonts w:ascii="IBM Plex Sans" w:cs="IBM Plex Sans" w:eastAsia="IBM Plex Sans" w:hAnsi="IBM Plex Sans"/>
                <w:b w:val="1"/>
                <w:bCs w:val="1"/>
                <w:color w:val="020094"/>
                <w:sz w:val="12"/>
                <w:szCs w:val="12"/>
              </w:rPr>
              <w:t xml:space="preserve">P1</w:t>
            </w:r>
            <w:r>
              <w:rPr>
                <w:rFonts w:ascii="IBM Plex Sans" w:cs="IBM Plex Sans" w:eastAsia="IBM Plex Sans" w:hAnsi="IBM Plex Sans"/>
                <w:color w:val="020094"/>
                <w:sz w:val="12"/>
                <w:szCs w:val="12"/>
              </w:rPr>
              <w:t xml:space="preserve">: baseline estacional; regresión Poisson; LightGBM global (Poisson / Tweedie). MAE, RMSE, WAPE.</w:t>
            </w:r>
          </w:p>
          <w:p>
            <w:pPr>
              <w:spacing w:before="0" w:after="15" w:line="140" w:lineRule="exact"/>
              <w:jc w:val="left"/>
            </w:pPr>
            <w:r>
              <w:rPr>
                <w:rFonts w:ascii="IBM Plex Sans" w:cs="IBM Plex Sans" w:eastAsia="IBM Plex Sans" w:hAnsi="IBM Plex Sans"/>
                <w:b w:val="1"/>
                <w:bCs w:val="1"/>
                <w:color w:val="020094"/>
                <w:sz w:val="12"/>
                <w:szCs w:val="12"/>
              </w:rPr>
              <w:t xml:space="preserve">P2</w:t>
            </w:r>
            <w:r>
              <w:rPr>
                <w:rFonts w:ascii="IBM Plex Sans" w:cs="IBM Plex Sans" w:eastAsia="IBM Plex Sans" w:hAnsi="IBM Plex Sans"/>
                <w:color w:val="020094"/>
                <w:sz w:val="12"/>
                <w:szCs w:val="12"/>
              </w:rPr>
              <w:t xml:space="preserve">: baseline regla Q3 de salidas propias; regresión logística; LightGBM con pesos de clase. Costo esperado, recall, precisión, PR‑AUC.</w:t>
            </w:r>
          </w:p>
          <w:p>
            <w:pPr>
              <w:spacing w:before="0" w:after="15" w:line="140" w:lineRule="exact"/>
              <w:jc w:val="left"/>
            </w:pPr>
            <w:r>
              <w:rPr>
                <w:rFonts w:ascii="IBM Plex Sans" w:cs="IBM Plex Sans" w:eastAsia="IBM Plex Sans" w:hAnsi="IBM Plex Sans"/>
                <w:b w:val="1"/>
                <w:bCs w:val="1"/>
                <w:color w:val="020094"/>
                <w:sz w:val="12"/>
                <w:szCs w:val="12"/>
              </w:rPr>
              <w:t xml:space="preserve">P3</w:t>
            </w:r>
            <w:r>
              <w:rPr>
                <w:rFonts w:ascii="IBM Plex Sans" w:cs="IBM Plex Sans" w:eastAsia="IBM Plex Sans" w:hAnsi="IBM Plex Sans"/>
                <w:color w:val="020094"/>
                <w:sz w:val="12"/>
                <w:szCs w:val="12"/>
              </w:rPr>
              <w:t xml:space="preserve">: K‑Means sobre PCA de perfiles; vs. Ward y GMM; k por silueta y Davies‑Bouldin.</w:t>
            </w:r>
          </w:p>
          <w:p>
            <w:pPr>
              <w:spacing w:before="0" w:after="15" w:line="140" w:lineRule="exact"/>
              <w:jc w:val="left"/>
            </w:pPr>
            <w:r>
              <w:rPr>
                <w:rFonts w:ascii="IBM Plex Sans" w:cs="IBM Plex Sans" w:eastAsia="IBM Plex Sans" w:hAnsi="IBM Plex Sans"/>
                <w:b w:val="1"/>
                <w:bCs w:val="1"/>
                <w:color w:val="020094"/>
                <w:sz w:val="12"/>
                <w:szCs w:val="12"/>
              </w:rPr>
              <w:t xml:space="preserve">Actualización</w:t>
            </w:r>
            <w:r>
              <w:rPr>
                <w:rFonts w:ascii="IBM Plex Sans" w:cs="IBM Plex Sans" w:eastAsia="IBM Plex Sans" w:hAnsi="IBM Plex Sans"/>
                <w:color w:val="020094"/>
                <w:sz w:val="12"/>
                <w:szCs w:val="12"/>
              </w:rPr>
              <w:t xml:space="preserve">: mensual, ventana expansiva desde 2022, o antes si hay drift. &lt; 2 h en CPU. MLflow, Git y manifiesto de datos.</w:t>
            </w:r>
          </w:p>
        </w:tc>
        <w:tc>
          <w:tcPr>
            <w:tcBorders>
              <w:bottom w:color="000000" w:space="0" w:sz="0" w:val="nil"/>
              <w:righ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pStyle w:val="Heading2"/>
              <w:pageBreakBefore w:val="0"/>
              <w:rPr>
                <w:rFonts w:ascii="IBM Plex Sans" w:cs="IBM Plex Sans" w:eastAsia="IBM Plex Sans" w:hAnsi="IBM Plex Sans"/>
              </w:rPr>
            </w:pPr>
            <w:bookmarkStart w:colFirst="0" w:colLast="0" w:name="_4e49g6s44q5h" w:id="17"/>
            <w:bookmarkEnd w:id="17"/>
            <w:r w:rsidDel="00000000" w:rsidR="00000000" w:rsidRPr="00000000">
              <w:rPr>
                <w:rFonts w:ascii="IBM Plex Sans" w:cs="IBM Plex Sans" w:eastAsia="IBM Plex Sans" w:hAnsi="IBM Plex Sans"/>
                <w:rtl w:val="0"/>
              </w:rPr>
              <w:t xml:space="preserve">FEATURES</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C">
            <w:pPr>
              <w:pStyle w:val="Heading3"/>
              <w:spacing w:after="200" w:lineRule="auto"/>
              <w:rPr>
                <w:rFonts w:ascii="IBM Plex Sans" w:cs="IBM Plex Sans" w:eastAsia="IBM Plex Sans" w:hAnsi="IBM Plex Sans"/>
                <w:b w:val="1"/>
                <w:bCs w:val="1"/>
                <w:color w:val="020094"/>
                <w:sz w:val="26"/>
                <w:szCs w:val="26"/>
              </w:rPr>
            </w:pPr>
            <w:bookmarkStart w:colFirst="0" w:colLast="0" w:name="_7efx3yacbscb" w:id="18"/>
            <w:bookmarkEnd w:id="18"/>
            <w:r w:rsidDel="00000000" w:rsidR="00000000" w:rsidRPr="00000000">
              <w:rPr>
                <w:rFonts w:ascii="IBM Plex Sans" w:cs="IBM Plex Sans" w:eastAsia="IBM Plex Sans" w:hAnsi="IBM Plex Sans"/>
                <w:color w:val="999999"/>
                <w:sz w:val="14"/>
                <w:szCs w:val="14"/>
                <w:rtl w:val="0"/>
              </w:rPr>
              <w:t xml:space="preserve">What representations are used for entities at prediction time?</w:t>
              <w:br w:type="textWrapping"/>
              <w:t xml:space="preserve">What aggregations or transformations are applied to raw data sources?</w:t>
            </w:r>
            <w:r w:rsidDel="00000000" w:rsidR="00000000" w:rsidRPr="00000000">
              <w:rPr>
                <w:rtl w:val="0"/>
              </w:rPr>
            </w:r>
          </w:p>
          <w:p>
            <w:pPr>
              <w:spacing w:before="0" w:after="15" w:line="140" w:lineRule="exact"/>
              <w:jc w:val="left"/>
            </w:pPr>
            <w:r>
              <w:rPr>
                <w:rFonts w:ascii="IBM Plex Sans" w:cs="IBM Plex Sans" w:eastAsia="IBM Plex Sans" w:hAnsi="IBM Plex Sans"/>
                <w:b w:val="1"/>
                <w:bCs w:val="1"/>
                <w:color w:val="020094"/>
                <w:sz w:val="12"/>
                <w:szCs w:val="12"/>
              </w:rPr>
              <w:t xml:space="preserve">Calendario</w:t>
            </w:r>
            <w:r>
              <w:rPr>
                <w:rFonts w:ascii="IBM Plex Sans" w:cs="IBM Plex Sans" w:eastAsia="IBM Plex Sans" w:hAnsi="IBM Plex Sans"/>
                <w:color w:val="020094"/>
                <w:sz w:val="12"/>
                <w:szCs w:val="12"/>
              </w:rPr>
              <w:t xml:space="preserve">: hora, día de la semana, mes, festivo, vacaciones, quincena.</w:t>
            </w:r>
          </w:p>
          <w:p>
            <w:pPr>
              <w:spacing w:before="0" w:after="15" w:line="140" w:lineRule="exact"/>
              <w:jc w:val="left"/>
            </w:pPr>
            <w:r>
              <w:rPr>
                <w:rFonts w:ascii="IBM Plex Sans" w:cs="IBM Plex Sans" w:eastAsia="IBM Plex Sans" w:hAnsi="IBM Plex Sans"/>
                <w:b w:val="1"/>
                <w:bCs w:val="1"/>
                <w:color w:val="020094"/>
                <w:sz w:val="12"/>
                <w:szCs w:val="12"/>
              </w:rPr>
              <w:t xml:space="preserve">Rezagos</w:t>
            </w:r>
            <w:r>
              <w:rPr>
                <w:rFonts w:ascii="IBM Plex Sans" w:cs="IBM Plex Sans" w:eastAsia="IBM Plex Sans" w:hAnsi="IBM Plex Sans"/>
                <w:color w:val="020094"/>
                <w:sz w:val="12"/>
                <w:szCs w:val="12"/>
              </w:rPr>
              <w:t xml:space="preserve">: misma hora hace 24 h y 168 h; medias móviles 7 y 28 días (solo información disponible a las 00:00).</w:t>
            </w:r>
          </w:p>
          <w:p>
            <w:pPr>
              <w:spacing w:before="0" w:after="15" w:line="140" w:lineRule="exact"/>
              <w:jc w:val="left"/>
            </w:pPr>
            <w:r>
              <w:rPr>
                <w:rFonts w:ascii="IBM Plex Sans" w:cs="IBM Plex Sans" w:eastAsia="IBM Plex Sans" w:hAnsi="IBM Plex Sans"/>
                <w:b w:val="1"/>
                <w:bCs w:val="1"/>
                <w:color w:val="020094"/>
                <w:sz w:val="12"/>
                <w:szCs w:val="12"/>
              </w:rPr>
              <w:t xml:space="preserve">Estación</w:t>
            </w:r>
            <w:r>
              <w:rPr>
                <w:rFonts w:ascii="IBM Plex Sans" w:cs="IBM Plex Sans" w:eastAsia="IBM Plex Sans" w:hAnsi="IBM Plex Sans"/>
                <w:color w:val="020094"/>
                <w:sz w:val="12"/>
                <w:szCs w:val="12"/>
              </w:rPr>
              <w:t xml:space="preserve">: capacidad, lat / lon, zona H3, distancia al centro, vecinas en 500 m, cluster P3.</w:t>
            </w:r>
          </w:p>
          <w:p>
            <w:pPr>
              <w:spacing w:before="0" w:after="15" w:line="140" w:lineRule="exact"/>
              <w:jc w:val="left"/>
            </w:pPr>
            <w:r>
              <w:rPr>
                <w:rFonts w:ascii="IBM Plex Sans" w:cs="IBM Plex Sans" w:eastAsia="IBM Plex Sans" w:hAnsi="IBM Plex Sans"/>
                <w:b w:val="1"/>
                <w:bCs w:val="1"/>
                <w:color w:val="020094"/>
                <w:sz w:val="12"/>
                <w:szCs w:val="12"/>
              </w:rPr>
              <w:t xml:space="preserve">Flujo (P2)</w:t>
            </w:r>
            <w:r>
              <w:rPr>
                <w:rFonts w:ascii="IBM Plex Sans" w:cs="IBM Plex Sans" w:eastAsia="IBM Plex Sans" w:hAnsi="IBM Plex Sans"/>
                <w:color w:val="020094"/>
                <w:sz w:val="12"/>
                <w:szCs w:val="12"/>
              </w:rPr>
              <w:t xml:space="preserve">: flujo neto histórico / capacidad; frecuencia histórica de huecos sin salidas en hora pico.</w:t>
            </w:r>
          </w:p>
          <w:p>
            <w:pPr>
              <w:spacing w:before="0" w:after="15" w:line="140" w:lineRule="exact"/>
              <w:jc w:val="left"/>
            </w:pPr>
            <w:r>
              <w:rPr>
                <w:rFonts w:ascii="IBM Plex Sans" w:cs="IBM Plex Sans" w:eastAsia="IBM Plex Sans" w:hAnsi="IBM Plex Sans"/>
                <w:b w:val="1"/>
                <w:bCs w:val="1"/>
                <w:color w:val="020094"/>
                <w:sz w:val="12"/>
                <w:szCs w:val="12"/>
              </w:rPr>
              <w:t xml:space="preserve">Contexto</w:t>
            </w:r>
            <w:r>
              <w:rPr>
                <w:rFonts w:ascii="IBM Plex Sans" w:cs="IBM Plex Sans" w:eastAsia="IBM Plex Sans" w:hAnsi="IBM Plex Sans"/>
                <w:color w:val="020094"/>
                <w:sz w:val="12"/>
                <w:szCs w:val="12"/>
              </w:rPr>
              <w:t xml:space="preserve">: temperatura, lluvia, eventos masivos.</w:t>
            </w:r>
          </w:p>
          <w:p>
            <w:pPr>
              <w:spacing w:before="0" w:after="15" w:line="140" w:lineRule="exact"/>
              <w:jc w:val="left"/>
            </w:pPr>
            <w:r>
              <w:rPr>
                <w:rFonts w:ascii="IBM Plex Sans" w:cs="IBM Plex Sans" w:eastAsia="IBM Plex Sans" w:hAnsi="IBM Plex Sans"/>
                <w:b w:val="1"/>
                <w:bCs w:val="1"/>
                <w:color w:val="020094"/>
                <w:sz w:val="12"/>
                <w:szCs w:val="12"/>
              </w:rPr>
              <w:t xml:space="preserve">P3 (por estación, 2022+)</w:t>
            </w:r>
            <w:r>
              <w:rPr>
                <w:rFonts w:ascii="IBM Plex Sans" w:cs="IBM Plex Sans" w:eastAsia="IBM Plex Sans" w:hAnsi="IBM Plex Sans"/>
                <w:color w:val="020094"/>
                <w:sz w:val="12"/>
                <w:szCs w:val="12"/>
              </w:rPr>
              <w:t xml:space="preserve">: perfil horario de salidas y llegadas (hábil y fin de semana), razón llegadas / salidas, duración mediana, % circulares.</w:t>
            </w:r>
          </w:p>
        </w:tc>
      </w:tr>
      <w:tr>
        <w:trPr>
          <w:cantSplit w:val="0"/>
          <w:trHeight w:val="1600" w:hRule="atLeast"/>
          <w:tblHeader w:val="0"/>
        </w:trPr>
        <w:tc>
          <w:tcPr>
            <w:tcBorders>
              <w:top w:color="000000" w:space="0" w:sz="0" w:val="nil"/>
              <w:left w:color="000000" w:space="0" w:sz="24" w:val="single"/>
              <w:bottom w:color="000000" w:space="0" w:sz="24"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E">
            <w:pPr>
              <w:pageBreakBefore w:val="0"/>
              <w:jc w:val="left"/>
              <w:rPr>
                <w:rFonts w:ascii="IBM Plex Sans" w:cs="IBM Plex Sans" w:eastAsia="IBM Plex Sans" w:hAnsi="IBM Plex Sans"/>
              </w:rPr>
            </w:pPr>
            <w:r w:rsidDel="00000000" w:rsidR="00000000" w:rsidRPr="00000000">
              <w:rPr>
                <w:rtl w:val="0"/>
              </w:rPr>
            </w:r>
          </w:p>
        </w:tc>
        <w:tc>
          <w:tcPr>
            <w:tcBorders>
              <w:top w:color="000000" w:space="0" w:sz="12" w:val="single"/>
              <w:left w:color="000000" w:space="0" w:sz="12" w:val="single"/>
              <w:bottom w:color="000000" w:space="0" w:sz="2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F">
            <w:pPr>
              <w:pStyle w:val="Heading2"/>
              <w:pageBreakBefore w:val="0"/>
              <w:rPr>
                <w:rFonts w:ascii="IBM Plex Sans" w:cs="IBM Plex Sans" w:eastAsia="IBM Plex Sans" w:hAnsi="IBM Plex Sans"/>
              </w:rPr>
            </w:pPr>
            <w:bookmarkStart w:colFirst="0" w:colLast="0" w:name="_99rbzexhxp86" w:id="19"/>
            <w:bookmarkEnd w:id="19"/>
            <w:r w:rsidDel="00000000" w:rsidR="00000000" w:rsidRPr="00000000">
              <w:rPr>
                <w:rFonts w:ascii="IBM Plex Sans" w:cs="IBM Plex Sans" w:eastAsia="IBM Plex Sans" w:hAnsi="IBM Plex Sans"/>
                <w:rtl w:val="0"/>
              </w:rPr>
              <w:t xml:space="preserve">MONITORING</w:t>
            </w:r>
          </w:p>
          <w:p w:rsidR="00000000" w:rsidDel="00000000" w:rsidP="00000000" w:rsidRDefault="00000000" w:rsidRPr="00000000" w14:paraId="00000020">
            <w:pPr>
              <w:pStyle w:val="Heading3"/>
              <w:pageBreakBefore w:val="0"/>
              <w:spacing w:after="200" w:lineRule="auto"/>
              <w:rPr>
                <w:rFonts w:ascii="IBM Plex Sans" w:cs="IBM Plex Sans" w:eastAsia="IBM Plex Sans" w:hAnsi="IBM Plex Sans"/>
                <w:color w:val="999999"/>
                <w:sz w:val="14"/>
                <w:szCs w:val="14"/>
              </w:rPr>
            </w:pPr>
            <w:bookmarkStart w:colFirst="0" w:colLast="0" w:name="_yrsc8mhn4oky" w:id="20"/>
            <w:bookmarkEnd w:id="20"/>
            <w:r w:rsidDel="00000000" w:rsidR="00000000" w:rsidRPr="00000000">
              <w:rPr>
                <w:rFonts w:ascii="IBM Plex Sans" w:cs="IBM Plex Sans" w:eastAsia="IBM Plex Sans" w:hAnsi="IBM Plex Sans"/>
                <w:color w:val="999999"/>
                <w:sz w:val="14"/>
                <w:szCs w:val="14"/>
                <w:rtl w:val="0"/>
              </w:rPr>
              <w:t xml:space="preserve">Which metrics and KPIs are used to track the ML solution’s impact once deployed, both for end-users and for the business?</w:t>
              <w:br w:type="textWrapping"/>
              <w:t xml:space="preserve">How often should they be reviewed?</w:t>
            </w:r>
          </w:p>
        </w:tc>
        <w:tc>
          <w:tcPr>
            <w:tcBorders>
              <w:top w:color="000000" w:space="0" w:sz="12" w:val="single"/>
              <w:left w:color="000000" w:space="0" w:sz="0" w:val="nil"/>
              <w:bottom w:color="000000" w:space="0" w:sz="2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1">
            <w:pPr>
              <w:pageBreakBefore w:val="0"/>
              <w:spacing w:after="200" w:lineRule="auto"/>
              <w:jc w:val="left"/>
              <w:rPr>
                <w:rFonts w:ascii="IBM Plex Sans" w:cs="IBM Plex Sans" w:eastAsia="IBM Plex Sans" w:hAnsi="IBM Plex Sans"/>
                <w:color w:val="020094"/>
                <w:sz w:val="26"/>
                <w:szCs w:val="26"/>
              </w:rPr>
            </w:pPr>
            <w:r w:rsidDel="00000000" w:rsidR="00000000" w:rsidRPr="00000000">
              <w:rPr>
                <w:rtl w:val="0"/>
              </w:rPr>
            </w:r>
          </w:p>
          <w:p>
            <w:pPr>
              <w:spacing w:before="560" w:after="15" w:line="140" w:lineRule="exact"/>
              <w:jc w:val="left"/>
            </w:pPr>
            <w:r>
              <w:rPr>
                <w:rFonts w:ascii="IBM Plex Sans" w:cs="IBM Plex Sans" w:eastAsia="IBM Plex Sans" w:hAnsi="IBM Plex Sans"/>
                <w:b w:val="1"/>
                <w:bCs w:val="1"/>
                <w:color w:val="020094"/>
                <w:sz w:val="12"/>
                <w:szCs w:val="12"/>
              </w:rPr>
              <w:t xml:space="preserve">Modelo (semanal)</w:t>
            </w:r>
            <w:r>
              <w:rPr>
                <w:rFonts w:ascii="IBM Plex Sans" w:cs="IBM Plex Sans" w:eastAsia="IBM Plex Sans" w:hAnsi="IBM Plex Sans"/>
                <w:color w:val="020094"/>
                <w:sz w:val="12"/>
                <w:szCs w:val="12"/>
              </w:rPr>
              <w:t xml:space="preserve">: WAPE por zona (P1), recall y precisión de riesgo (P2) contra lo observado; drift de datos (PSI de volumen y perfil horario); altas y bajas de estaciones; Jaccard de clusters cada trimestre. Reentrenar si se degradan más de 15%.</w:t>
            </w:r>
          </w:p>
        </w:tc>
        <w:tc>
          <w:tcPr>
            <w:tcBorders>
              <w:top w:color="000000" w:space="0" w:sz="12" w:val="single"/>
              <w:left w:color="000000" w:space="0" w:sz="0" w:val="nil"/>
              <w:bottom w:color="000000" w:space="0" w:sz="24"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2">
            <w:pPr>
              <w:pageBreakBefore w:val="0"/>
              <w:spacing w:after="200" w:lineRule="auto"/>
              <w:jc w:val="left"/>
              <w:rPr>
                <w:rFonts w:ascii="IBM Plex Sans" w:cs="IBM Plex Sans" w:eastAsia="IBM Plex Sans" w:hAnsi="IBM Plex Sans"/>
                <w:color w:val="020094"/>
                <w:sz w:val="26"/>
                <w:szCs w:val="2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1314450</wp:posOffset>
                  </wp:positionH>
                  <wp:positionV relativeFrom="paragraph">
                    <wp:posOffset>0</wp:posOffset>
                  </wp:positionV>
                  <wp:extent cx="324000" cy="324000"/>
                  <wp:effectExtent b="0" l="0" r="0" t="0"/>
                  <wp:wrapSquare wrapText="bothSides" distB="0" distT="0" distL="0" distR="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24000" cy="324000"/>
                          </a:xfrm>
                          <a:prstGeom prst="rect"/>
                          <a:ln/>
                        </pic:spPr>
                      </pic:pic>
                    </a:graphicData>
                  </a:graphic>
                </wp:anchor>
              </w:drawing>
            </w:r>
          </w:p>
          <w:p>
            <w:pPr>
              <w:spacing w:before="560" w:after="15" w:line="140" w:lineRule="exact"/>
              <w:jc w:val="left"/>
            </w:pPr>
            <w:r>
              <w:rPr>
                <w:rFonts w:ascii="IBM Plex Sans" w:cs="IBM Plex Sans" w:eastAsia="IBM Plex Sans" w:hAnsi="IBM Plex Sans"/>
                <w:b w:val="1"/>
                <w:bCs w:val="1"/>
                <w:color w:val="020094"/>
                <w:sz w:val="12"/>
                <w:szCs w:val="12"/>
              </w:rPr>
              <w:t xml:space="preserve">Negocio (mensual)</w:t>
            </w:r>
            <w:r>
              <w:rPr>
                <w:rFonts w:ascii="IBM Plex Sans" w:cs="IBM Plex Sans" w:eastAsia="IBM Plex Sans" w:hAnsi="IBM Plex Sans"/>
                <w:color w:val="020094"/>
                <w:sz w:val="12"/>
                <w:szCs w:val="12"/>
              </w:rPr>
              <w:t xml:space="preserve">: % de horas‑estación vacías o llenas, viajes perdidos estimados, km de rebalanceo por bicicleta reubicada, viajes por bicicleta al día.</w:t>
            </w:r>
          </w:p>
        </w:tc>
        <w:tc>
          <w:tcPr>
            <w:tcBorders>
              <w:top w:color="000000" w:space="0" w:sz="0" w:val="nil"/>
              <w:left w:color="000000" w:space="0" w:sz="12" w:val="single"/>
              <w:bottom w:color="000000" w:space="0" w:sz="24" w:val="single"/>
              <w:righ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3">
            <w:pPr>
              <w:pageBreakBefore w:val="0"/>
              <w:spacing w:after="200" w:lineRule="auto"/>
              <w:jc w:val="left"/>
              <w:rPr>
                <w:rFonts w:ascii="IBM Plex Sans" w:cs="IBM Plex Sans" w:eastAsia="IBM Plex Sans" w:hAnsi="IBM Plex Sans"/>
                <w:sz w:val="14"/>
                <w:szCs w:val="14"/>
              </w:rPr>
            </w:pPr>
            <w:r w:rsidDel="00000000" w:rsidR="00000000" w:rsidRPr="00000000">
              <w:rPr>
                <w:rtl w:val="0"/>
              </w:rPr>
            </w:r>
          </w:p>
        </w:tc>
      </w:tr>
    </w:tbl>
    <w:p w:rsidR="00000000" w:rsidDel="00000000" w:rsidP="00000000" w:rsidRDefault="00000000" w:rsidRPr="00000000" w14:paraId="00000024">
      <w:pPr>
        <w:pageBreakBefore w:val="0"/>
        <w:jc w:val="left"/>
        <w:rPr>
          <w:rFonts w:ascii="IBM Plex Sans" w:cs="IBM Plex Sans" w:eastAsia="IBM Plex Sans" w:hAnsi="IBM Plex Sans"/>
          <w:sz w:val="2"/>
          <w:szCs w:val="2"/>
        </w:rPr>
      </w:pPr>
      <w:r w:rsidDel="00000000" w:rsidR="00000000" w:rsidRPr="00000000">
        <w:rPr>
          <w:rtl w:val="0"/>
        </w:rPr>
      </w:r>
    </w:p>
    <w:tbl>
      <w:tblPr>
        <w:tblStyle w:val="Table2"/>
        <w:tblW w:w="14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9720"/>
        <w:gridCol w:w="2685"/>
        <w:tblGridChange w:id="0">
          <w:tblGrid>
            <w:gridCol w:w="2010"/>
            <w:gridCol w:w="9720"/>
            <w:gridCol w:w="26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spacing w:before="60" w:line="300" w:lineRule="auto"/>
              <w:jc w:val="left"/>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1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1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1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spacing w:line="300" w:lineRule="auto"/>
              <w:jc w:val="left"/>
              <w:rPr>
                <w:rFonts w:ascii="IBM Plex Sans" w:cs="IBM Plex Sans" w:eastAsia="IBM Plex Sans" w:hAnsi="IBM Plex Sans"/>
                <w:sz w:val="14"/>
                <w:szCs w:val="14"/>
              </w:rPr>
            </w:pPr>
            <w:r w:rsidDel="00000000" w:rsidR="00000000" w:rsidRPr="00000000">
              <w:rPr>
                <w:rFonts w:ascii="IBM Plex Sans" w:cs="IBM Plex Sans" w:eastAsia="IBM Plex Sans" w:hAnsi="IBM Plex Sans"/>
                <w:sz w:val="14"/>
                <w:szCs w:val="14"/>
                <w:rtl w:val="0"/>
              </w:rPr>
              <w:t xml:space="preserve">Version 1.2. Created by Louis Dorard, Ph.D. Licensed under a </w:t>
            </w:r>
            <w:hyperlink r:id="rId21">
              <w:r w:rsidDel="00000000" w:rsidR="00000000" w:rsidRPr="00000000">
                <w:rPr>
                  <w:rFonts w:ascii="IBM Plex Sans" w:cs="IBM Plex Sans" w:eastAsia="IBM Plex Sans" w:hAnsi="IBM Plex Sans"/>
                  <w:sz w:val="14"/>
                  <w:szCs w:val="14"/>
                  <w:u w:val="single"/>
                  <w:rtl w:val="0"/>
                </w:rPr>
                <w:t xml:space="preserve">Creative Commons Attribution-ShareAlike 4.0 International License</w:t>
              </w:r>
            </w:hyperlink>
            <w:r w:rsidDel="00000000" w:rsidR="00000000" w:rsidRPr="00000000">
              <w:rPr>
                <w:rFonts w:ascii="IBM Plex Sans" w:cs="IBM Plex Sans" w:eastAsia="IBM Plex Sans" w:hAnsi="IBM Plex Sans"/>
                <w:sz w:val="14"/>
                <w:szCs w:val="14"/>
                <w:rtl w:val="0"/>
              </w:rPr>
              <w:t xml:space="preserve">.</w:t>
              <w:br w:type="textWrapping"/>
              <w:t xml:space="preserve">Please keep this mention and the link to </w:t>
            </w:r>
            <w:hyperlink r:id="rId22">
              <w:r w:rsidDel="00000000" w:rsidR="00000000" w:rsidRPr="00000000">
                <w:rPr>
                  <w:rFonts w:ascii="IBM Plex Sans" w:cs="IBM Plex Sans" w:eastAsia="IBM Plex Sans" w:hAnsi="IBM Plex Sans"/>
                  <w:sz w:val="14"/>
                  <w:szCs w:val="14"/>
                  <w:u w:val="single"/>
                  <w:rtl w:val="0"/>
                </w:rPr>
                <w:t xml:space="preserve">ownml.co</w:t>
              </w:r>
            </w:hyperlink>
            <w:r w:rsidDel="00000000" w:rsidR="00000000" w:rsidRPr="00000000">
              <w:rPr>
                <w:rFonts w:ascii="IBM Plex Sans" w:cs="IBM Plex Sans" w:eastAsia="IBM Plex Sans" w:hAnsi="IBM Plex Sans"/>
                <w:sz w:val="14"/>
                <w:szCs w:val="14"/>
                <w:rtl w:val="0"/>
              </w:rPr>
              <w:t xml:space="preserve"> when sharing.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spacing w:before="60" w:line="300" w:lineRule="auto"/>
              <w:jc w:val="right"/>
              <w:rPr>
                <w:rFonts w:ascii="IBM Plex Sans" w:cs="IBM Plex Sans" w:eastAsia="IBM Plex Sans" w:hAnsi="IBM Plex Sans"/>
                <w:color w:val="a35a00"/>
                <w:sz w:val="22"/>
                <w:szCs w:val="22"/>
              </w:rPr>
            </w:pPr>
            <w:r w:rsidDel="00000000" w:rsidR="00000000" w:rsidRPr="00000000">
              <w:rPr>
                <w:rFonts w:ascii="IBM Plex Sans" w:cs="IBM Plex Sans" w:eastAsia="IBM Plex Sans" w:hAnsi="IBM Plex Sans"/>
                <w:rtl w:val="0"/>
              </w:rPr>
              <w:t xml:space="preserve"> </w:t>
            </w:r>
            <w:hyperlink r:id="rId23">
              <w:r w:rsidDel="00000000" w:rsidR="00000000" w:rsidRPr="00000000">
                <w:rPr>
                  <w:rFonts w:ascii="IBM Plex Sans" w:cs="IBM Plex Sans" w:eastAsia="IBM Plex Sans" w:hAnsi="IBM Plex Sans"/>
                  <w:b w:val="1"/>
                  <w:bCs w:val="1"/>
                  <w:color w:val="a35a00"/>
                  <w:sz w:val="30"/>
                  <w:szCs w:val="30"/>
                  <w:u w:val="single"/>
                  <w:rtl w:val="0"/>
                </w:rPr>
                <w:t xml:space="preserve">OWNML.CO</w:t>
              </w:r>
            </w:hyperlink>
            <w:r w:rsidDel="00000000" w:rsidR="00000000" w:rsidRPr="00000000">
              <w:rPr>
                <w:rtl w:val="0"/>
              </w:rPr>
            </w:r>
          </w:p>
        </w:tc>
      </w:tr>
    </w:tbl>
    <w:p>
      <w:pPr>
        <w:pageBreakBefore/>
        <w:spacing w:before="500" w:after="80" w:line="216" w:lineRule="auto"/>
        <w:jc w:val="left"/>
      </w:pPr>
      <w:r>
        <w:rPr>
          <w:rFonts w:ascii="IBM Plex Sans" w:cs="IBM Plex Sans" w:eastAsia="IBM Plex Sans" w:hAnsi="IBM Plex Sans"/>
          <w:color w:val="000000"/>
          <w:sz w:val="30"/>
          <w:szCs w:val="30"/>
        </w:rPr>
        <w:t xml:space="preserve">PLANTEAMIENTO DE LAS PREGUNTAS DEL PROYECTO</w:t>
      </w:r>
    </w:p>
    <w:p>
      <w:pPr>
        <w:spacing w:before="0" w:after="160" w:line="216" w:lineRule="auto"/>
        <w:jc w:val="left"/>
      </w:pPr>
      <w:r>
        <w:rPr>
          <w:rFonts w:ascii="IBM Plex Sans" w:cs="IBM Plex Sans" w:eastAsia="IBM Plex Sans" w:hAnsi="IBM Plex Sans"/>
          <w:color w:val="333333"/>
          <w:sz w:val="18"/>
          <w:szCs w:val="18"/>
        </w:rPr>
        <w:t xml:space="preserve">Ventana de datos: enero 2022 a septiembre 2026. Se excluyen 2014 a 2021 porque la pandemia de COVID‑19 modificó de forma persistente los horarios, el trabajo en casa y los motivos de viaje; el objetivo es modelar el comportamiento post pandemia, que es el que enfrenta hoy la operación. La partición es temporal (nunca aleatoria): entrenamiento hasta jun 2025, validación jul a dic 2025 y prueba ene a sep 2026.</w:t>
      </w:r>
    </w:p>
    <w:tbl>
      <w:tblPr>
        <w:tblW w:w="14400" w:type="dxa"/>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1500"/>
        <w:gridCol w:w="4300"/>
        <w:gridCol w:w="4300"/>
        <w:gridCol w:w="4300"/>
      </w:tblGrid>
      <w:tr>
        <w:tc>
          <w:tcPr>
            <w:tcW w:w="1500" w:type="dxa"/>
            <w:shd w:val="clear" w:color="auto" w:fill="E8E8F4"/>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b w:val="1"/>
                <w:bCs w:val="1"/>
                <w:color w:val="000000"/>
                <w:sz w:val="17"/>
                <w:szCs w:val="17"/>
              </w:rPr>
              <w:t xml:space="preserve">Pregunta</w:t>
            </w:r>
            <w:r>
              <w:rPr>
                <w:rFonts w:ascii="IBM Plex Sans" w:cs="IBM Plex Sans" w:eastAsia="IBM Plex Sans" w:hAnsi="IBM Plex Sans"/>
                <w:color w:val="000000"/>
                <w:sz w:val="17"/>
                <w:szCs w:val="17"/>
              </w:rPr>
              <w:t xml:space="preserve"/>
            </w:r>
          </w:p>
        </w:tc>
        <w:tc>
          <w:tcPr>
            <w:tcW w:w="4300" w:type="dxa"/>
            <w:shd w:val="clear" w:color="auto" w:fill="E8E8F4"/>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b w:val="1"/>
                <w:bCs w:val="1"/>
                <w:color w:val="000000"/>
                <w:sz w:val="17"/>
                <w:szCs w:val="17"/>
              </w:rPr>
              <w:t xml:space="preserve">1) Qué se predice o agrupa, granularidad y horizonte</w:t>
            </w:r>
            <w:r>
              <w:rPr>
                <w:rFonts w:ascii="IBM Plex Sans" w:cs="IBM Plex Sans" w:eastAsia="IBM Plex Sans" w:hAnsi="IBM Plex Sans"/>
                <w:color w:val="000000"/>
                <w:sz w:val="17"/>
                <w:szCs w:val="17"/>
              </w:rPr>
              <w:t xml:space="preserve"/>
            </w:r>
          </w:p>
        </w:tc>
        <w:tc>
          <w:tcPr>
            <w:tcW w:w="4300" w:type="dxa"/>
            <w:shd w:val="clear" w:color="auto" w:fill="E8E8F4"/>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b w:val="1"/>
                <w:bCs w:val="1"/>
                <w:color w:val="000000"/>
                <w:sz w:val="17"/>
                <w:szCs w:val="17"/>
              </w:rPr>
              <w:t xml:space="preserve">2) Por qué es relevante para la operación de MiBici</w:t>
            </w:r>
            <w:r>
              <w:rPr>
                <w:rFonts w:ascii="IBM Plex Sans" w:cs="IBM Plex Sans" w:eastAsia="IBM Plex Sans" w:hAnsi="IBM Plex Sans"/>
                <w:color w:val="000000"/>
                <w:sz w:val="17"/>
                <w:szCs w:val="17"/>
              </w:rPr>
              <w:t xml:space="preserve"/>
            </w:r>
          </w:p>
        </w:tc>
        <w:tc>
          <w:tcPr>
            <w:tcW w:w="4300" w:type="dxa"/>
            <w:shd w:val="clear" w:color="auto" w:fill="E8E8F4"/>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b w:val="1"/>
                <w:bCs w:val="1"/>
                <w:color w:val="000000"/>
                <w:sz w:val="17"/>
                <w:szCs w:val="17"/>
              </w:rPr>
              <w:t xml:space="preserve">3) Quién usa el resultado y qué decisión toma</w:t>
            </w:r>
            <w:r>
              <w:rPr>
                <w:rFonts w:ascii="IBM Plex Sans" w:cs="IBM Plex Sans" w:eastAsia="IBM Plex Sans" w:hAnsi="IBM Plex Sans"/>
                <w:color w:val="000000"/>
                <w:sz w:val="17"/>
                <w:szCs w:val="17"/>
              </w:rPr>
              <w:t xml:space="preserve"/>
            </w:r>
          </w:p>
        </w:tc>
      </w:tr>
      <w:tr>
        <w:tc>
          <w:tcPr>
            <w:tcW w:w="1500" w:type="dxa"/>
            <w:shd w:val="clear" w:color="auto" w:fill="F4F4F4"/>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b w:val="1"/>
                <w:bCs w:val="1"/>
                <w:color w:val="000000"/>
                <w:sz w:val="17"/>
                <w:szCs w:val="17"/>
              </w:rPr>
              <w:t xml:space="preserve">P1</w:t>
            </w:r>
            <w:r>
              <w:rPr>
                <w:rFonts w:ascii="IBM Plex Sans" w:cs="IBM Plex Sans" w:eastAsia="IBM Plex Sans" w:hAnsi="IBM Plex Sans"/>
                <w:color w:val="000000"/>
                <w:sz w:val="17"/>
                <w:szCs w:val="17"/>
              </w:rPr>
              <w:t xml:space="preserve"> Demanda de viajes (regresión)</w:t>
            </w:r>
          </w:p>
        </w:tc>
        <w:tc>
          <w:tcPr>
            <w:tcW w:w="4300" w:type="dxa"/>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color w:val="222222"/>
                <w:sz w:val="17"/>
                <w:szCs w:val="17"/>
              </w:rPr>
              <w:t xml:space="preserve">Número de viajes iniciados por estación en cada hora del día siguiente (horizonte 24 h), agregable a zona (hexágono H3) y a total diario. Regresión sobre conteos con objetivo Poisson o Tweedie; baseline: misma hora de la semana anterior. Limitación: lo observado es la demanda censurada por las bicicletas disponibles, no la demanda real.</w:t>
            </w:r>
          </w:p>
        </w:tc>
        <w:tc>
          <w:tcPr>
            <w:tcW w:w="4300" w:type="dxa"/>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color w:val="222222"/>
                <w:sz w:val="17"/>
                <w:szCs w:val="17"/>
              </w:rPr>
              <w:t xml:space="preserve">La demanda varía mucho por hora, día y zona. Conocerla con un día de anticipación permite dimensionar flota y personal en lugar de reaccionar cuando ya hay estaciones sin servicio. Además alimenta P2 con las salidas esperadas.</w:t>
            </w:r>
          </w:p>
        </w:tc>
        <w:tc>
          <w:tcPr>
            <w:tcW w:w="4300" w:type="dxa"/>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color w:val="222222"/>
                <w:sz w:val="17"/>
                <w:szCs w:val="17"/>
              </w:rPr>
              <w:t xml:space="preserve">Operador del sistema. Decide cuántas bicicletas operativas asignar a cada zona, en qué horas programar mantenimiento (las de menor demanda) y dónde conviene reforzar la capacidad.</w:t>
            </w:r>
          </w:p>
        </w:tc>
      </w:tr>
      <w:tr>
        <w:tc>
          <w:tcPr>
            <w:tcW w:w="1500" w:type="dxa"/>
            <w:shd w:val="clear" w:color="auto" w:fill="F4F4F4"/>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b w:val="1"/>
                <w:bCs w:val="1"/>
                <w:color w:val="000000"/>
                <w:sz w:val="17"/>
                <w:szCs w:val="17"/>
              </w:rPr>
              <w:t xml:space="preserve">P2</w:t>
            </w:r>
            <w:r>
              <w:rPr>
                <w:rFonts w:ascii="IBM Plex Sans" w:cs="IBM Plex Sans" w:eastAsia="IBM Plex Sans" w:hAnsi="IBM Plex Sans"/>
                <w:color w:val="000000"/>
                <w:sz w:val="17"/>
                <w:szCs w:val="17"/>
              </w:rPr>
              <w:t xml:space="preserve"> Riesgo de vaciado o saturación (clasificación)</w:t>
            </w:r>
          </w:p>
        </w:tc>
        <w:tc>
          <w:tcPr>
            <w:tcW w:w="4300" w:type="dxa"/>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color w:val="222222"/>
                <w:sz w:val="17"/>
                <w:szCs w:val="17"/>
              </w:rPr>
              <w:t xml:space="preserve">Para cada estación y bloque de 1 h del día siguiente, la clase {normal, riesgo de vaciado, riesgo de saturación} con su probabilidad. Como los datos no traen inventario, la etiqueta combina el flujo neto horario (llegadas menos salidas) relativo a la capacidad (≤ −50% vaciado, ≥ +50% saturación, umbral calibrado con la distribución observada) con huellas de censura: horas de alta demanda histórica sin salidas, o salidas que solo ocurren justo después de una llegada. Baseline: alertar cuando las salidas de la hora superan el tercer cuartil propio de la estación.</w:t>
            </w:r>
          </w:p>
        </w:tc>
        <w:tc>
          <w:tcPr>
            <w:tcW w:w="4300" w:type="dxa"/>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color w:val="222222"/>
                <w:sz w:val="17"/>
                <w:szCs w:val="17"/>
              </w:rPr>
              <w:t xml:space="preserve">Una estación sin bicicletas o sin anclajes es un viaje perdido y la falla más visible del servicio. Anticiparla convierte el rebalanceo de reactivo a planeado y reduce kilómetros y visitas innecesarias de camión.</w:t>
            </w:r>
          </w:p>
        </w:tc>
        <w:tc>
          <w:tcPr>
            <w:tcW w:w="4300" w:type="dxa"/>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color w:val="222222"/>
                <w:sz w:val="17"/>
                <w:szCs w:val="17"/>
              </w:rPr>
              <w:t xml:space="preserve">Equipo de rebalanceo. Con la lista ordenada por riesgo y hora define rutas y turnos: qué estaciones visitar, en qué orden y si debe llevar o retirar bicicletas, dentro de su capacidad diaria de visitas.</w:t>
            </w:r>
          </w:p>
        </w:tc>
      </w:tr>
      <w:tr>
        <w:tc>
          <w:tcPr>
            <w:tcW w:w="1500" w:type="dxa"/>
            <w:shd w:val="clear" w:color="auto" w:fill="F4F4F4"/>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b w:val="1"/>
                <w:bCs w:val="1"/>
                <w:color w:val="000000"/>
                <w:sz w:val="17"/>
                <w:szCs w:val="17"/>
              </w:rPr>
              <w:t xml:space="preserve">P3</w:t>
            </w:r>
            <w:r>
              <w:rPr>
                <w:rFonts w:ascii="IBM Plex Sans" w:cs="IBM Plex Sans" w:eastAsia="IBM Plex Sans" w:hAnsi="IBM Plex Sans"/>
                <w:color w:val="000000"/>
                <w:sz w:val="17"/>
                <w:szCs w:val="17"/>
              </w:rPr>
              <w:t xml:space="preserve"> Tipologías de estaciones (clustering)</w:t>
            </w:r>
          </w:p>
        </w:tc>
        <w:tc>
          <w:tcPr>
            <w:tcW w:w="4300" w:type="dxa"/>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color w:val="222222"/>
                <w:sz w:val="17"/>
                <w:szCs w:val="17"/>
              </w:rPr>
              <w:t xml:space="preserve">Grupos de estaciones según su perfil de uso promedio 2022 a 2026: curvas horarias de salidas y llegadas en día hábil y fin de semana, balance llegadas / salidas, duración típica y proporción de viajes circulares. Granularidad: estación. Sin horizonte (análisis descriptivo que se recalcula cada trimestre); los grupos se proyectan en el mapa con latitud y longitud.</w:t>
            </w:r>
          </w:p>
        </w:tc>
        <w:tc>
          <w:tcPr>
            <w:tcW w:w="4300" w:type="dxa"/>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color w:val="222222"/>
                <w:sz w:val="17"/>
                <w:szCs w:val="17"/>
              </w:rPr>
              <w:t xml:space="preserve">Revela tipologías (residencial de salida matutina, laboral de llegada matutina, mixta, recreativa) y cómo se distribuyen en la ciudad. Explica los desbalances que atiende P2 y aporta una variable a P1 y P2.</w:t>
            </w:r>
          </w:p>
        </w:tc>
        <w:tc>
          <w:tcPr>
            <w:tcW w:w="4300" w:type="dxa"/>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color w:val="222222"/>
                <w:sz w:val="17"/>
                <w:szCs w:val="17"/>
              </w:rPr>
              <w:t xml:space="preserve">Planeación urbana y expansión del sistema. Decide dónde abrir estaciones nuevas (zonas sin cobertura con perfil similar a grupos de alta demanda), qué capacidad asignarles y dónde priorizar infraestructura ciclista.</w:t>
            </w:r>
          </w:p>
        </w:tc>
      </w:tr>
    </w:tbl>
    <w:p>
      <w:pPr>
        <w:spacing w:before="120" w:after="15" w:line="216" w:lineRule="auto"/>
        <w:jc w:val="left"/>
      </w:pPr>
      <w:r>
        <w:rPr>
          <w:rFonts w:ascii="IBM Plex Sans" w:cs="IBM Plex Sans" w:eastAsia="IBM Plex Sans" w:hAnsi="IBM Plex Sans"/>
          <w:color w:val="666666"/>
          <w:sz w:val="15"/>
          <w:szCs w:val="15"/>
        </w:rPr>
        <w:t xml:space="preserve">Nota: la etiqueta de P2 es un proxy derivado de los viajes. Si MiBici publica disponibilidad en tiempo real (GBFS), se usará para validarla y recalibrar el umbral.</w:t>
      </w:r>
    </w:p>
    <w:p>
      <w:pPr>
        <w:pageBreakBefore/>
        <w:spacing w:before="300" w:after="80" w:line="216" w:lineRule="auto"/>
        <w:jc w:val="left"/>
      </w:pPr>
      <w:r>
        <w:rPr>
          <w:rFonts w:ascii="IBM Plex Sans" w:cs="IBM Plex Sans" w:eastAsia="IBM Plex Sans" w:hAnsi="IBM Plex Sans"/>
          <w:color w:val="000000"/>
          <w:sz w:val="30"/>
          <w:szCs w:val="30"/>
        </w:rPr>
        <w:t xml:space="preserve">CRITERIOS DE APROBACIÓN Y SU JUSTIFICACIÓN</w:t>
      </w:r>
    </w:p>
    <w:p>
      <w:pPr>
        <w:spacing w:before="0" w:after="160" w:line="216" w:lineRule="auto"/>
        <w:jc w:val="left"/>
      </w:pPr>
      <w:r>
        <w:rPr>
          <w:rFonts w:ascii="IBM Plex Sans" w:cs="IBM Plex Sans" w:eastAsia="IBM Plex Sans" w:hAnsi="IBM Plex Sans"/>
          <w:color w:val="333333"/>
          <w:sz w:val="18"/>
          <w:szCs w:val="18"/>
        </w:rPr>
        <w:t xml:space="preserve">Todos los criterios se evalúan en el periodo de prueba (ene a sep 2026) contra un baseline simple. Ningún umbral es un porcentaje fijo: cada uno se deriva de un límite estadístico, de los costos de operación o de referencias publicadas.</w:t>
      </w:r>
    </w:p>
    <w:tbl>
      <w:tblPr>
        <w:tblW w:w="14400" w:type="dxa"/>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1500"/>
        <w:gridCol w:w="5000"/>
        <w:gridCol w:w="7900"/>
      </w:tblGrid>
      <w:tr>
        <w:tc>
          <w:tcPr>
            <w:tcW w:w="1500" w:type="dxa"/>
            <w:shd w:val="clear" w:color="auto" w:fill="E8E8F4"/>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b w:val="1"/>
                <w:bCs w:val="1"/>
                <w:color w:val="000000"/>
                <w:sz w:val="17"/>
                <w:szCs w:val="17"/>
              </w:rPr>
              <w:t xml:space="preserve">Pregunta</w:t>
            </w:r>
            <w:r>
              <w:rPr>
                <w:rFonts w:ascii="IBM Plex Sans" w:cs="IBM Plex Sans" w:eastAsia="IBM Plex Sans" w:hAnsi="IBM Plex Sans"/>
                <w:color w:val="000000"/>
                <w:sz w:val="17"/>
                <w:szCs w:val="17"/>
              </w:rPr>
              <w:t xml:space="preserve"/>
            </w:r>
          </w:p>
        </w:tc>
        <w:tc>
          <w:tcPr>
            <w:tcW w:w="5000" w:type="dxa"/>
            <w:shd w:val="clear" w:color="auto" w:fill="E8E8F4"/>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b w:val="1"/>
                <w:bCs w:val="1"/>
                <w:color w:val="000000"/>
                <w:sz w:val="17"/>
                <w:szCs w:val="17"/>
              </w:rPr>
              <w:t xml:space="preserve">Criterio para desplegar</w:t>
            </w:r>
            <w:r>
              <w:rPr>
                <w:rFonts w:ascii="IBM Plex Sans" w:cs="IBM Plex Sans" w:eastAsia="IBM Plex Sans" w:hAnsi="IBM Plex Sans"/>
                <w:color w:val="000000"/>
                <w:sz w:val="17"/>
                <w:szCs w:val="17"/>
              </w:rPr>
              <w:t xml:space="preserve"/>
            </w:r>
          </w:p>
        </w:tc>
        <w:tc>
          <w:tcPr>
            <w:tcW w:w="7900" w:type="dxa"/>
            <w:shd w:val="clear" w:color="auto" w:fill="E8E8F4"/>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b w:val="1"/>
                <w:bCs w:val="1"/>
                <w:color w:val="000000"/>
                <w:sz w:val="17"/>
                <w:szCs w:val="17"/>
              </w:rPr>
              <w:t xml:space="preserve">Justificación</w:t>
            </w:r>
            <w:r>
              <w:rPr>
                <w:rFonts w:ascii="IBM Plex Sans" w:cs="IBM Plex Sans" w:eastAsia="IBM Plex Sans" w:hAnsi="IBM Plex Sans"/>
                <w:color w:val="000000"/>
                <w:sz w:val="17"/>
                <w:szCs w:val="17"/>
              </w:rPr>
              <w:t xml:space="preserve"/>
            </w:r>
          </w:p>
        </w:tc>
      </w:tr>
      <w:tr>
        <w:tc>
          <w:tcPr>
            <w:tcW w:w="1500" w:type="dxa"/>
            <w:shd w:val="clear" w:color="auto" w:fill="F4F4F4"/>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b w:val="1"/>
                <w:bCs w:val="1"/>
                <w:color w:val="000000"/>
                <w:sz w:val="17"/>
                <w:szCs w:val="17"/>
              </w:rPr>
              <w:t xml:space="preserve">P1</w:t>
            </w:r>
            <w:r>
              <w:rPr>
                <w:rFonts w:ascii="IBM Plex Sans" w:cs="IBM Plex Sans" w:eastAsia="IBM Plex Sans" w:hAnsi="IBM Plex Sans"/>
                <w:color w:val="000000"/>
                <w:sz w:val="17"/>
                <w:szCs w:val="17"/>
              </w:rPr>
              <w:t xml:space="preserve"> Regresión</w:t>
            </w:r>
          </w:p>
        </w:tc>
        <w:tc>
          <w:tcPr>
            <w:tcW w:w="5000" w:type="dxa"/>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color w:val="222222"/>
                <w:sz w:val="17"/>
                <w:szCs w:val="17"/>
              </w:rPr>
              <w:t xml:space="preserve">Cerrar al menos 50% de la brecha entre el WAPE del baseline (misma hora de la semana anterior) y el WAPE mínimo posible, evaluado por nivel de demanda (estación-hora, zona-hora, estación-día).</w:t>
            </w:r>
          </w:p>
          <w:p>
            <w:pPr>
              <w:spacing w:before="0" w:after="40" w:line="216" w:lineRule="auto"/>
              <w:jc w:val="left"/>
            </w:pPr>
            <w:r>
              <w:rPr>
                <w:rFonts w:ascii="IBM Plex Sans" w:cs="IBM Plex Sans" w:eastAsia="IBM Plex Sans" w:hAnsi="IBM Plex Sans"/>
                <w:color w:val="222222"/>
                <w:sz w:val="17"/>
                <w:szCs w:val="17"/>
              </w:rPr>
              <w:t xml:space="preserve">La mejora sobre el baseline debe ser significativa: prueba de Diebold-Mariano o intervalo bootstrap por bloques que excluya cero.</w:t>
            </w:r>
          </w:p>
        </w:tc>
        <w:tc>
          <w:tcPr>
            <w:tcW w:w="7900" w:type="dxa"/>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color w:val="222222"/>
                <w:sz w:val="17"/>
                <w:szCs w:val="17"/>
              </w:rPr>
              <w:t xml:space="preserve">Un porcentaje fijo de mejora no es comparable entre granularidades. Aunque el modelo conociera la demanda media exacta, los conteos varían de forma aleatoria (Poisson), lo que impone un error mínimo irreducible. WAPE mínimo según la media de viajes por periodo: 1 viaje, 74%; 3 viajes, 45%; 10 viajes, 25%; 30 viajes, 15%; 100 viajes, 8%.</w:t>
            </w:r>
          </w:p>
          <w:p>
            <w:pPr>
              <w:spacing w:before="0" w:after="40" w:line="216" w:lineRule="auto"/>
              <w:jc w:val="left"/>
            </w:pPr>
            <w:r>
              <w:rPr>
                <w:rFonts w:ascii="IBM Plex Sans" w:cs="IBM Plex Sans" w:eastAsia="IBM Plex Sans" w:hAnsi="IBM Plex Sans"/>
                <w:color w:val="222222"/>
                <w:sz w:val="17"/>
                <w:szCs w:val="17"/>
              </w:rPr>
              <w:t xml:space="preserve">Ejemplo: si en estación-hora (unos 3 viajes) el baseline logra 55% y el piso es 45%, solo hay 10 puntos de margen y bajar 10% ya es mucho; a nivel zona-día el margen es amplio y 10% sería poco. Medir la fracción de brecha cerrada hace comparables ambos casos. La prueba de significancia evita aprobar una mejora debida al azar del periodo de prueba.</w:t>
            </w:r>
          </w:p>
        </w:tc>
      </w:tr>
      <w:tr>
        <w:tc>
          <w:tcPr>
            <w:tcW w:w="1500" w:type="dxa"/>
            <w:shd w:val="clear" w:color="auto" w:fill="F4F4F4"/>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b w:val="1"/>
                <w:bCs w:val="1"/>
                <w:color w:val="000000"/>
                <w:sz w:val="17"/>
                <w:szCs w:val="17"/>
              </w:rPr>
              <w:t xml:space="preserve">P2</w:t>
            </w:r>
            <w:r>
              <w:rPr>
                <w:rFonts w:ascii="IBM Plex Sans" w:cs="IBM Plex Sans" w:eastAsia="IBM Plex Sans" w:hAnsi="IBM Plex Sans"/>
                <w:color w:val="000000"/>
                <w:sz w:val="17"/>
                <w:szCs w:val="17"/>
              </w:rPr>
              <w:t xml:space="preserve"> Clasificación</w:t>
            </w:r>
          </w:p>
        </w:tc>
        <w:tc>
          <w:tcPr>
            <w:tcW w:w="5000" w:type="dxa"/>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color w:val="222222"/>
                <w:sz w:val="17"/>
                <w:szCs w:val="17"/>
              </w:rPr>
              <w:t xml:space="preserve">Costo esperado del modelo menor que el de la regla baseline (alertar cuando las salidas superan el tercer cuartil propio de la estación), con intervalo bootstrap que excluya cero.</w:t>
            </w:r>
          </w:p>
          <w:p>
            <w:pPr>
              <w:spacing w:before="0" w:after="40" w:line="216" w:lineRule="auto"/>
              <w:jc w:val="left"/>
            </w:pPr>
            <w:r>
              <w:rPr>
                <w:rFonts w:ascii="IBM Plex Sans" w:cs="IBM Plex Sans" w:eastAsia="IBM Plex Sans" w:hAnsi="IBM Plex Sans"/>
                <w:color w:val="222222"/>
                <w:sz w:val="17"/>
                <w:szCs w:val="17"/>
              </w:rPr>
              <w:t xml:space="preserve">Umbral de decisión p* = 1/(1+c) sobre probabilidades calibradas.</w:t>
            </w:r>
          </w:p>
          <w:p>
            <w:pPr>
              <w:spacing w:before="0" w:after="40" w:line="216" w:lineRule="auto"/>
              <w:jc w:val="left"/>
            </w:pPr>
            <w:r>
              <w:rPr>
                <w:rFonts w:ascii="IBM Plex Sans" w:cs="IBM Plex Sans" w:eastAsia="IBM Plex Sans" w:hAnsi="IBM Plex Sans"/>
                <w:color w:val="222222"/>
                <w:sz w:val="17"/>
                <w:szCs w:val="17"/>
              </w:rPr>
              <w:t xml:space="preserve">Número de alertas por turno menor o igual a las visitas que el equipo de rebalanceo puede realizar.</w:t>
            </w:r>
          </w:p>
        </w:tc>
        <w:tc>
          <w:tcPr>
            <w:tcW w:w="7900" w:type="dxa"/>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color w:val="222222"/>
                <w:sz w:val="17"/>
                <w:szCs w:val="17"/>
              </w:rPr>
              <w:t xml:space="preserve">Recall y precisión fijos no reflejan lo que le importa a la operación. Con c = costo de un falso negativo / costo de un falso positivo y probabilidades calibradas, el umbral que minimiza el costo esperado es 1/(1+c) (teoría de decisión bayesiana).</w:t>
            </w:r>
          </w:p>
          <w:p>
            <w:pPr>
              <w:spacing w:before="0" w:after="40" w:line="216" w:lineRule="auto"/>
              <w:jc w:val="left"/>
            </w:pPr>
            <w:r>
              <w:rPr>
                <w:rFonts w:ascii="IBM Plex Sans" w:cs="IBM Plex Sans" w:eastAsia="IBM Plex Sans" w:hAnsi="IBM Plex Sans"/>
                <w:color w:val="222222"/>
                <w:sz w:val="17"/>
                <w:szCs w:val="17"/>
              </w:rPr>
              <w:t xml:space="preserve">c se estima con los datos: un falso negativo cuesta los viajes perdidos (salidas promedio de esa estación y hora durante el tiempo que estaría vacía); un falso positivo cuesta una visita de camión innecesaria. La restricción de capacidad asegura que la lista sea ejecutable. Recall, precisión y PR-AUC se reportan como diagnóstico.</w:t>
            </w:r>
          </w:p>
          <w:p>
            <w:pPr>
              <w:spacing w:before="0" w:after="40" w:line="216" w:lineRule="auto"/>
              <w:jc w:val="left"/>
            </w:pPr>
            <w:r>
              <w:rPr>
                <w:rFonts w:ascii="IBM Plex Sans" w:cs="IBM Plex Sans" w:eastAsia="IBM Plex Sans" w:hAnsi="IBM Plex Sans"/>
                <w:color w:val="222222"/>
                <w:sz w:val="17"/>
                <w:szCs w:val="17"/>
              </w:rPr>
              <w:t xml:space="preserve">La regla Q3 marca por construcción el 25% de las horas de cada estación y solo mira salidas, no el balance con llegadas; por eso es un baseline razonable, pero no una etiqueta de riesgo.</w:t>
            </w:r>
          </w:p>
        </w:tc>
      </w:tr>
      <w:tr>
        <w:tc>
          <w:tcPr>
            <w:tcW w:w="1500" w:type="dxa"/>
            <w:shd w:val="clear" w:color="auto" w:fill="F4F4F4"/>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b w:val="1"/>
                <w:bCs w:val="1"/>
                <w:color w:val="000000"/>
                <w:sz w:val="17"/>
                <w:szCs w:val="17"/>
              </w:rPr>
              <w:t xml:space="preserve">P3</w:t>
            </w:r>
            <w:r>
              <w:rPr>
                <w:rFonts w:ascii="IBM Plex Sans" w:cs="IBM Plex Sans" w:eastAsia="IBM Plex Sans" w:hAnsi="IBM Plex Sans"/>
                <w:color w:val="000000"/>
                <w:sz w:val="17"/>
                <w:szCs w:val="17"/>
              </w:rPr>
              <w:t xml:space="preserve"> Clustering</w:t>
            </w:r>
          </w:p>
        </w:tc>
        <w:tc>
          <w:tcPr>
            <w:tcW w:w="5000" w:type="dxa"/>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color w:val="222222"/>
                <w:sz w:val="17"/>
                <w:szCs w:val="17"/>
              </w:rPr>
              <w:t xml:space="preserve">Silueta promedio &gt; 0.25.</w:t>
            </w:r>
          </w:p>
          <w:p>
            <w:pPr>
              <w:spacing w:before="0" w:after="40" w:line="216" w:lineRule="auto"/>
              <w:jc w:val="left"/>
            </w:pPr>
            <w:r>
              <w:rPr>
                <w:rFonts w:ascii="IBM Plex Sans" w:cs="IBM Plex Sans" w:eastAsia="IBM Plex Sans" w:hAnsi="IBM Plex Sans"/>
                <w:color w:val="222222"/>
                <w:sz w:val="17"/>
                <w:szCs w:val="17"/>
              </w:rPr>
              <w:t xml:space="preserve">Estabilidad: Jaccard bootstrap promedio ≥ 0.75 en cada cluster.</w:t>
            </w:r>
          </w:p>
          <w:p>
            <w:pPr>
              <w:spacing w:before="0" w:after="40" w:line="216" w:lineRule="auto"/>
              <w:jc w:val="left"/>
            </w:pPr>
            <w:r>
              <w:rPr>
                <w:rFonts w:ascii="IBM Plex Sans" w:cs="IBM Plex Sans" w:eastAsia="IBM Plex Sans" w:hAnsi="IBM Plex Sans"/>
                <w:color w:val="222222"/>
                <w:sz w:val="17"/>
                <w:szCs w:val="17"/>
              </w:rPr>
              <w:t xml:space="preserve">Interpretabilidad: cada cluster debe describirse con un perfil horario y una ubicación coherentes en el mapa.</w:t>
            </w:r>
          </w:p>
        </w:tc>
        <w:tc>
          <w:tcPr>
            <w:tcW w:w="7900" w:type="dxa"/>
            <w:tcMar>
              <w:top w:w="100" w:type="dxa"/>
              <w:left w:w="100" w:type="dxa"/>
              <w:bottom w:w="100" w:type="dxa"/>
              <w:right w:w="100" w:type="dxa"/>
            </w:tcMar>
          </w:tcPr>
          <w:p>
            <w:pPr>
              <w:spacing w:before="0" w:after="40" w:line="216" w:lineRule="auto"/>
              <w:jc w:val="left"/>
            </w:pPr>
            <w:r>
              <w:rPr>
                <w:rFonts w:ascii="IBM Plex Sans" w:cs="IBM Plex Sans" w:eastAsia="IBM Plex Sans" w:hAnsi="IBM Plex Sans"/>
                <w:color w:val="222222"/>
                <w:sz w:val="17"/>
                <w:szCs w:val="17"/>
              </w:rPr>
              <w:t xml:space="preserve">Kaufman y Rousseeuw (1990): silueta de 0.26 a 0.50 indica estructura débil, de 0.51 a 0.70 razonable y &gt; 0.70 fuerte. Se exige al menos estructura débil porque los perfiles de uso varían de forma continua y no se esperan grupos totalmente separados.</w:t>
            </w:r>
          </w:p>
          <w:p>
            <w:pPr>
              <w:spacing w:before="0" w:after="40" w:line="216" w:lineRule="auto"/>
              <w:jc w:val="left"/>
            </w:pPr>
            <w:r>
              <w:rPr>
                <w:rFonts w:ascii="IBM Plex Sans" w:cs="IBM Plex Sans" w:eastAsia="IBM Plex Sans" w:hAnsi="IBM Plex Sans"/>
                <w:color w:val="222222"/>
                <w:sz w:val="17"/>
                <w:szCs w:val="17"/>
              </w:rPr>
              <w:t xml:space="preserve">Hennig (2007): con remuestreo bootstrap, un Jaccard ≥ 0.75 indica un cluster estable, de 0.60 a 0.75 un patrón con alguna incertidumbre y &lt; 0.50 un cluster que se disuelve. Un grupo inestable no sirve para planear la expansión del sistema.</w:t>
            </w:r>
          </w:p>
        </w:tc>
      </w:tr>
    </w:tbl>
    <w:p>
      <w:pPr>
        <w:spacing w:before="120" w:after="15" w:line="216" w:lineRule="auto"/>
        <w:jc w:val="left"/>
      </w:pPr>
      <w:r>
        <w:rPr>
          <w:rFonts w:ascii="IBM Plex Sans" w:cs="IBM Plex Sans" w:eastAsia="IBM Plex Sans" w:hAnsi="IBM Plex Sans"/>
          <w:color w:val="666666"/>
          <w:sz w:val="15"/>
          <w:szCs w:val="15"/>
        </w:rPr>
        <w:t xml:space="preserve">Referencias: Kaufman, L. y Rousseeuw, P. J. (1990). Finding Groups in Data. Wiley. Hennig, C. (2007). Cluster-wise assessment of cluster stability. Computational Statistics and Data Analysis, 52(1), 258-271. Diebold, F. X. y Mariano, R. S. (1995). Comparing predictive accuracy. Journal of Business and Economic Statistics, 13(3), 253-263.</w:t>
      </w:r>
    </w:p>
    <w:sectPr>
      <w:pgSz w:h="12240" w:w="15840" w:orient="landscape"/>
      <w:pgMar w:bottom="0" w:top="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Hind">
    <w:embedRegular w:fontKey="{00000000-0000-0000-0000-000000000000}" r:id="rId13" w:subsetted="0"/>
    <w:embedBold w:fontKey="{00000000-0000-0000-0000-000000000000}" r:id="rId14" w:subsetted="0"/>
  </w:font>
  <w:font w:name="IBM Plex Mon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sz w:val="24"/>
        <w:szCs w:val="24"/>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240" w:before="240" w:lineRule="auto"/>
      <w:jc w:val="left"/>
    </w:pPr>
    <w:rPr>
      <w:rFonts w:ascii="Hind" w:cs="Hind" w:eastAsia="Hind" w:hAnsi="Hind"/>
      <w:b w:val="1"/>
      <w:bCs w:val="1"/>
      <w:color w:val="020094"/>
      <w:sz w:val="32"/>
      <w:szCs w:val="32"/>
    </w:rPr>
  </w:style>
  <w:style w:type="paragraph" w:styleId="Heading2">
    <w:name w:val="heading 2"/>
    <w:basedOn w:val="Normal"/>
    <w:next w:val="Normal"/>
    <w:pPr>
      <w:spacing w:after="200" w:lineRule="auto"/>
    </w:pPr>
    <w:rPr>
      <w:b w:val="1"/>
      <w:bCs w:val="1"/>
      <w:sz w:val="18"/>
      <w:szCs w:val="18"/>
    </w:rPr>
  </w:style>
  <w:style w:type="paragraph" w:styleId="Heading3">
    <w:name w:val="heading 3"/>
    <w:basedOn w:val="Normal"/>
    <w:next w:val="Normal"/>
    <w:pPr>
      <w:spacing w:after="200" w:lineRule="auto"/>
      <w:jc w:val="left"/>
    </w:pPr>
    <w:rPr>
      <w:rFonts w:ascii="Poppins" w:cs="Poppins" w:eastAsia="Poppins" w:hAnsi="Poppins"/>
      <w:color w:val="999999"/>
      <w:sz w:val="12"/>
      <w:szCs w:val="12"/>
    </w:rPr>
  </w:style>
  <w:style w:type="paragraph" w:styleId="Heading4">
    <w:name w:val="heading 4"/>
    <w:basedOn w:val="Normal"/>
    <w:next w:val="Normal"/>
    <w:pPr>
      <w:pageBreakBefore w:val="0"/>
      <w:ind w:left="226.7716535433071"/>
      <w:jc w:val="left"/>
    </w:pPr>
    <w:rPr>
      <w:rFonts w:ascii="Hind" w:cs="Hind" w:eastAsia="Hind" w:hAnsi="Hind"/>
      <w:color w:val="666666"/>
      <w:sz w:val="16"/>
      <w:szCs w:val="16"/>
    </w:rPr>
  </w:style>
  <w:style w:type="paragraph" w:styleId="Heading5">
    <w:name w:val="heading 5"/>
    <w:basedOn w:val="Normal"/>
    <w:next w:val="Normal"/>
    <w:pPr>
      <w:pageBreakBefore w:val="0"/>
      <w:spacing w:after="255" w:before="255" w:lineRule="auto"/>
    </w:pPr>
    <w:rPr>
      <w:b w:val="1"/>
      <w:bCs w:val="1"/>
      <w:i w:val="0"/>
      <w:iCs w:val="0"/>
      <w:sz w:val="18"/>
      <w:szCs w:val="18"/>
    </w:rPr>
  </w:style>
  <w:style w:type="paragraph" w:styleId="Heading6">
    <w:name w:val="heading 6"/>
    <w:basedOn w:val="Normal"/>
    <w:next w:val="Normal"/>
    <w:pPr>
      <w:pageBreakBefore w:val="0"/>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7.png"/><Relationship Id="rId22" Type="http://schemas.openxmlformats.org/officeDocument/2006/relationships/hyperlink" Target="https://www.ownml.co/" TargetMode="External"/><Relationship Id="rId10" Type="http://schemas.openxmlformats.org/officeDocument/2006/relationships/image" Target="media/image2.png"/><Relationship Id="rId21" Type="http://schemas.openxmlformats.org/officeDocument/2006/relationships/hyperlink" Target="https://creativecommons.org/licenses/by-sa/4.0/" TargetMode="External"/><Relationship Id="rId13" Type="http://schemas.openxmlformats.org/officeDocument/2006/relationships/image" Target="media/image5.png"/><Relationship Id="rId24" Type="http://schemas.openxmlformats.org/officeDocument/2006/relationships/hyperlink" Target="https://calendar.google.com/calendar/u/0/appointments/schedules/AcZssZ01twDReOp1fMth80wKIkyE6nFz4y5c2NO7zRlU6rEBi5uUvW4v-2y58-xjuIBoo2GR10ZHKmEw" TargetMode="External"/><Relationship Id="rId12" Type="http://schemas.openxmlformats.org/officeDocument/2006/relationships/image" Target="media/image1.png"/><Relationship Id="rId23" Type="http://schemas.openxmlformats.org/officeDocument/2006/relationships/hyperlink" Target="https://www.ownml.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6.png"/><Relationship Id="rId18" Type="http://schemas.openxmlformats.org/officeDocument/2006/relationships/image" Target="media/image11.png"/><Relationship Id="rId7" Type="http://schemas.openxmlformats.org/officeDocument/2006/relationships/image" Target="media/image9.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1" Type="http://schemas.openxmlformats.org/officeDocument/2006/relationships/font" Target="fonts/Poppins-italic.ttf"/><Relationship Id="rId10" Type="http://schemas.openxmlformats.org/officeDocument/2006/relationships/font" Target="fonts/Poppins-bold.ttf"/><Relationship Id="rId13" Type="http://schemas.openxmlformats.org/officeDocument/2006/relationships/font" Target="fonts/Hind-regular.ttf"/><Relationship Id="rId12" Type="http://schemas.openxmlformats.org/officeDocument/2006/relationships/font" Target="fonts/Poppins-boldItalic.ttf"/><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9" Type="http://schemas.openxmlformats.org/officeDocument/2006/relationships/font" Target="fonts/Poppins-regular.ttf"/><Relationship Id="rId15" Type="http://schemas.openxmlformats.org/officeDocument/2006/relationships/font" Target="fonts/IBMPlexMono-regular.ttf"/><Relationship Id="rId14" Type="http://schemas.openxmlformats.org/officeDocument/2006/relationships/font" Target="fonts/Hind-bold.ttf"/><Relationship Id="rId17" Type="http://schemas.openxmlformats.org/officeDocument/2006/relationships/font" Target="fonts/IBMPlexMono-italic.ttf"/><Relationship Id="rId16" Type="http://schemas.openxmlformats.org/officeDocument/2006/relationships/font" Target="fonts/IBMPlexMono-bold.ttf"/><Relationship Id="rId5" Type="http://schemas.openxmlformats.org/officeDocument/2006/relationships/font" Target="fonts/Roboto-regular.ttf"/><Relationship Id="rId6" Type="http://schemas.openxmlformats.org/officeDocument/2006/relationships/font" Target="fonts/Roboto-bold.ttf"/><Relationship Id="rId18" Type="http://schemas.openxmlformats.org/officeDocument/2006/relationships/font" Target="fonts/IBMPlexMono-boldItalic.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