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D6EFD"/>
          <w:sz w:val="18"/>
        </w:rPr>
        <w:t>RAPPORT TECHNIQUE</w:t>
      </w:r>
    </w:p>
    <w:p>
      <w:pPr>
        <w:spacing w:after="80"/>
      </w:pPr>
      <w:r>
        <w:rPr>
          <w:rFonts w:ascii="Calibri" w:hAnsi="Calibri"/>
          <w:b/>
          <w:color w:val="163A63"/>
          <w:sz w:val="50"/>
        </w:rPr>
        <w:t>Pipeline CI/CD Django</w:t>
      </w:r>
    </w:p>
    <w:p>
      <w:pPr>
        <w:spacing w:after="240" w:line="276" w:lineRule="auto"/>
      </w:pPr>
      <w:r>
        <w:rPr>
          <w:rFonts w:ascii="Calibri" w:hAnsi="Calibri"/>
          <w:b w:val="0"/>
          <w:color w:val="667085"/>
          <w:sz w:val="24"/>
        </w:rPr>
        <w:t>Contrôle automatique de la couleur de fond et déploiement Vercel</w:t>
      </w:r>
    </w:p>
    <w:tbl>
      <w:tblPr>
        <w:tblW w:type="auto" w:w="0"/>
        <w:jc w:val="center"/>
        <w:tblLayout w:type="fixed"/>
        <w:tblLook w:firstColumn="1" w:firstRow="1" w:lastColumn="0" w:lastRow="0" w:noHBand="0" w:noVBand="1" w:val="04A0"/>
      </w:tblPr>
      <w:tblGrid>
        <w:gridCol w:w="4896"/>
        <w:gridCol w:w="4896"/>
      </w:tblGrid>
      <w:tr>
        <w:tc>
          <w:tcPr>
            <w:tcW w:type="dxa" w:w="1872"/>
            <w:vAlign w:val="center"/>
            <w:tcMar>
              <w:top w:w="100" w:type="dxa"/>
              <w:start w:w="140" w:type="dxa"/>
              <w:bottom w:w="100" w:type="dxa"/>
              <w:end w:w="140" w:type="dxa"/>
            </w:tcMar>
            <w:shd w:fill="DFF4E5"/>
          </w:tcPr>
          <w:p>
            <w:pPr>
              <w:jc w:val="center"/>
            </w:pPr>
            <w:r>
              <w:rPr>
                <w:rFonts w:ascii="Calibri" w:hAnsi="Calibri"/>
                <w:b/>
                <w:color w:val="176B35"/>
                <w:sz w:val="18"/>
              </w:rPr>
              <w:t>ÉTAT LOCAL</w:t>
            </w:r>
          </w:p>
        </w:tc>
        <w:tc>
          <w:tcPr>
            <w:tcW w:type="dxa" w:w="7200"/>
            <w:vAlign w:val="center"/>
            <w:tcMar>
              <w:top w:w="100" w:type="dxa"/>
              <w:start w:w="140" w:type="dxa"/>
              <w:bottom w:w="100" w:type="dxa"/>
              <w:end w:w="140" w:type="dxa"/>
            </w:tcMar>
            <w:shd w:fill="DFF4E5"/>
          </w:tcPr>
          <w:p>
            <w:r>
              <w:rPr>
                <w:rFonts w:ascii="Calibri" w:hAnsi="Calibri"/>
                <w:b w:val="0"/>
                <w:color w:val="1F2937"/>
                <w:sz w:val="19"/>
              </w:rPr>
              <w:t>Tests validés avec fond bleu ; échec reproduit avec fond orange.</w:t>
            </w:r>
          </w:p>
        </w:tc>
      </w:tr>
    </w:tbl>
    <w:p>
      <w:pPr>
        <w:spacing w:after="20"/>
      </w:pPr>
    </w:p>
    <w:p>
      <w:pPr>
        <w:pStyle w:val="Heading1"/>
        <w:keepNext/>
      </w:pPr>
      <w:r>
        <w:rPr>
          <w:rFonts w:ascii="Calibri" w:hAnsi="Calibri"/>
          <w:b/>
          <w:color w:val="163A63"/>
          <w:sz w:val="30"/>
        </w:rPr>
        <w:t>1. Architecture mise en place</w:t>
      </w:r>
    </w:p>
    <w:p>
      <w:pPr>
        <w:spacing w:after="100" w:line="276" w:lineRule="auto"/>
      </w:pPr>
      <w:r>
        <w:rPr>
          <w:rFonts w:ascii="Calibri" w:hAnsi="Calibri"/>
          <w:b w:val="0"/>
          <w:color w:val="1F2937"/>
          <w:sz w:val="20"/>
        </w:rPr>
        <w:t>L'application Django contient une vue unique et un template HTML minimaliste. La couleur de fond est définie sur body. Le script tests/test_background_color.py lit cette déclaration et refuse explicitement orange, #ffa500, #ff8c00 et leurs équivalents RGB.</w:t>
      </w:r>
    </w:p>
    <w:tbl>
      <w:tblPr>
        <w:tblW w:type="auto" w:w="0"/>
        <w:jc w:val="center"/>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shd w:fill="EAF2FF"/>
            <w:vAlign w:val="center"/>
          </w:tcPr>
          <w:p>
            <w:r>
              <w:rPr>
                <w:rFonts w:ascii="Calibri" w:hAnsi="Calibri"/>
                <w:b/>
                <w:color w:val="163A63"/>
                <w:sz w:val="18"/>
              </w:rPr>
              <w:t>Branche test</w:t>
            </w:r>
          </w:p>
        </w:tc>
        <w:tc>
          <w:tcPr>
            <w:tcW w:type="dxa" w:w="6840"/>
            <w:tcMar>
              <w:top w:w="100" w:type="dxa"/>
              <w:start w:w="140" w:type="dxa"/>
              <w:bottom w:w="100" w:type="dxa"/>
              <w:end w:w="140" w:type="dxa"/>
            </w:tcMar>
            <w:shd w:fill="FFFFFF"/>
            <w:vAlign w:val="center"/>
          </w:tcPr>
          <w:p>
            <w:r>
              <w:rPr>
                <w:rFonts w:ascii="Calibri" w:hAnsi="Calibri"/>
                <w:b w:val="0"/>
                <w:color w:val="1F2937"/>
                <w:sz w:val="18"/>
              </w:rPr>
              <w:t>Branche de travail et de push par défaut</w:t>
            </w:r>
          </w:p>
        </w:tc>
      </w:tr>
      <w:tr>
        <w:tc>
          <w:tcPr>
            <w:tcW w:type="dxa" w:w="2232"/>
            <w:tcMar>
              <w:top w:w="100" w:type="dxa"/>
              <w:start w:w="140" w:type="dxa"/>
              <w:bottom w:w="100" w:type="dxa"/>
              <w:end w:w="140" w:type="dxa"/>
            </w:tcMar>
            <w:shd w:fill="EAF2FF"/>
            <w:vAlign w:val="center"/>
          </w:tcPr>
          <w:p>
            <w:r>
              <w:rPr>
                <w:rFonts w:ascii="Calibri" w:hAnsi="Calibri"/>
                <w:b/>
                <w:color w:val="163A63"/>
                <w:sz w:val="18"/>
              </w:rPr>
              <w:t>Pull request</w:t>
            </w:r>
          </w:p>
        </w:tc>
        <w:tc>
          <w:tcPr>
            <w:tcW w:type="dxa" w:w="6840"/>
            <w:tcMar>
              <w:top w:w="100" w:type="dxa"/>
              <w:start w:w="140" w:type="dxa"/>
              <w:bottom w:w="100" w:type="dxa"/>
              <w:end w:w="140" w:type="dxa"/>
            </w:tcMar>
            <w:shd w:fill="FFFFFF"/>
            <w:vAlign w:val="center"/>
          </w:tcPr>
          <w:p>
            <w:r>
              <w:rPr>
                <w:rFonts w:ascii="Calibri" w:hAnsi="Calibri"/>
                <w:b w:val="0"/>
                <w:color w:val="1F2937"/>
                <w:sz w:val="18"/>
              </w:rPr>
              <w:t>test → main ; exécute le contrôle avant fusion</w:t>
            </w:r>
          </w:p>
        </w:tc>
      </w:tr>
      <w:tr>
        <w:tc>
          <w:tcPr>
            <w:tcW w:type="dxa" w:w="2232"/>
            <w:tcMar>
              <w:top w:w="100" w:type="dxa"/>
              <w:start w:w="140" w:type="dxa"/>
              <w:bottom w:w="100" w:type="dxa"/>
              <w:end w:w="140" w:type="dxa"/>
            </w:tcMar>
            <w:shd w:fill="EAF2FF"/>
            <w:vAlign w:val="center"/>
          </w:tcPr>
          <w:p>
            <w:r>
              <w:rPr>
                <w:rFonts w:ascii="Calibri" w:hAnsi="Calibri"/>
                <w:b/>
                <w:color w:val="163A63"/>
                <w:sz w:val="18"/>
              </w:rPr>
              <w:t>Branche main</w:t>
            </w:r>
          </w:p>
        </w:tc>
        <w:tc>
          <w:tcPr>
            <w:tcW w:type="dxa" w:w="6840"/>
            <w:tcMar>
              <w:top w:w="100" w:type="dxa"/>
              <w:start w:w="140" w:type="dxa"/>
              <w:bottom w:w="100" w:type="dxa"/>
              <w:end w:w="140" w:type="dxa"/>
            </w:tcMar>
            <w:shd w:fill="FFFFFF"/>
            <w:vAlign w:val="center"/>
          </w:tcPr>
          <w:p>
            <w:r>
              <w:rPr>
                <w:rFonts w:ascii="Calibri" w:hAnsi="Calibri"/>
                <w:b w:val="0"/>
                <w:color w:val="1F2937"/>
                <w:sz w:val="18"/>
              </w:rPr>
              <w:t>Production ; protégée par le statut Tests obligatoires</w:t>
            </w:r>
          </w:p>
        </w:tc>
      </w:tr>
      <w:tr>
        <w:tc>
          <w:tcPr>
            <w:tcW w:type="dxa" w:w="2232"/>
            <w:tcMar>
              <w:top w:w="100" w:type="dxa"/>
              <w:start w:w="140" w:type="dxa"/>
              <w:bottom w:w="100" w:type="dxa"/>
              <w:end w:w="140" w:type="dxa"/>
            </w:tcMar>
            <w:shd w:fill="EAF2FF"/>
            <w:vAlign w:val="center"/>
          </w:tcPr>
          <w:p>
            <w:r>
              <w:rPr>
                <w:rFonts w:ascii="Calibri" w:hAnsi="Calibri"/>
                <w:b/>
                <w:color w:val="163A63"/>
                <w:sz w:val="18"/>
              </w:rPr>
              <w:t>Vercel</w:t>
            </w:r>
          </w:p>
        </w:tc>
        <w:tc>
          <w:tcPr>
            <w:tcW w:type="dxa" w:w="6840"/>
            <w:tcMar>
              <w:top w:w="100" w:type="dxa"/>
              <w:start w:w="140" w:type="dxa"/>
              <w:bottom w:w="100" w:type="dxa"/>
              <w:end w:w="140" w:type="dxa"/>
            </w:tcMar>
            <w:shd w:fill="FFFFFF"/>
            <w:vAlign w:val="center"/>
          </w:tcPr>
          <w:p>
            <w:r>
              <w:rPr>
                <w:rFonts w:ascii="Calibri" w:hAnsi="Calibri"/>
                <w:b w:val="0"/>
                <w:color w:val="1F2937"/>
                <w:sz w:val="18"/>
              </w:rPr>
              <w:t>Déploiement automatique uniquement depuis main</w:t>
            </w:r>
          </w:p>
        </w:tc>
      </w:tr>
    </w:tbl>
    <w:p>
      <w:pPr>
        <w:pStyle w:val="Heading1"/>
        <w:keepNext/>
      </w:pPr>
      <w:r>
        <w:rPr>
          <w:rFonts w:ascii="Calibri" w:hAnsi="Calibri"/>
          <w:b/>
          <w:color w:val="163A63"/>
          <w:sz w:val="30"/>
        </w:rPr>
        <w:t>2. Paramètres GitHub indispensables</w:t>
      </w:r>
    </w:p>
    <w:p>
      <w:pPr>
        <w:spacing w:after="100" w:line="276" w:lineRule="auto"/>
      </w:pPr>
      <w:r>
        <w:rPr>
          <w:rFonts w:ascii="Calibri" w:hAnsi="Calibri"/>
          <w:b w:val="0"/>
          <w:color w:val="1F2937"/>
          <w:sz w:val="20"/>
        </w:rPr>
        <w:t>Dans Settings → Branches, protéger main avec « Require a pull request before merging » et « Require status checks to pass before merging », puis sélectionner le statut Tests obligatoires. Sans cette règle, GitHub Actions signale l'échec mais ne bloque pas strictement la fusion.</w:t>
      </w:r>
    </w:p>
    <w:p>
      <w:pPr>
        <w:spacing w:after="100" w:line="276" w:lineRule="auto"/>
      </w:pPr>
      <w:r>
        <w:rPr>
          <w:rFonts w:ascii="Calibri" w:hAnsi="Calibri"/>
          <w:b w:val="0"/>
          <w:color w:val="667085"/>
          <w:sz w:val="19"/>
        </w:rPr>
        <w:t>Le workflow est déclenché sur pull_request vers main et sur push vers main. Le premier événement bloque la fusion ; le second vérifie aussi l'état réel de la production.</w:t>
      </w:r>
    </w:p>
    <w:p>
      <w:r>
        <w:br w:type="page"/>
      </w:r>
    </w:p>
    <w:p>
      <w:pPr>
        <w:spacing w:after="40" w:line="276" w:lineRule="auto"/>
      </w:pPr>
      <w:r>
        <w:rPr>
          <w:rFonts w:ascii="Calibri" w:hAnsi="Calibri"/>
          <w:b/>
          <w:color w:val="176B35"/>
          <w:sz w:val="18"/>
        </w:rPr>
        <w:t>SCÉNARIO 1</w:t>
      </w:r>
    </w:p>
    <w:p>
      <w:pPr>
        <w:pStyle w:val="Heading1"/>
        <w:keepNext/>
      </w:pPr>
      <w:r>
        <w:rPr>
          <w:rFonts w:ascii="Calibri" w:hAnsi="Calibri"/>
          <w:b/>
          <w:color w:val="163A63"/>
          <w:sz w:val="30"/>
        </w:rPr>
        <w:t>Succès — fond bleu</w:t>
      </w:r>
    </w:p>
    <w:p>
      <w:pPr>
        <w:spacing w:after="100" w:line="276" w:lineRule="auto"/>
      </w:pPr>
      <w:r>
        <w:rPr>
          <w:rFonts w:ascii="Calibri" w:hAnsi="Calibri"/>
          <w:b w:val="0"/>
          <w:color w:val="1F2937"/>
          <w:sz w:val="20"/>
        </w:rPr>
        <w:t>1. Le template conserve background-color: #0d6efd. Le développeur pousse le commit sur test, puis ouvre une pull request vers main.</w:t>
      </w:r>
    </w:p>
    <w:tbl>
      <w:tblPr>
        <w:tblW w:type="auto" w:w="0"/>
        <w:jc w:val="center"/>
        <w:tblLayout w:type="fixed"/>
        <w:tblLook w:firstColumn="1" w:firstRow="1" w:lastColumn="0" w:lastRow="0" w:noHBand="0" w:noVBand="1" w:val="04A0"/>
      </w:tblPr>
      <w:tblGrid>
        <w:gridCol w:w="9792"/>
      </w:tblGrid>
      <w:tr>
        <w:tc>
          <w:tcPr>
            <w:tcW w:type="dxa" w:w="9072"/>
            <w:shd w:fill="F5F7FA"/>
            <w:tcMar>
              <w:top w:w="180" w:type="dxa"/>
              <w:start w:w="180" w:type="dxa"/>
              <w:bottom w:w="180" w:type="dxa"/>
              <w:end w:w="180" w:type="dxa"/>
            </w:tcMar>
          </w:tcPr>
          <w:p>
            <w:pPr>
              <w:jc w:val="center"/>
            </w:pPr>
            <w:r>
              <w:rPr>
                <w:rFonts w:ascii="Calibri" w:hAnsi="Calibri"/>
                <w:b/>
                <w:color w:val="163A63"/>
                <w:sz w:val="19"/>
              </w:rPr>
              <w:t>CAPTURE A — Push sur test + page bleue</w:t>
              <w:br/>
            </w:r>
            <w:r>
              <w:rPr>
                <w:rFonts w:ascii="Calibri" w:hAnsi="Calibri"/>
                <w:b w:val="0"/>
                <w:color w:val="667085"/>
                <w:sz w:val="17"/>
              </w:rPr>
              <w:t>Insérer le terminal montrant « git push origin test » et la page locale/preview bleue.</w:t>
              <w:br/>
              <w:br/>
            </w:r>
          </w:p>
        </w:tc>
      </w:tr>
    </w:tbl>
    <w:p>
      <w:pPr>
        <w:spacing w:after="20"/>
      </w:pPr>
    </w:p>
    <w:p>
      <w:pPr>
        <w:spacing w:after="100" w:line="276" w:lineRule="auto"/>
      </w:pPr>
      <w:r>
        <w:rPr>
          <w:rFonts w:ascii="Calibri" w:hAnsi="Calibri"/>
          <w:b w:val="0"/>
          <w:color w:val="1F2937"/>
          <w:sz w:val="20"/>
        </w:rPr>
        <w:t>2. GitHub Actions installe Python 3.12, exécute le test de couleur puis les tests Django. Les deux commandes terminent avec OK.</w:t>
      </w:r>
    </w:p>
    <w:tbl>
      <w:tblPr>
        <w:tblW w:type="auto" w:w="0"/>
        <w:jc w:val="center"/>
        <w:tblLayout w:type="fixed"/>
        <w:tblLook w:firstColumn="1" w:firstRow="1" w:lastColumn="0" w:lastRow="0" w:noHBand="0" w:noVBand="1" w:val="04A0"/>
      </w:tblPr>
      <w:tblGrid>
        <w:gridCol w:w="4896"/>
        <w:gridCol w:w="4896"/>
      </w:tblGrid>
      <w:tr>
        <w:tc>
          <w:tcPr>
            <w:tcW w:type="dxa" w:w="1872"/>
            <w:vAlign w:val="center"/>
            <w:tcMar>
              <w:top w:w="100" w:type="dxa"/>
              <w:start w:w="140" w:type="dxa"/>
              <w:bottom w:w="100" w:type="dxa"/>
              <w:end w:w="140" w:type="dxa"/>
            </w:tcMar>
            <w:shd w:fill="DFF4E5"/>
          </w:tcPr>
          <w:p>
            <w:pPr>
              <w:jc w:val="center"/>
            </w:pPr>
            <w:r>
              <w:rPr>
                <w:rFonts w:ascii="Calibri" w:hAnsi="Calibri"/>
                <w:b/>
                <w:color w:val="176B35"/>
                <w:sz w:val="18"/>
              </w:rPr>
              <w:t>SUCCÈS</w:t>
            </w:r>
          </w:p>
        </w:tc>
        <w:tc>
          <w:tcPr>
            <w:tcW w:type="dxa" w:w="7200"/>
            <w:vAlign w:val="center"/>
            <w:tcMar>
              <w:top w:w="100" w:type="dxa"/>
              <w:start w:w="140" w:type="dxa"/>
              <w:bottom w:w="100" w:type="dxa"/>
              <w:end w:w="140" w:type="dxa"/>
            </w:tcMar>
            <w:shd w:fill="DFF4E5"/>
          </w:tcPr>
          <w:p>
            <w:r>
              <w:rPr>
                <w:rFonts w:ascii="Calibri" w:hAnsi="Calibri"/>
                <w:b w:val="0"/>
                <w:color w:val="1F2937"/>
                <w:sz w:val="19"/>
              </w:rPr>
              <w:t>test_background_is_not_orange ... ok  |  test_home_page_is_available ... ok</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072"/>
            <w:shd w:fill="F5F7FA"/>
            <w:tcMar>
              <w:top w:w="180" w:type="dxa"/>
              <w:start w:w="180" w:type="dxa"/>
              <w:bottom w:w="180" w:type="dxa"/>
              <w:end w:w="180" w:type="dxa"/>
            </w:tcMar>
          </w:tcPr>
          <w:p>
            <w:pPr>
              <w:jc w:val="center"/>
            </w:pPr>
            <w:r>
              <w:rPr>
                <w:rFonts w:ascii="Calibri" w:hAnsi="Calibri"/>
                <w:b/>
                <w:color w:val="163A63"/>
                <w:sz w:val="19"/>
              </w:rPr>
              <w:t>CAPTURE B — GitHub Actions vert</w:t>
              <w:br/>
            </w:r>
            <w:r>
              <w:rPr>
                <w:rFonts w:ascii="Calibri" w:hAnsi="Calibri"/>
                <w:b w:val="0"/>
                <w:color w:val="667085"/>
                <w:sz w:val="17"/>
              </w:rPr>
              <w:t>Insérer l'onglet Checks/Actions avec le job Tests obligatoires réussi.</w:t>
              <w:br/>
              <w:br/>
            </w:r>
          </w:p>
        </w:tc>
      </w:tr>
    </w:tbl>
    <w:p>
      <w:pPr>
        <w:spacing w:after="20"/>
      </w:pPr>
    </w:p>
    <w:p>
      <w:pPr>
        <w:spacing w:after="100" w:line="276" w:lineRule="auto"/>
      </w:pPr>
      <w:r>
        <w:rPr>
          <w:rFonts w:ascii="Calibri" w:hAnsi="Calibri"/>
          <w:b w:val="0"/>
          <w:color w:val="1F2937"/>
          <w:sz w:val="20"/>
        </w:rPr>
        <w:t>3. La pull request devient fusionnable. Après merge, Vercel détecte main et publie l'application.</w:t>
      </w:r>
    </w:p>
    <w:tbl>
      <w:tblPr>
        <w:tblW w:type="auto" w:w="0"/>
        <w:jc w:val="center"/>
        <w:tblLayout w:type="fixed"/>
        <w:tblLook w:firstColumn="1" w:firstRow="1" w:lastColumn="0" w:lastRow="0" w:noHBand="0" w:noVBand="1" w:val="04A0"/>
      </w:tblPr>
      <w:tblGrid>
        <w:gridCol w:w="9792"/>
      </w:tblGrid>
      <w:tr>
        <w:tc>
          <w:tcPr>
            <w:tcW w:type="dxa" w:w="9072"/>
            <w:shd w:fill="F5F7FA"/>
            <w:tcMar>
              <w:top w:w="180" w:type="dxa"/>
              <w:start w:w="180" w:type="dxa"/>
              <w:bottom w:w="180" w:type="dxa"/>
              <w:end w:w="180" w:type="dxa"/>
            </w:tcMar>
          </w:tcPr>
          <w:p>
            <w:pPr>
              <w:jc w:val="center"/>
            </w:pPr>
            <w:r>
              <w:rPr>
                <w:rFonts w:ascii="Calibri" w:hAnsi="Calibri"/>
                <w:b/>
                <w:color w:val="163A63"/>
                <w:sz w:val="19"/>
              </w:rPr>
              <w:t>CAPTURE C — Merge + Vercel</w:t>
              <w:br/>
            </w:r>
            <w:r>
              <w:rPr>
                <w:rFonts w:ascii="Calibri" w:hAnsi="Calibri"/>
                <w:b w:val="0"/>
                <w:color w:val="667085"/>
                <w:sz w:val="17"/>
              </w:rPr>
              <w:t>Insérer la PR fusionnée, puis le site Vercel affichant le fond bleu et son URL.</w:t>
              <w:br/>
              <w:br/>
              <w:br/>
            </w:r>
          </w:p>
        </w:tc>
      </w:tr>
    </w:tbl>
    <w:p>
      <w:pPr>
        <w:spacing w:after="20"/>
      </w:pPr>
    </w:p>
    <w:p>
      <w:pPr>
        <w:spacing w:after="0" w:line="276" w:lineRule="auto"/>
      </w:pPr>
      <w:r>
        <w:rPr>
          <w:rFonts w:ascii="Calibri" w:hAnsi="Calibri"/>
          <w:b/>
          <w:color w:val="176B35"/>
          <w:sz w:val="20"/>
        </w:rPr>
        <w:t>Résultat attendu : main contient la version bleue ; le déploiement Vercel est fonctionnel.</w:t>
      </w:r>
    </w:p>
    <w:p>
      <w:r>
        <w:br w:type="page"/>
      </w:r>
    </w:p>
    <w:p>
      <w:pPr>
        <w:spacing w:after="40" w:line="276" w:lineRule="auto"/>
      </w:pPr>
      <w:r>
        <w:rPr>
          <w:rFonts w:ascii="Calibri" w:hAnsi="Calibri"/>
          <w:b/>
          <w:color w:val="A61B1B"/>
          <w:sz w:val="18"/>
        </w:rPr>
        <w:t>SCÉNARIO 2</w:t>
      </w:r>
    </w:p>
    <w:p>
      <w:pPr>
        <w:pStyle w:val="Heading1"/>
        <w:keepNext/>
      </w:pPr>
      <w:r>
        <w:rPr>
          <w:rFonts w:ascii="Calibri" w:hAnsi="Calibri"/>
          <w:b/>
          <w:color w:val="163A63"/>
          <w:sz w:val="30"/>
        </w:rPr>
        <w:t>Échec provoqué — fond orange</w:t>
      </w:r>
    </w:p>
    <w:p>
      <w:pPr>
        <w:spacing w:after="100" w:line="276" w:lineRule="auto"/>
      </w:pPr>
      <w:r>
        <w:rPr>
          <w:rFonts w:ascii="Calibri" w:hAnsi="Calibri"/>
          <w:b w:val="0"/>
          <w:color w:val="1F2937"/>
          <w:sz w:val="20"/>
        </w:rPr>
        <w:t>1. Sur test, remplacer temporairement #0d6efd par orange, committer et pousser. La pull request vers main relance automatiquement le contrôle.</w:t>
      </w:r>
    </w:p>
    <w:tbl>
      <w:tblPr>
        <w:tblW w:type="auto" w:w="0"/>
        <w:jc w:val="center"/>
        <w:tblLayout w:type="fixed"/>
        <w:tblLook w:firstColumn="1" w:firstRow="1" w:lastColumn="0" w:lastRow="0" w:noHBand="0" w:noVBand="1" w:val="04A0"/>
      </w:tblPr>
      <w:tblGrid>
        <w:gridCol w:w="9792"/>
      </w:tblGrid>
      <w:tr>
        <w:tc>
          <w:tcPr>
            <w:tcW w:type="dxa" w:w="9072"/>
            <w:shd w:fill="F5F7FA"/>
            <w:tcMar>
              <w:top w:w="180" w:type="dxa"/>
              <w:start w:w="180" w:type="dxa"/>
              <w:bottom w:w="180" w:type="dxa"/>
              <w:end w:w="180" w:type="dxa"/>
            </w:tcMar>
          </w:tcPr>
          <w:p>
            <w:pPr>
              <w:jc w:val="center"/>
            </w:pPr>
            <w:r>
              <w:rPr>
                <w:rFonts w:ascii="Calibri" w:hAnsi="Calibri"/>
                <w:b/>
                <w:color w:val="163A63"/>
                <w:sz w:val="19"/>
              </w:rPr>
              <w:t>CAPTURE D — Modification orange</w:t>
              <w:br/>
            </w:r>
            <w:r>
              <w:rPr>
                <w:rFonts w:ascii="Calibri" w:hAnsi="Calibri"/>
                <w:b w:val="0"/>
                <w:color w:val="667085"/>
                <w:sz w:val="17"/>
              </w:rPr>
              <w:t>Insérer le diff du template et la page orange sur la branche test.</w:t>
              <w:br/>
              <w:br/>
            </w:r>
          </w:p>
        </w:tc>
      </w:tr>
    </w:tbl>
    <w:p>
      <w:pPr>
        <w:spacing w:after="20"/>
      </w:pPr>
    </w:p>
    <w:p>
      <w:pPr>
        <w:spacing w:after="100" w:line="276" w:lineRule="auto"/>
      </w:pPr>
      <w:r>
        <w:rPr>
          <w:rFonts w:ascii="Calibri" w:hAnsi="Calibri"/>
          <w:b w:val="0"/>
          <w:color w:val="1F2937"/>
          <w:sz w:val="20"/>
        </w:rPr>
        <w:t>2. Le test détecte la valeur interdite et termine avec un code de sortie 1. L'échec a été reproduit localement avant remise du rapport :</w:t>
      </w:r>
    </w:p>
    <w:tbl>
      <w:tblPr>
        <w:tblW w:type="auto" w:w="0"/>
        <w:jc w:val="center"/>
        <w:tblLayout w:type="fixed"/>
        <w:tblLook w:firstColumn="1" w:firstRow="1" w:lastColumn="0" w:lastRow="0" w:noHBand="0" w:noVBand="1" w:val="04A0"/>
      </w:tblPr>
      <w:tblGrid>
        <w:gridCol w:w="4896"/>
        <w:gridCol w:w="4896"/>
      </w:tblGrid>
      <w:tr>
        <w:tc>
          <w:tcPr>
            <w:tcW w:type="dxa" w:w="1872"/>
            <w:vAlign w:val="center"/>
            <w:tcMar>
              <w:top w:w="100" w:type="dxa"/>
              <w:start w:w="140" w:type="dxa"/>
              <w:bottom w:w="100" w:type="dxa"/>
              <w:end w:w="140" w:type="dxa"/>
            </w:tcMar>
            <w:shd w:fill="FDE7E7"/>
          </w:tcPr>
          <w:p>
            <w:pPr>
              <w:jc w:val="center"/>
            </w:pPr>
            <w:r>
              <w:rPr>
                <w:rFonts w:ascii="Calibri" w:hAnsi="Calibri"/>
                <w:b/>
                <w:color w:val="A61B1B"/>
                <w:sz w:val="18"/>
              </w:rPr>
              <w:t>ÉCHEC</w:t>
            </w:r>
          </w:p>
        </w:tc>
        <w:tc>
          <w:tcPr>
            <w:tcW w:type="dxa" w:w="7200"/>
            <w:vAlign w:val="center"/>
            <w:tcMar>
              <w:top w:w="100" w:type="dxa"/>
              <w:start w:w="140" w:type="dxa"/>
              <w:bottom w:w="100" w:type="dxa"/>
              <w:end w:w="140" w:type="dxa"/>
            </w:tcMar>
            <w:shd w:fill="FDE7E7"/>
          </w:tcPr>
          <w:p>
            <w:r>
              <w:rPr>
                <w:rFonts w:ascii="Calibri" w:hAnsi="Calibri"/>
                <w:b w:val="0"/>
                <w:color w:val="1F2937"/>
                <w:sz w:val="19"/>
              </w:rPr>
              <w:t>AssertionError: Déploiement bloqué : le fond 'orange' est orange.</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072"/>
            <w:shd w:fill="F5F7FA"/>
            <w:tcMar>
              <w:top w:w="180" w:type="dxa"/>
              <w:start w:w="180" w:type="dxa"/>
              <w:bottom w:w="180" w:type="dxa"/>
              <w:end w:w="180" w:type="dxa"/>
            </w:tcMar>
          </w:tcPr>
          <w:p>
            <w:pPr>
              <w:jc w:val="center"/>
            </w:pPr>
            <w:r>
              <w:rPr>
                <w:rFonts w:ascii="Calibri" w:hAnsi="Calibri"/>
                <w:b/>
                <w:color w:val="163A63"/>
                <w:sz w:val="19"/>
              </w:rPr>
              <w:t>CAPTURE E — GitHub Actions rouge</w:t>
              <w:br/>
            </w:r>
            <w:r>
              <w:rPr>
                <w:rFonts w:ascii="Calibri" w:hAnsi="Calibri"/>
                <w:b w:val="0"/>
                <w:color w:val="667085"/>
                <w:sz w:val="17"/>
              </w:rPr>
              <w:t>Insérer le log du job Vérifier la couleur de fond avec FAILED (failures=1).</w:t>
              <w:br/>
              <w:br/>
            </w:r>
          </w:p>
        </w:tc>
      </w:tr>
    </w:tbl>
    <w:p>
      <w:pPr>
        <w:spacing w:after="20"/>
      </w:pPr>
    </w:p>
    <w:p>
      <w:pPr>
        <w:spacing w:after="100" w:line="276" w:lineRule="auto"/>
      </w:pPr>
      <w:r>
        <w:rPr>
          <w:rFonts w:ascii="Calibri" w:hAnsi="Calibri"/>
          <w:b w:val="0"/>
          <w:color w:val="1F2937"/>
          <w:sz w:val="20"/>
        </w:rPr>
        <w:t>3. La protection de main affiche un contrôle requis en échec : le bouton de fusion est bloqué. Puisque main n'est pas modifiée, aucun déploiement de production Vercel ne doit partir.</w:t>
      </w:r>
    </w:p>
    <w:tbl>
      <w:tblPr>
        <w:tblW w:type="auto" w:w="0"/>
        <w:jc w:val="center"/>
        <w:tblLayout w:type="fixed"/>
        <w:tblLook w:firstColumn="1" w:firstRow="1" w:lastColumn="0" w:lastRow="0" w:noHBand="0" w:noVBand="1" w:val="04A0"/>
      </w:tblPr>
      <w:tblGrid>
        <w:gridCol w:w="9792"/>
      </w:tblGrid>
      <w:tr>
        <w:tc>
          <w:tcPr>
            <w:tcW w:type="dxa" w:w="9072"/>
            <w:shd w:fill="F5F7FA"/>
            <w:tcMar>
              <w:top w:w="180" w:type="dxa"/>
              <w:start w:w="180" w:type="dxa"/>
              <w:bottom w:w="180" w:type="dxa"/>
              <w:end w:w="180" w:type="dxa"/>
            </w:tcMar>
          </w:tcPr>
          <w:p>
            <w:pPr>
              <w:jc w:val="center"/>
            </w:pPr>
            <w:r>
              <w:rPr>
                <w:rFonts w:ascii="Calibri" w:hAnsi="Calibri"/>
                <w:b/>
                <w:color w:val="163A63"/>
                <w:sz w:val="19"/>
              </w:rPr>
              <w:t>CAPTURE F — Blocage strict</w:t>
              <w:br/>
            </w:r>
            <w:r>
              <w:rPr>
                <w:rFonts w:ascii="Calibri" w:hAnsi="Calibri"/>
                <w:b w:val="0"/>
                <w:color w:val="667085"/>
                <w:sz w:val="17"/>
              </w:rPr>
              <w:t>Insérer la PR avec Required check failed / Merge blocked et l'absence de nouveau déploiement Production sur Vercel.</w:t>
              <w:br/>
              <w:br/>
              <w:br/>
            </w:r>
          </w:p>
        </w:tc>
      </w:tr>
    </w:tbl>
    <w:p>
      <w:pPr>
        <w:spacing w:after="20"/>
      </w:pPr>
    </w:p>
    <w:tbl>
      <w:tblPr>
        <w:tblW w:type="auto" w:w="0"/>
        <w:jc w:val="center"/>
        <w:tblLayout w:type="fixed"/>
        <w:tblLook w:firstColumn="1" w:firstRow="1" w:lastColumn="0" w:lastRow="0" w:noHBand="0" w:noVBand="1" w:val="04A0"/>
      </w:tblPr>
      <w:tblGrid>
        <w:gridCol w:w="4896"/>
        <w:gridCol w:w="4896"/>
      </w:tblGrid>
      <w:tr>
        <w:tc>
          <w:tcPr>
            <w:tcW w:type="dxa" w:w="1872"/>
            <w:vAlign w:val="center"/>
            <w:tcMar>
              <w:top w:w="100" w:type="dxa"/>
              <w:start w:w="140" w:type="dxa"/>
              <w:bottom w:w="100" w:type="dxa"/>
              <w:end w:w="140" w:type="dxa"/>
            </w:tcMar>
            <w:shd w:fill="DFF4E5"/>
          </w:tcPr>
          <w:p>
            <w:pPr>
              <w:jc w:val="center"/>
            </w:pPr>
            <w:r>
              <w:rPr>
                <w:rFonts w:ascii="Calibri" w:hAnsi="Calibri"/>
                <w:b/>
                <w:color w:val="176B35"/>
                <w:sz w:val="18"/>
              </w:rPr>
              <w:t>CONCLUSION</w:t>
            </w:r>
          </w:p>
        </w:tc>
        <w:tc>
          <w:tcPr>
            <w:tcW w:type="dxa" w:w="7200"/>
            <w:vAlign w:val="center"/>
            <w:tcMar>
              <w:top w:w="100" w:type="dxa"/>
              <w:start w:w="140" w:type="dxa"/>
              <w:bottom w:w="100" w:type="dxa"/>
              <w:end w:w="140" w:type="dxa"/>
            </w:tcMar>
            <w:shd w:fill="DFF4E5"/>
          </w:tcPr>
          <w:p>
            <w:r>
              <w:rPr>
                <w:rFonts w:ascii="Calibri" w:hAnsi="Calibri"/>
                <w:b w:val="0"/>
                <w:color w:val="1F2937"/>
                <w:sz w:val="19"/>
              </w:rPr>
              <w:t>Le mécanisme protège la production avant la fusion, à condition que la règle de protection de main soit activée.</w:t>
            </w:r>
          </w:p>
        </w:tc>
      </w:tr>
    </w:tbl>
    <w:p>
      <w:pPr>
        <w:spacing w:after="20"/>
      </w:pPr>
    </w:p>
    <w:p>
      <w:pPr>
        <w:spacing w:after="0" w:line="276" w:lineRule="auto"/>
      </w:pPr>
      <w:r>
        <w:rPr>
          <w:rFonts w:ascii="Calibri" w:hAnsi="Calibri"/>
          <w:b w:val="0"/>
          <w:color w:val="667085"/>
          <w:sz w:val="17"/>
        </w:rPr>
        <w:t>Note de rendu : les cadres A–F doivent être remplacés par les captures du dépôt GitHub public et du projet Vercel de l'étudiant. Ces preuves dépendent des comptes externes et ne peuvent pas être fabriquées localement.</w:t>
      </w:r>
    </w:p>
    <w:sectPr w:rsidR="00FC693F" w:rsidRPr="0006063C" w:rsidSect="00034616">
      <w:headerReference w:type="default" r:id="rId9"/>
      <w:footerReference w:type="default" r:id="rId10"/>
      <w:pgSz w:w="12240" w:h="15840"/>
      <w:pgMar w:top="936" w:right="1224" w:bottom="936"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67085"/>
        <w:sz w:val="16"/>
      </w:rPr>
      <w:t>Django • GitHub Actions • Vercel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6"/>
      </w:rPr>
      <w:t>RATT DEVOPS  |  RAPPORT CI/CD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63A63"/>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163A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