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0"/>
          <w:szCs w:val="40"/>
        </w:rPr>
        <w:t xml:space="preserve">Threat Risk Assessment (TRA)</w:t>
      </w:r>
    </w:p>
    <w:tbl>
      <w:tblPr>
        <w:tblW w:type="dxa" w:w="9600"/>
        <w:tblBorders>
          <w:top w:val="single" w:sz="4"/>
          <w:left w:val="single" w:sz="4"/>
          <w:bottom w:val="single" w:sz="4"/>
          <w:right w:val="single" w:sz="4"/>
          <w:insideH w:val="single" w:sz="4"/>
          <w:insideV w:val="single" w:sz="4"/>
        </w:tblBorders>
      </w:tblPr>
      <w:tblGrid>
        <w:gridCol w:w="2200"/>
        <w:gridCol w:w="2900"/>
        <w:gridCol w:w="2100"/>
        <w:gridCol w:w="2400"/>
      </w:tblGrid>
      <w:tr>
        <w:tc>
          <w:tcPr>
            <w:tcW w:type="dxa" w:w="2200"/>
            <w:shd w:fill="D9D9D9" w:color="auto" w:val="clear"/>
            <w:tcMar>
              <w:top w:type="dxa" w:w="60"/>
              <w:left w:type="dxa" w:w="100"/>
              <w:bottom w:type="dxa" w:w="60"/>
              <w:right w:type="dxa" w:w="100"/>
            </w:tcMar>
          </w:tcPr>
          <w:p>
            <w:pPr>
              <w:spacing w:after="0"/>
            </w:pPr>
            <w:r>
              <w:rPr>
                <w:b/>
                <w:bCs/>
                <w:sz w:val="20"/>
                <w:szCs w:val="20"/>
              </w:rPr>
              <w:t xml:space="preserve">Application Name and Type:</w:t>
            </w:r>
          </w:p>
        </w:tc>
        <w:tc>
          <w:tcPr>
            <w:tcW w:type="dxa" w:w="2900"/>
            <w:tcMar>
              <w:top w:type="dxa" w:w="60"/>
              <w:left w:type="dxa" w:w="100"/>
              <w:bottom w:type="dxa" w:w="60"/>
              <w:right w:type="dxa" w:w="100"/>
            </w:tcMar>
          </w:tcPr>
          <w:p>
            <w:pPr>
              <w:spacing w:after="0"/>
            </w:pPr>
            <w:r>
              <w:rPr>
                <w:sz w:val="20"/>
                <w:szCs w:val="20"/>
              </w:rPr>
              <w:t xml:space="preserve">EDITRAN Migration – Deferred Interbank Transfers (Santander Consumer Bank / Scotiabank Perú)</w:t>
            </w:r>
          </w:p>
        </w:tc>
        <w:tc>
          <w:tcPr>
            <w:tcW w:type="dxa" w:w="2100"/>
            <w:shd w:fill="D9D9D9" w:color="auto" w:val="clear"/>
            <w:tcMar>
              <w:top w:type="dxa" w:w="60"/>
              <w:left w:type="dxa" w:w="100"/>
              <w:bottom w:type="dxa" w:w="60"/>
              <w:right w:type="dxa" w:w="100"/>
            </w:tcMar>
          </w:tcPr>
          <w:p>
            <w:pPr>
              <w:spacing w:after="0"/>
            </w:pPr>
            <w:r>
              <w:rPr>
                <w:b/>
                <w:bCs/>
                <w:sz w:val="20"/>
                <w:szCs w:val="20"/>
              </w:rPr>
              <w:t xml:space="preserve">Region/Country:</w:t>
            </w:r>
          </w:p>
        </w:tc>
        <w:tc>
          <w:tcPr>
            <w:tcW w:type="dxa" w:w="2400"/>
            <w:tcMar>
              <w:top w:type="dxa" w:w="60"/>
              <w:left w:type="dxa" w:w="100"/>
              <w:bottom w:type="dxa" w:w="60"/>
              <w:right w:type="dxa" w:w="100"/>
            </w:tcMar>
          </w:tcPr>
          <w:p>
            <w:pPr>
              <w:spacing w:after="0"/>
            </w:pPr>
            <w:r>
              <w:rPr>
                <w:sz w:val="20"/>
                <w:szCs w:val="20"/>
              </w:rPr>
              <w:t xml:space="preserve">Peru / LATAM</w:t>
            </w:r>
          </w:p>
        </w:tc>
      </w:tr>
      <w:tr>
        <w:tc>
          <w:tcPr>
            <w:tcW w:type="dxa" w:w="2200"/>
            <w:shd w:fill="D9D9D9" w:color="auto" w:val="clear"/>
            <w:tcMar>
              <w:top w:type="dxa" w:w="60"/>
              <w:left w:type="dxa" w:w="100"/>
              <w:bottom w:type="dxa" w:w="60"/>
              <w:right w:type="dxa" w:w="100"/>
            </w:tcMar>
          </w:tcPr>
          <w:p>
            <w:pPr>
              <w:spacing w:after="0"/>
            </w:pPr>
            <w:r>
              <w:rPr>
                <w:b/>
                <w:bCs/>
                <w:sz w:val="20"/>
                <w:szCs w:val="20"/>
              </w:rPr>
              <w:t xml:space="preserve">TRA ID (SAMS Ticket):</w:t>
            </w:r>
          </w:p>
        </w:tc>
        <w:tc>
          <w:tcPr>
            <w:tcW w:type="dxa" w:w="2900"/>
            <w:tcMar>
              <w:top w:type="dxa" w:w="60"/>
              <w:left w:type="dxa" w:w="100"/>
              <w:bottom w:type="dxa" w:w="60"/>
              <w:right w:type="dxa" w:w="100"/>
            </w:tcMar>
          </w:tcPr>
          <w:p>
            <w:pPr>
              <w:spacing w:after="0"/>
            </w:pPr>
            <w:r>
              <w:rPr>
                <w:sz w:val="20"/>
                <w:szCs w:val="20"/>
              </w:rPr>
              <w:t xml:space="preserve">SAMS0XXXXXX</w:t>
            </w:r>
          </w:p>
        </w:tc>
        <w:tc>
          <w:tcPr>
            <w:tcW w:type="dxa" w:w="2100"/>
            <w:shd w:fill="D9D9D9" w:color="auto" w:val="clear"/>
            <w:tcMar>
              <w:top w:type="dxa" w:w="60"/>
              <w:left w:type="dxa" w:w="100"/>
              <w:bottom w:type="dxa" w:w="60"/>
              <w:right w:type="dxa" w:w="100"/>
            </w:tcMar>
          </w:tcPr>
          <w:p>
            <w:pPr>
              <w:spacing w:after="0"/>
            </w:pPr>
            <w:r>
              <w:rPr>
                <w:b/>
                <w:bCs/>
                <w:sz w:val="20"/>
                <w:szCs w:val="20"/>
              </w:rPr>
              <w:t xml:space="preserve">APM ID:</w:t>
            </w:r>
          </w:p>
        </w:tc>
        <w:tc>
          <w:tcPr>
            <w:tcW w:type="dxa" w:w="2400"/>
            <w:tcMar>
              <w:top w:type="dxa" w:w="60"/>
              <w:left w:type="dxa" w:w="100"/>
              <w:bottom w:type="dxa" w:w="60"/>
              <w:right w:type="dxa" w:w="100"/>
            </w:tcMar>
          </w:tcPr>
          <w:p>
            <w:pPr>
              <w:spacing w:after="0"/>
            </w:pPr>
            <w:r>
              <w:rPr>
                <w:sz w:val="20"/>
                <w:szCs w:val="20"/>
              </w:rPr>
              <w:t xml:space="preserve">BBHM / BBHL</w:t>
            </w:r>
          </w:p>
        </w:tc>
      </w:tr>
      <w:tr>
        <w:tc>
          <w:tcPr>
            <w:tcW w:type="dxa" w:w="2200"/>
            <w:shd w:fill="D9D9D9" w:color="auto" w:val="clear"/>
            <w:tcMar>
              <w:top w:type="dxa" w:w="60"/>
              <w:left w:type="dxa" w:w="100"/>
              <w:bottom w:type="dxa" w:w="60"/>
              <w:right w:type="dxa" w:w="100"/>
            </w:tcMar>
          </w:tcPr>
          <w:p>
            <w:pPr>
              <w:spacing w:after="0"/>
            </w:pPr>
            <w:r>
              <w:rPr>
                <w:b/>
                <w:bCs/>
                <w:sz w:val="20"/>
                <w:szCs w:val="20"/>
              </w:rPr>
              <w:t xml:space="preserve">Information System Owner:</w:t>
            </w:r>
          </w:p>
        </w:tc>
        <w:tc>
          <w:tcPr>
            <w:tcW w:type="dxa" w:w="2900"/>
            <w:tcMar>
              <w:top w:type="dxa" w:w="60"/>
              <w:left w:type="dxa" w:w="100"/>
              <w:bottom w:type="dxa" w:w="60"/>
              <w:right w:type="dxa" w:w="100"/>
            </w:tcMar>
          </w:tcPr>
          <w:p>
            <w:pPr>
              <w:spacing w:after="0"/>
            </w:pPr>
            <w:r>
              <w:rPr>
                <w:sz w:val="20"/>
                <w:szCs w:val="20"/>
              </w:rPr>
              <w:t xml:space="preserve">Paul Mostiga – Solution Architect / Jeffrey Lee – Chief Architect</w:t>
            </w:r>
          </w:p>
        </w:tc>
        <w:tc>
          <w:tcPr>
            <w:tcW w:type="dxa" w:w="2100"/>
            <w:shd w:fill="D9D9D9" w:color="auto" w:val="clear"/>
            <w:tcMar>
              <w:top w:type="dxa" w:w="60"/>
              <w:left w:type="dxa" w:w="100"/>
              <w:bottom w:type="dxa" w:w="60"/>
              <w:right w:type="dxa" w:w="100"/>
            </w:tcMar>
          </w:tcPr>
          <w:p>
            <w:pPr>
              <w:spacing w:after="0"/>
            </w:pPr>
            <w:r>
              <w:rPr>
                <w:b/>
                <w:bCs/>
                <w:sz w:val="20"/>
                <w:szCs w:val="20"/>
              </w:rPr>
              <w:t xml:space="preserve">Date:</w:t>
            </w:r>
          </w:p>
        </w:tc>
        <w:tc>
          <w:tcPr>
            <w:tcW w:type="dxa" w:w="2400"/>
            <w:tcMar>
              <w:top w:type="dxa" w:w="60"/>
              <w:left w:type="dxa" w:w="100"/>
              <w:bottom w:type="dxa" w:w="60"/>
              <w:right w:type="dxa" w:w="100"/>
            </w:tcMar>
          </w:tcPr>
          <w:p>
            <w:pPr>
              <w:spacing w:after="0"/>
            </w:pPr>
            <w:r>
              <w:rPr>
                <w:sz w:val="20"/>
                <w:szCs w:val="20"/>
              </w:rPr>
              <w:t xml:space="preserve">03/08/2026</w:t>
            </w:r>
          </w:p>
        </w:tc>
      </w:tr>
      <w:tr>
        <w:tc>
          <w:tcPr>
            <w:tcW w:type="dxa" w:w="2200"/>
            <w:shd w:fill="D9D9D9" w:color="auto" w:val="clear"/>
            <w:tcMar>
              <w:top w:type="dxa" w:w="60"/>
              <w:left w:type="dxa" w:w="100"/>
              <w:bottom w:type="dxa" w:w="60"/>
              <w:right w:type="dxa" w:w="100"/>
            </w:tcMar>
          </w:tcPr>
          <w:p>
            <w:pPr>
              <w:spacing w:after="0"/>
            </w:pPr>
            <w:r>
              <w:rPr>
                <w:b/>
                <w:bCs/>
                <w:sz w:val="20"/>
                <w:szCs w:val="20"/>
              </w:rPr>
              <w:t xml:space="preserve">Security Advisor:</w:t>
            </w:r>
          </w:p>
        </w:tc>
        <w:tc>
          <w:tcPr>
            <w:tcW w:type="dxa" w:w="2900"/>
            <w:tcMar>
              <w:top w:type="dxa" w:w="60"/>
              <w:left w:type="dxa" w:w="100"/>
              <w:bottom w:type="dxa" w:w="60"/>
              <w:right w:type="dxa" w:w="100"/>
            </w:tcMar>
          </w:tcPr>
          <w:p>
            <w:pPr>
              <w:spacing w:after="0"/>
            </w:pPr>
            <w:r>
              <w:rPr>
                <w:sz w:val="20"/>
                <w:szCs w:val="20"/>
              </w:rPr>
              <w:t xml:space="preserve">[Assigned Security Advisor Name]</w:t>
            </w:r>
          </w:p>
        </w:tc>
        <w:tc>
          <w:tcPr>
            <w:tcW w:type="dxa" w:w="2100"/>
            <w:shd w:fill="D9D9D9" w:color="auto" w:val="clear"/>
            <w:tcMar>
              <w:top w:type="dxa" w:w="60"/>
              <w:left w:type="dxa" w:w="100"/>
              <w:bottom w:type="dxa" w:w="60"/>
              <w:right w:type="dxa" w:w="100"/>
            </w:tcMar>
          </w:tcPr>
          <w:p>
            <w:pPr>
              <w:spacing w:after="0"/>
            </w:pPr>
            <w:r>
              <w:rPr>
                <w:b/>
                <w:bCs/>
                <w:sz w:val="20"/>
                <w:szCs w:val="20"/>
              </w:rPr>
              <w:t xml:space="preserve">Advisory Team:</w:t>
            </w:r>
          </w:p>
        </w:tc>
        <w:tc>
          <w:tcPr>
            <w:tcW w:type="dxa" w:w="2400"/>
            <w:tcMar>
              <w:top w:type="dxa" w:w="60"/>
              <w:left w:type="dxa" w:w="100"/>
              <w:bottom w:type="dxa" w:w="60"/>
              <w:right w:type="dxa" w:w="100"/>
            </w:tcMar>
          </w:tcPr>
          <w:p>
            <w:pPr>
              <w:spacing w:after="0"/>
            </w:pPr>
            <w:r>
              <w:rPr>
                <w:sz w:val="20"/>
                <w:szCs w:val="20"/>
              </w:rPr>
              <w:t xml:space="preserve">SAMS INTL LATAM</w:t>
            </w:r>
          </w:p>
        </w:tc>
      </w:tr>
      <w:tr>
        <w:tc>
          <w:tcPr>
            <w:tcW w:type="dxa" w:w="2200"/>
            <w:shd w:fill="D9D9D9" w:color="auto" w:val="clear"/>
            <w:tcMar>
              <w:top w:type="dxa" w:w="60"/>
              <w:left w:type="dxa" w:w="100"/>
              <w:bottom w:type="dxa" w:w="60"/>
              <w:right w:type="dxa" w:w="100"/>
            </w:tcMar>
          </w:tcPr>
          <w:p>
            <w:pPr>
              <w:spacing w:after="0"/>
            </w:pPr>
            <w:r>
              <w:rPr>
                <w:b/>
                <w:bCs/>
                <w:sz w:val="20"/>
                <w:szCs w:val="20"/>
              </w:rPr>
              <w:t xml:space="preserve">Asset Tier:</w:t>
            </w:r>
          </w:p>
        </w:tc>
        <w:tc>
          <w:tcPr>
            <w:tcW w:type="dxa" w:w="2900"/>
            <w:tcMar>
              <w:top w:type="dxa" w:w="60"/>
              <w:left w:type="dxa" w:w="100"/>
              <w:bottom w:type="dxa" w:w="60"/>
              <w:right w:type="dxa" w:w="100"/>
            </w:tcMar>
          </w:tcPr>
          <w:p>
            <w:pPr>
              <w:spacing w:after="0"/>
            </w:pPr>
            <w:r>
              <w:rPr>
                <w:sz w:val="20"/>
                <w:szCs w:val="20"/>
              </w:rPr>
              <w:t xml:space="preserve">Tier 2 (SBP) / Tier 5 (CSF) — see Data Classification</w:t>
            </w:r>
          </w:p>
        </w:tc>
        <w:tc>
          <w:tcPr>
            <w:tcW w:type="dxa" w:w="2100"/>
            <w:shd w:fill="D9D9D9" w:color="auto" w:val="clear"/>
            <w:tcMar>
              <w:top w:type="dxa" w:w="60"/>
              <w:left w:type="dxa" w:w="100"/>
              <w:bottom w:type="dxa" w:w="60"/>
              <w:right w:type="dxa" w:w="100"/>
            </w:tcMar>
          </w:tcPr>
          <w:p>
            <w:pPr>
              <w:spacing w:after="0"/>
            </w:pPr>
            <w:r>
              <w:rPr>
                <w:b/>
                <w:bCs/>
                <w:sz w:val="20"/>
                <w:szCs w:val="20"/>
              </w:rPr>
              <w:t xml:space="preserve">VSR #:</w:t>
            </w:r>
          </w:p>
        </w:tc>
        <w:tc>
          <w:tcPr>
            <w:tcW w:type="dxa" w:w="2400"/>
            <w:tcMar>
              <w:top w:type="dxa" w:w="60"/>
              <w:left w:type="dxa" w:w="100"/>
              <w:bottom w:type="dxa" w:w="60"/>
              <w:right w:type="dxa" w:w="100"/>
            </w:tcMar>
          </w:tcPr>
          <w:p>
            <w:pPr>
              <w:spacing w:after="0"/>
            </w:pPr>
            <w:r>
              <w:rPr>
                <w:sz w:val="20"/>
                <w:szCs w:val="20"/>
              </w:rPr>
              <w:t xml:space="preserve">N/A</w:t>
            </w:r>
          </w:p>
        </w:tc>
      </w:tr>
    </w:tbl>
    <w:p>
      <w:pPr>
        <w:pStyle w:val="Heading2"/>
        <w:spacing w:after="160" w:before="300"/>
      </w:pPr>
      <w:r>
        <w:rPr>
          <w:b/>
          <w:bCs/>
          <w:color w:val="1F3864"/>
          <w:sz w:val="26"/>
          <w:szCs w:val="26"/>
        </w:rPr>
        <w:t xml:space="preserve">Background</w:t>
      </w:r>
    </w:p>
    <w:p>
      <w:pPr>
        <w:spacing w:after="120"/>
      </w:pPr>
      <w:r>
        <w:rPr>
          <w:b/>
          <w:bCs/>
          <w:sz w:val="20"/>
          <w:szCs w:val="20"/>
        </w:rPr>
        <w:t xml:space="preserve">What does this system or service provide?</w:t>
      </w:r>
    </w:p>
    <w:p>
      <w:pPr>
        <w:spacing w:after="120"/>
      </w:pPr>
      <w:r>
        <w:rPr>
          <w:sz w:val="20"/>
          <w:szCs w:val="20"/>
        </w:rPr>
        <w:t xml:space="preserve">EDITRAN is the application responsible for executing deferred interbank transfers between Santander Consumer Bank / Scotiabank Perú and other banking entities, through the Electronic Clearing House (CCE), using the Bancared protocol. Currently EDITRAN 5.2 is deployed on a virtual PC with Windows 11, without redundancy, contingency or formal backup (technological risk already identified and accepted by the organization on 25/11/2022). The project migrates EDITRAN to dedicated Windows Server 2019 servers per entity (CSF and SBP), incorporating Windows services (Transmission, Maintenance, Special Command, Event Successor) that interact with EDITRAN for sending and receiving, as well as a web module (Tracking Web/API) that allows operators to monitor transfers without needing to log directly into the EDITRAN server.</w:t>
      </w:r>
    </w:p>
    <w:p>
      <w:pPr>
        <w:spacing w:after="120"/>
      </w:pPr>
      <w:r>
        <w:rPr>
          <w:i/>
          <w:iCs/>
          <w:sz w:val="20"/>
          <w:szCs w:val="20"/>
        </w:rPr>
        <w:t xml:space="preserve">On Prem</w:t>
      </w:r>
    </w:p>
    <w:p>
      <w:pPr>
        <w:pStyle w:val="Heading2"/>
        <w:spacing w:after="160" w:before="300"/>
      </w:pPr>
      <w:r>
        <w:rPr>
          <w:b/>
          <w:bCs/>
          <w:color w:val="1F3864"/>
          <w:sz w:val="26"/>
          <w:szCs w:val="26"/>
        </w:rPr>
        <w:t xml:space="preserve">Assessment(s) completed</w:t>
      </w:r>
    </w:p>
    <w:tbl>
      <w:tblPr>
        <w:tblW w:type="dxa" w:w="4800"/>
        <w:tblBorders>
          <w:top w:val="single" w:sz="4"/>
          <w:left w:val="single" w:sz="4"/>
          <w:bottom w:val="single" w:sz="4"/>
          <w:right w:val="single" w:sz="4"/>
          <w:insideH w:val="single" w:sz="4"/>
          <w:insideV w:val="single" w:sz="4"/>
        </w:tblBorders>
      </w:tblPr>
      <w:tblGrid>
        <w:gridCol w:w="2400"/>
        <w:gridCol w:w="2400"/>
      </w:tblGrid>
      <w:tr>
        <w:tc>
          <w:tcPr>
            <w:tcW w:type="dxa" w:w="2400"/>
            <w:shd w:fill="D9D9D9" w:color="auto" w:val="clear"/>
            <w:tcMar>
              <w:top w:type="dxa" w:w="60"/>
              <w:left w:type="dxa" w:w="100"/>
              <w:bottom w:type="dxa" w:w="60"/>
              <w:right w:type="dxa" w:w="100"/>
            </w:tcMar>
          </w:tcPr>
          <w:p>
            <w:pPr>
              <w:spacing w:after="0"/>
            </w:pPr>
            <w:r>
              <w:rPr>
                <w:b/>
                <w:bCs/>
                <w:sz w:val="20"/>
                <w:szCs w:val="20"/>
              </w:rPr>
              <w:t xml:space="preserve">LAST TRA</w:t>
            </w:r>
          </w:p>
        </w:tc>
        <w:tc>
          <w:tcPr>
            <w:tcW w:type="dxa" w:w="2400"/>
            <w:shd w:fill="D9D9D9" w:color="auto" w:val="clear"/>
            <w:tcMar>
              <w:top w:type="dxa" w:w="60"/>
              <w:left w:type="dxa" w:w="100"/>
              <w:bottom w:type="dxa" w:w="60"/>
              <w:right w:type="dxa" w:w="100"/>
            </w:tcMar>
          </w:tcPr>
          <w:p>
            <w:pPr>
              <w:spacing w:after="0"/>
            </w:pPr>
            <w:r>
              <w:rPr>
                <w:b/>
                <w:bCs/>
                <w:sz w:val="20"/>
                <w:szCs w:val="20"/>
              </w:rPr>
              <w:t xml:space="preserve">DATE</w:t>
            </w:r>
          </w:p>
        </w:tc>
      </w:tr>
      <w:tr>
        <w:tc>
          <w:tcPr>
            <w:tcW w:type="dxa" w:w="2400"/>
            <w:tcMar>
              <w:top w:type="dxa" w:w="60"/>
              <w:left w:type="dxa" w:w="100"/>
              <w:bottom w:type="dxa" w:w="60"/>
              <w:right w:type="dxa" w:w="100"/>
            </w:tcMar>
          </w:tcPr>
          <w:p>
            <w:pPr>
              <w:spacing w:after="0"/>
            </w:pPr>
            <w:r>
              <w:rPr>
                <w:sz w:val="20"/>
                <w:szCs w:val="20"/>
              </w:rPr>
              <w:t xml:space="preserve">N/A</w:t>
            </w:r>
          </w:p>
        </w:tc>
        <w:tc>
          <w:tcPr>
            <w:tcW w:type="dxa" w:w="2400"/>
            <w:tcMar>
              <w:top w:type="dxa" w:w="60"/>
              <w:left w:type="dxa" w:w="100"/>
              <w:bottom w:type="dxa" w:w="60"/>
              <w:right w:type="dxa" w:w="100"/>
            </w:tcMar>
          </w:tcPr>
          <w:p>
            <w:pPr>
              <w:spacing w:after="0"/>
            </w:pPr>
            <w:r>
              <w:rPr>
                <w:sz w:val="20"/>
                <w:szCs w:val="20"/>
              </w:rPr>
              <w:t xml:space="preserve">N/A</w:t>
            </w:r>
          </w:p>
        </w:tc>
      </w:tr>
    </w:tbl>
    <w:p>
      <w:pPr>
        <w:pStyle w:val="Heading2"/>
        <w:spacing w:after="160" w:before="300"/>
      </w:pPr>
      <w:r>
        <w:rPr>
          <w:b/>
          <w:bCs/>
          <w:color w:val="1F3864"/>
          <w:sz w:val="26"/>
          <w:szCs w:val="26"/>
        </w:rPr>
        <w:t xml:space="preserve">Executive Summary</w:t>
      </w:r>
    </w:p>
    <w:p>
      <w:pPr>
        <w:spacing w:after="120"/>
      </w:pPr>
      <w:r>
        <w:rPr>
          <w:sz w:val="20"/>
          <w:szCs w:val="20"/>
        </w:rPr>
        <w:t xml:space="preserve">The request corresponds to the "EDITRAN Migration" initiative, whose objective is to migrate the EDITRAN application —currently deployed on a Windows 11 workstation without resilience controls— to dedicated Windows Server 2019 servers per entity (CSF and SBP), eliminating the dependency on a single point of failure identified by the architecture team itself in the Risks/Constraints section of the Technical Design Document (TDD).</w:t>
      </w:r>
    </w:p>
    <w:p>
      <w:pPr>
        <w:spacing w:after="120"/>
      </w:pPr>
      <w:r>
        <w:rPr>
          <w:sz w:val="20"/>
          <w:szCs w:val="20"/>
        </w:rPr>
        <w:t xml:space="preserve">EDITRAN executes deferred interbank transfers to the CCE through the Bancared network. The Interim/Target design incorporates a web module (Tracking Web/API) for operators to track shipments and receipts without logging directly into the EDITRAN server, as well as dedicated Windows services (Transmission, Maintenance, Special Command, Event Successor) that execute processes automatically and record events in each company's database.</w:t>
      </w:r>
    </w:p>
    <w:p>
      <w:pPr>
        <w:spacing w:after="120"/>
      </w:pPr>
      <w:r>
        <w:rPr>
          <w:sz w:val="20"/>
          <w:szCs w:val="20"/>
        </w:rPr>
        <w:t xml:space="preserve">Four control deficiencies were identified during the assessment. Two of them relate to how the EDITRAN application handles identity: the application-level SIGNON sits outside the corporate identity model, and the component itself runs under a domain account holding Administrator rights. A third concerns the confidentiality algorithm used for the files sent to the CCE (TDES-3), which no longer meets the corporate cryptographic standard. The fourth, and the one driving the overall rating, is the lack of SAST coverage over the in-house components built for this migration. Each is documented as a Control Defect below.</w:t>
      </w:r>
    </w:p>
    <w:p>
      <w:pPr>
        <w:spacing w:after="120"/>
      </w:pPr>
      <w:r>
        <w:rPr>
          <w:sz w:val="20"/>
          <w:szCs w:val="20"/>
        </w:rPr>
        <w:t xml:space="preserve">It is confirmed that, according to the TDD, the tracking data stored in the web database does not contain customer information or sensitive data, and that the transmission of regulatory files to the CCE is encrypted and signed (RSA 4096 / TDES-3 / SHA-256) using the protocol defined by the regulator.</w:t>
      </w:r>
    </w:p>
    <w:p>
      <w:pPr>
        <w:pStyle w:val="Heading2"/>
        <w:spacing w:after="160" w:before="300"/>
      </w:pPr>
      <w:r>
        <w:rPr>
          <w:b/>
          <w:bCs/>
          <w:color w:val="1F3864"/>
          <w:sz w:val="26"/>
          <w:szCs w:val="26"/>
        </w:rPr>
        <w:t xml:space="preserve">Data Classification</w:t>
      </w:r>
    </w:p>
    <w:tbl>
      <w:tblPr>
        <w:tblW w:type="dxa" w:w="9600"/>
        <w:tblBorders>
          <w:top w:val="single" w:sz="4"/>
          <w:left w:val="single" w:sz="4"/>
          <w:bottom w:val="single" w:sz="4"/>
          <w:right w:val="single" w:sz="4"/>
          <w:insideH w:val="single" w:sz="4"/>
          <w:insideV w:val="single" w:sz="4"/>
        </w:tblBorders>
      </w:tblPr>
      <w:tblGrid>
        <w:gridCol w:w="2400"/>
        <w:gridCol w:w="2400"/>
        <w:gridCol w:w="2400"/>
        <w:gridCol w:w="2400"/>
      </w:tblGrid>
      <w:tr>
        <w:tc>
          <w:tcPr>
            <w:tcW w:type="dxa" w:w="2400"/>
            <w:shd w:fill="D9D9D9" w:color="auto" w:val="clear"/>
            <w:tcMar>
              <w:top w:type="dxa" w:w="60"/>
              <w:left w:type="dxa" w:w="100"/>
              <w:bottom w:type="dxa" w:w="60"/>
              <w:right w:type="dxa" w:w="100"/>
            </w:tcMar>
          </w:tcPr>
          <w:p>
            <w:pPr>
              <w:spacing w:after="0"/>
              <w:jc w:val="center"/>
            </w:pPr>
            <w:r>
              <w:rPr>
                <w:b/>
                <w:bCs/>
                <w:sz w:val="20"/>
                <w:szCs w:val="20"/>
              </w:rPr>
              <w:t xml:space="preserve">Confidentiality</w:t>
            </w:r>
          </w:p>
        </w:tc>
        <w:tc>
          <w:tcPr>
            <w:tcW w:type="dxa" w:w="2400"/>
            <w:shd w:fill="D9D9D9" w:color="auto" w:val="clear"/>
            <w:tcMar>
              <w:top w:type="dxa" w:w="60"/>
              <w:left w:type="dxa" w:w="100"/>
              <w:bottom w:type="dxa" w:w="60"/>
              <w:right w:type="dxa" w:w="100"/>
            </w:tcMar>
          </w:tcPr>
          <w:p>
            <w:pPr>
              <w:spacing w:after="0"/>
              <w:jc w:val="center"/>
            </w:pPr>
            <w:r>
              <w:rPr>
                <w:b/>
                <w:bCs/>
                <w:sz w:val="20"/>
                <w:szCs w:val="20"/>
              </w:rPr>
              <w:t xml:space="preserve">Integrity</w:t>
            </w:r>
          </w:p>
        </w:tc>
        <w:tc>
          <w:tcPr>
            <w:tcW w:type="dxa" w:w="2400"/>
            <w:shd w:fill="D9D9D9" w:color="auto" w:val="clear"/>
            <w:tcMar>
              <w:top w:type="dxa" w:w="60"/>
              <w:left w:type="dxa" w:w="100"/>
              <w:bottom w:type="dxa" w:w="60"/>
              <w:right w:type="dxa" w:w="100"/>
            </w:tcMar>
          </w:tcPr>
          <w:p>
            <w:pPr>
              <w:spacing w:after="0"/>
              <w:jc w:val="center"/>
            </w:pPr>
            <w:r>
              <w:rPr>
                <w:b/>
                <w:bCs/>
                <w:sz w:val="20"/>
                <w:szCs w:val="20"/>
              </w:rPr>
              <w:t xml:space="preserve">Availability</w:t>
            </w:r>
          </w:p>
        </w:tc>
        <w:tc>
          <w:tcPr>
            <w:tcW w:type="dxa" w:w="2400"/>
            <w:shd w:fill="D9D9D9" w:color="auto" w:val="clear"/>
            <w:tcMar>
              <w:top w:type="dxa" w:w="60"/>
              <w:left w:type="dxa" w:w="100"/>
              <w:bottom w:type="dxa" w:w="60"/>
              <w:right w:type="dxa" w:w="100"/>
            </w:tcMar>
          </w:tcPr>
          <w:p>
            <w:pPr>
              <w:spacing w:after="0"/>
              <w:jc w:val="center"/>
            </w:pPr>
            <w:r>
              <w:rPr>
                <w:b/>
                <w:bCs/>
                <w:sz w:val="20"/>
                <w:szCs w:val="20"/>
              </w:rPr>
              <w:t xml:space="preserve">Continuity</w:t>
            </w:r>
          </w:p>
        </w:tc>
      </w:tr>
      <w:tr>
        <w:tc>
          <w:tcPr>
            <w:tcW w:type="dxa" w:w="2400"/>
            <w:tcMar>
              <w:top w:type="dxa" w:w="60"/>
              <w:left w:type="dxa" w:w="100"/>
              <w:bottom w:type="dxa" w:w="60"/>
              <w:right w:type="dxa" w:w="100"/>
            </w:tcMar>
          </w:tcPr>
          <w:p>
            <w:pPr>
              <w:spacing w:after="0"/>
              <w:jc w:val="center"/>
            </w:pPr>
            <w:r>
              <w:rPr>
                <w:sz w:val="20"/>
                <w:szCs w:val="20"/>
              </w:rPr>
              <w:t xml:space="preserve">Confidential</w:t>
            </w:r>
          </w:p>
        </w:tc>
        <w:tc>
          <w:tcPr>
            <w:tcW w:type="dxa" w:w="2400"/>
            <w:tcMar>
              <w:top w:type="dxa" w:w="60"/>
              <w:left w:type="dxa" w:w="100"/>
              <w:bottom w:type="dxa" w:w="60"/>
              <w:right w:type="dxa" w:w="100"/>
            </w:tcMar>
          </w:tcPr>
          <w:p>
            <w:pPr>
              <w:spacing w:after="0"/>
              <w:jc w:val="center"/>
            </w:pPr>
            <w:r>
              <w:rPr>
                <w:sz w:val="20"/>
                <w:szCs w:val="20"/>
              </w:rPr>
              <w:t xml:space="preserve">Highly Valuable</w:t>
            </w:r>
          </w:p>
        </w:tc>
        <w:tc>
          <w:tcPr>
            <w:tcW w:type="dxa" w:w="2400"/>
            <w:tcMar>
              <w:top w:type="dxa" w:w="60"/>
              <w:left w:type="dxa" w:w="100"/>
              <w:bottom w:type="dxa" w:w="60"/>
              <w:right w:type="dxa" w:w="100"/>
            </w:tcMar>
          </w:tcPr>
          <w:p>
            <w:pPr>
              <w:spacing w:after="0"/>
              <w:jc w:val="center"/>
            </w:pPr>
            <w:r>
              <w:rPr>
                <w:sz w:val="20"/>
                <w:szCs w:val="20"/>
              </w:rPr>
              <w:t xml:space="preserve">Critical (SBP) / High (CSF)</w:t>
            </w:r>
          </w:p>
        </w:tc>
        <w:tc>
          <w:tcPr>
            <w:tcW w:type="dxa" w:w="2400"/>
            <w:tcMar>
              <w:top w:type="dxa" w:w="60"/>
              <w:left w:type="dxa" w:w="100"/>
              <w:bottom w:type="dxa" w:w="60"/>
              <w:right w:type="dxa" w:w="100"/>
            </w:tcMar>
          </w:tcPr>
          <w:p>
            <w:pPr>
              <w:spacing w:after="0"/>
              <w:jc w:val="center"/>
            </w:pPr>
            <w:r>
              <w:rPr>
                <w:sz w:val="20"/>
                <w:szCs w:val="20"/>
              </w:rPr>
              <w:t xml:space="preserve">High (SBP) / Critical (CSF)</w:t>
            </w:r>
          </w:p>
        </w:tc>
      </w:tr>
    </w:tbl>
    <w:p>
      <w:pPr>
        <w:pStyle w:val="Heading2"/>
        <w:spacing w:after="160" w:before="300"/>
      </w:pPr>
      <w:r>
        <w:rPr>
          <w:b/>
          <w:bCs/>
          <w:color w:val="1F3864"/>
          <w:sz w:val="26"/>
          <w:szCs w:val="26"/>
        </w:rPr>
        <w:t xml:space="preserve">Data Element</w:t>
      </w:r>
    </w:p>
    <w:p>
      <w:pPr>
        <w:spacing w:after="120"/>
      </w:pPr>
      <w:r>
        <w:rPr>
          <w:sz w:val="20"/>
          <w:szCs w:val="20"/>
        </w:rPr>
        <w:t xml:space="preserve">The system processes regulatory and tracking financial data classified as Confidential (SPII / SPIRSH), including:</w:t>
      </w:r>
    </w:p>
    <w:p>
      <w:pPr>
        <w:pStyle w:val="ListParagraph"/>
        <w:numPr>
          <w:ilvl w:val="0"/>
          <w:numId w:val="1"/>
        </w:numPr>
        <w:spacing w:after="80"/>
      </w:pPr>
      <w:r>
        <w:rPr>
          <w:sz w:val="20"/>
          <w:szCs w:val="20"/>
        </w:rPr>
        <w:t xml:space="preserve">Deferred interbank transfer files (send/receive) to and from the CCE</w:t>
      </w:r>
    </w:p>
    <w:p>
      <w:pPr>
        <w:pStyle w:val="ListParagraph"/>
        <w:numPr>
          <w:ilvl w:val="0"/>
          <w:numId w:val="1"/>
        </w:numPr>
        <w:spacing w:after="80"/>
      </w:pPr>
      <w:r>
        <w:rPr>
          <w:sz w:val="20"/>
          <w:szCs w:val="20"/>
        </w:rPr>
        <w:t xml:space="preserve">Exchange (clearing) files</w:t>
      </w:r>
    </w:p>
    <w:p>
      <w:pPr>
        <w:pStyle w:val="ListParagraph"/>
        <w:numPr>
          <w:ilvl w:val="0"/>
          <w:numId w:val="1"/>
        </w:numPr>
        <w:spacing w:after="80"/>
      </w:pPr>
      <w:r>
        <w:rPr>
          <w:sz w:val="20"/>
          <w:szCs w:val="20"/>
        </w:rPr>
        <w:t xml:space="preserve">Cryptographic material for the exchange with the CCE (RSA 4096 keys and TDES-3 session keys)</w:t>
      </w:r>
    </w:p>
    <w:p>
      <w:pPr>
        <w:pStyle w:val="ListParagraph"/>
        <w:numPr>
          <w:ilvl w:val="0"/>
          <w:numId w:val="1"/>
        </w:numPr>
        <w:spacing w:after="80"/>
      </w:pPr>
      <w:r>
        <w:rPr>
          <w:sz w:val="20"/>
          <w:szCs w:val="20"/>
        </w:rPr>
        <w:t xml:space="preserve">Tracking data (monitoring of shipments/receipts) — no customer information</w:t>
      </w:r>
    </w:p>
    <w:p>
      <w:pPr>
        <w:pStyle w:val="ListParagraph"/>
        <w:numPr>
          <w:ilvl w:val="0"/>
          <w:numId w:val="1"/>
        </w:numPr>
        <w:spacing w:after="80"/>
      </w:pPr>
      <w:r>
        <w:rPr>
          <w:sz w:val="20"/>
          <w:szCs w:val="20"/>
        </w:rPr>
        <w:t xml:space="preserve">Shift, schedule and audit log metadata (tbl_audit, tbl_tracking)</w:t>
      </w:r>
    </w:p>
    <w:p>
      <w:pPr>
        <w:pStyle w:val="Heading2"/>
        <w:spacing w:after="160" w:before="300"/>
      </w:pPr>
      <w:r>
        <w:rPr>
          <w:b/>
          <w:bCs/>
          <w:color w:val="1F3864"/>
          <w:sz w:val="26"/>
          <w:szCs w:val="26"/>
        </w:rPr>
        <w:t xml:space="preserve">In Scope</w:t>
      </w:r>
    </w:p>
    <w:p>
      <w:pPr>
        <w:pStyle w:val="ListParagraph"/>
        <w:numPr>
          <w:ilvl w:val="0"/>
          <w:numId w:val="1"/>
        </w:numPr>
        <w:spacing w:after="80"/>
      </w:pPr>
      <w:r>
        <w:rPr>
          <w:sz w:val="20"/>
          <w:szCs w:val="20"/>
        </w:rPr>
        <w:t xml:space="preserve">Migration of EDITRAN 5.2 from a Windows 11 workstation to dedicated Windows Server 2019 servers (CSF and SBP)</w:t>
      </w:r>
    </w:p>
    <w:p>
      <w:pPr>
        <w:pStyle w:val="ListParagraph"/>
        <w:numPr>
          <w:ilvl w:val="0"/>
          <w:numId w:val="1"/>
        </w:numPr>
        <w:spacing w:after="80"/>
      </w:pPr>
      <w:r>
        <w:rPr>
          <w:sz w:val="20"/>
          <w:szCs w:val="20"/>
        </w:rPr>
        <w:t xml:space="preserve">Development of Windows services (Transmission, Maintenance, Special Command, Event Successor) that interact with EDITRAN</w:t>
      </w:r>
    </w:p>
    <w:p>
      <w:pPr>
        <w:pStyle w:val="ListParagraph"/>
        <w:numPr>
          <w:ilvl w:val="0"/>
          <w:numId w:val="1"/>
        </w:numPr>
        <w:spacing w:after="80"/>
      </w:pPr>
      <w:r>
        <w:rPr>
          <w:sz w:val="20"/>
          <w:szCs w:val="20"/>
        </w:rPr>
        <w:t xml:space="preserve">Implementation of a web module (Tracking Web/API) for operators to monitor shipments and receipts</w:t>
      </w:r>
    </w:p>
    <w:p>
      <w:pPr>
        <w:pStyle w:val="ListParagraph"/>
        <w:numPr>
          <w:ilvl w:val="0"/>
          <w:numId w:val="1"/>
        </w:numPr>
        <w:spacing w:after="80"/>
      </w:pPr>
      <w:r>
        <w:rPr>
          <w:sz w:val="20"/>
          <w:szCs w:val="20"/>
        </w:rPr>
        <w:t xml:space="preserve">Authentication and authorization of Operators, Security and Report Administrators</w:t>
      </w:r>
    </w:p>
    <w:p>
      <w:pPr>
        <w:pStyle w:val="ListParagraph"/>
        <w:numPr>
          <w:ilvl w:val="0"/>
          <w:numId w:val="1"/>
        </w:numPr>
        <w:spacing w:after="80"/>
      </w:pPr>
      <w:r>
        <w:rPr>
          <w:sz w:val="20"/>
          <w:szCs w:val="20"/>
        </w:rPr>
        <w:t xml:space="preserve">SFTP/TCP-IP connectivity to the CCE via Bancared, and to the AS-400 for file consolidation</w:t>
      </w:r>
    </w:p>
    <w:p>
      <w:pPr>
        <w:pStyle w:val="ListParagraph"/>
        <w:numPr>
          <w:ilvl w:val="0"/>
          <w:numId w:val="1"/>
        </w:numPr>
        <w:spacing w:after="80"/>
      </w:pPr>
      <w:r>
        <w:rPr>
          <w:sz w:val="20"/>
          <w:szCs w:val="20"/>
        </w:rPr>
        <w:t xml:space="preserve">Cryptographic scheme protecting the files transmitted to the CCE</w:t>
      </w:r>
    </w:p>
    <w:p>
      <w:pPr>
        <w:spacing w:after="120"/>
      </w:pPr>
      <w:r>
        <w:rPr>
          <w:sz w:val="20"/>
          <w:szCs w:val="20"/>
        </w:rPr>
        <w:t xml:space="preserve">No changes are made to the CCE's EDITRAN application.</w:t>
      </w:r>
    </w:p>
    <w:p>
      <w:pPr>
        <w:spacing w:before="200"/>
      </w:pPr>
    </w:p>
    <w:tbl>
      <w:tblPr>
        <w:tblW w:type="dxa" w:w="4000"/>
        <w:tblBorders>
          <w:top w:val="single" w:sz="4"/>
          <w:left w:val="single" w:sz="4"/>
          <w:bottom w:val="single" w:sz="4"/>
          <w:right w:val="single" w:sz="4"/>
          <w:insideH w:val="single" w:sz="4"/>
          <w:insideV w:val="single" w:sz="4"/>
        </w:tblBorders>
      </w:tblPr>
      <w:tblGrid>
        <w:gridCol w:w="4000"/>
      </w:tblGrid>
      <w:tr>
        <w:tc>
          <w:tcPr>
            <w:tcW w:type="dxa" w:w="4000"/>
            <w:shd w:fill="D9D9D9" w:color="auto" w:val="clear"/>
            <w:tcMar>
              <w:top w:type="dxa" w:w="60"/>
              <w:left w:type="dxa" w:w="100"/>
              <w:bottom w:type="dxa" w:w="60"/>
              <w:right w:type="dxa" w:w="100"/>
            </w:tcMar>
          </w:tcPr>
          <w:p>
            <w:pPr>
              <w:spacing w:after="0"/>
              <w:jc w:val="center"/>
            </w:pPr>
            <w:r>
              <w:rPr>
                <w:b/>
                <w:bCs/>
                <w:sz w:val="20"/>
                <w:szCs w:val="20"/>
              </w:rPr>
              <w:t xml:space="preserve">Overall Risk Rating</w:t>
            </w:r>
          </w:p>
        </w:tc>
      </w:tr>
      <w:tr>
        <w:tc>
          <w:tcPr>
            <w:tcW w:type="dxa" w:w="4000"/>
            <w:tcMar>
              <w:top w:type="dxa" w:w="60"/>
              <w:left w:type="dxa" w:w="100"/>
              <w:bottom w:type="dxa" w:w="60"/>
              <w:right w:type="dxa" w:w="100"/>
            </w:tcMar>
          </w:tcPr>
          <w:p>
            <w:pPr>
              <w:spacing w:after="0"/>
              <w:jc w:val="center"/>
            </w:pPr>
            <w:r>
              <w:rPr>
                <w:b/>
                <w:bCs/>
                <w:sz w:val="20"/>
                <w:szCs w:val="20"/>
              </w:rPr>
              <w:t xml:space="preserve">Medium</w:t>
            </w:r>
          </w:p>
        </w:tc>
      </w:tr>
    </w:tbl>
    <w:p>
      <w:pPr>
        <w:spacing w:after="120"/>
      </w:pPr>
      <w:r>
        <w:rPr>
          <w:i/>
          <w:iCs/>
          <w:sz w:val="20"/>
          <w:szCs w:val="20"/>
        </w:rPr>
        <w:t xml:space="preserve">*Overall risk rating must reflect the highest individual residual risk rating identified</w:t>
      </w:r>
    </w:p>
    <w:p>
      <w:pPr>
        <w:pStyle w:val="Heading2"/>
        <w:spacing w:after="160" w:before="300"/>
      </w:pPr>
      <w:r>
        <w:rPr>
          <w:b/>
          <w:bCs/>
          <w:color w:val="1F3864"/>
          <w:sz w:val="26"/>
          <w:szCs w:val="26"/>
        </w:rPr>
        <w:t xml:space="preserve">Risk Statement</w:t>
      </w:r>
    </w:p>
    <w:p>
      <w:pPr>
        <w:spacing w:after="120"/>
      </w:pPr>
      <w:r>
        <w:rPr>
          <w:sz w:val="20"/>
          <w:szCs w:val="20"/>
        </w:rPr>
        <w:t xml:space="preserve">Overall risk is rated Medium. The system handles confidential, highly valuable data — interbank transfers — under critical availability and continuity requirements. Of the four deficiencies identified, three carry a Medium-Low residual once compensating controls are taken into account. Control Defect #4 (absence of SAST coverage) remains at Medium and therefore sets the overall rating.</w:t>
      </w:r>
    </w:p>
    <w:p>
      <w:pPr>
        <w:pStyle w:val="Heading2"/>
        <w:spacing w:after="160" w:before="300"/>
      </w:pPr>
      <w:r>
        <w:rPr>
          <w:b/>
          <w:bCs/>
          <w:color w:val="1F3864"/>
          <w:sz w:val="26"/>
          <w:szCs w:val="26"/>
        </w:rPr>
        <w:t xml:space="preserve">Assumptions</w:t>
      </w:r>
    </w:p>
    <w:p>
      <w:pPr>
        <w:pStyle w:val="ListParagraph"/>
        <w:numPr>
          <w:ilvl w:val="0"/>
          <w:numId w:val="1"/>
        </w:numPr>
        <w:spacing w:after="80"/>
      </w:pPr>
      <w:r>
        <w:rPr>
          <w:sz w:val="20"/>
          <w:szCs w:val="20"/>
        </w:rPr>
        <w:t xml:space="preserve">No new functionality is being implemented for the EDITRAN product; the changes focus on migrating the CCE application from a PC to dedicated servers and on automating process execution.</w:t>
      </w:r>
    </w:p>
    <w:p>
      <w:pPr>
        <w:pStyle w:val="ListParagraph"/>
        <w:numPr>
          <w:ilvl w:val="0"/>
          <w:numId w:val="1"/>
        </w:numPr>
        <w:spacing w:after="80"/>
      </w:pPr>
      <w:r>
        <w:rPr>
          <w:sz w:val="20"/>
          <w:szCs w:val="20"/>
        </w:rPr>
        <w:t xml:space="preserve">EDITRAN operates on dedicated servers per entity (CSF and SBP), each hosted on Windows Server 2019, with access restricted to Operators and Security through individual domain credentials.</w:t>
      </w:r>
    </w:p>
    <w:p>
      <w:pPr>
        <w:pStyle w:val="ListParagraph"/>
        <w:numPr>
          <w:ilvl w:val="0"/>
          <w:numId w:val="1"/>
        </w:numPr>
        <w:spacing w:after="80"/>
      </w:pPr>
      <w:r>
        <w:rPr>
          <w:sz w:val="20"/>
          <w:szCs w:val="20"/>
        </w:rPr>
        <w:t xml:space="preserve">Communication to the CCE takes place exclusively via Bancared, over the ports and IP addresses registered and authorized by the regulator.</w:t>
      </w:r>
    </w:p>
    <w:p>
      <w:pPr>
        <w:pStyle w:val="ListParagraph"/>
        <w:numPr>
          <w:ilvl w:val="0"/>
          <w:numId w:val="1"/>
        </w:numPr>
        <w:spacing w:after="80"/>
      </w:pPr>
      <w:r>
        <w:rPr>
          <w:sz w:val="20"/>
          <w:szCs w:val="20"/>
        </w:rPr>
        <w:t xml:space="preserve">The TDES-3 confidentiality algorithm and the RSA 4096 authentication scheme are defined by the regulator's protocol (CCE) and cannot be configured unilaterally by the entity.</w:t>
      </w:r>
    </w:p>
    <w:p>
      <w:pPr>
        <w:pStyle w:val="ListParagraph"/>
        <w:numPr>
          <w:ilvl w:val="0"/>
          <w:numId w:val="1"/>
        </w:numPr>
        <w:spacing w:after="80"/>
      </w:pPr>
      <w:r>
        <w:rPr>
          <w:sz w:val="20"/>
          <w:szCs w:val="20"/>
        </w:rPr>
        <w:t xml:space="preserve">The IS&amp;Advisory team assumes that the information provided (ARB, TDD, emails from the EDITRAN support team and application security reports) is accurate and corresponds to the development carried out within the defined scope.</w:t>
      </w:r>
    </w:p>
    <w:p>
      <w:pPr>
        <w:spacing w:after="120"/>
      </w:pPr>
      <w:r>
        <w:rPr>
          <w:i/>
          <w:iCs/>
          <w:sz w:val="20"/>
          <w:szCs w:val="20"/>
        </w:rPr>
        <w:t xml:space="preserve">Note: Should anything change relative to the data or mitigating controls impacting the residual risk, this threat/risk assessment must be revisited.</w:t>
      </w:r>
    </w:p>
    <w:p>
      <w:r>
        <w:br w:type="page"/>
      </w:r>
    </w:p>
    <w:p>
      <w:pPr>
        <w:spacing w:after="240"/>
      </w:pPr>
      <w:r>
        <w:rPr>
          <w:b/>
          <w:bCs/>
          <w:sz w:val="24"/>
          <w:szCs w:val="24"/>
        </w:rPr>
        <w:t xml:space="preserve">FOR MISSING OR DEFICIENT CONTROLS</w:t>
      </w:r>
    </w:p>
    <w:tbl>
      <w:tblPr>
        <w:tblW w:type="dxa" w:w="9600"/>
        <w:tblBorders>
          <w:top w:val="single" w:sz="4"/>
          <w:left w:val="single" w:sz="4"/>
          <w:bottom w:val="single" w:sz="4"/>
          <w:right w:val="single" w:sz="4"/>
          <w:insideH w:val="single" w:sz="4"/>
          <w:insideV w:val="single" w:sz="4"/>
        </w:tblBorders>
      </w:tblPr>
      <w:tblGrid>
        <w:gridCol w:w="2400"/>
        <w:gridCol w:w="7200"/>
      </w:tblGrid>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Defect #</w:t>
            </w:r>
          </w:p>
        </w:tc>
        <w:tc>
          <w:tcPr>
            <w:tcW w:type="dxa" w:w="7200"/>
            <w:tcMar>
              <w:top w:type="dxa" w:w="60"/>
              <w:left w:type="dxa" w:w="100"/>
              <w:bottom w:type="dxa" w:w="60"/>
              <w:right w:type="dxa" w:w="100"/>
            </w:tcMar>
          </w:tcPr>
          <w:p>
            <w:pPr>
              <w:spacing w:after="0"/>
            </w:pPr>
            <w:r>
              <w:rPr>
                <w:sz w:val="20"/>
                <w:szCs w:val="20"/>
              </w:rPr>
              <w:t xml:space="preserve">Control Defect #1: Lack of Corporate Identity Integration for the EDITRAN SIGNON (SSO)</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Title</w:t>
            </w:r>
          </w:p>
        </w:tc>
        <w:tc>
          <w:tcPr>
            <w:tcW w:type="dxa" w:w="7200"/>
            <w:tcMar>
              <w:top w:type="dxa" w:w="60"/>
              <w:left w:type="dxa" w:w="100"/>
              <w:bottom w:type="dxa" w:w="60"/>
              <w:right w:type="dxa" w:w="100"/>
            </w:tcMar>
          </w:tcPr>
          <w:p>
            <w:pPr>
              <w:spacing w:after="0"/>
            </w:pPr>
            <w:r>
              <w:rPr>
                <w:sz w:val="20"/>
                <w:szCs w:val="20"/>
              </w:rPr>
              <w:t xml:space="preserve">Authentication to the EDITRAN application is performed using a local SIGNON not integrated with the corporate identity model (SSO).</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Threat Category</w:t>
            </w:r>
          </w:p>
        </w:tc>
        <w:tc>
          <w:tcPr>
            <w:tcW w:type="dxa" w:w="7200"/>
            <w:tcMar>
              <w:top w:type="dxa" w:w="60"/>
              <w:left w:type="dxa" w:w="100"/>
              <w:bottom w:type="dxa" w:w="60"/>
              <w:right w:type="dxa" w:w="100"/>
            </w:tcMar>
          </w:tcPr>
          <w:p>
            <w:pPr>
              <w:spacing w:after="0"/>
            </w:pPr>
            <w:r>
              <w:rPr>
                <w:sz w:val="20"/>
                <w:szCs w:val="20"/>
              </w:rPr>
              <w:t xml:space="preserve">Spoofing Identity</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Taxonomy</w:t>
            </w:r>
          </w:p>
        </w:tc>
        <w:tc>
          <w:tcPr>
            <w:tcW w:type="dxa" w:w="7200"/>
            <w:tcMar>
              <w:top w:type="dxa" w:w="60"/>
              <w:left w:type="dxa" w:w="100"/>
              <w:bottom w:type="dxa" w:w="60"/>
              <w:right w:type="dxa" w:w="100"/>
            </w:tcMar>
          </w:tcPr>
          <w:p>
            <w:pPr>
              <w:spacing w:after="0"/>
            </w:pPr>
            <w:r>
              <w:rPr>
                <w:sz w:val="20"/>
                <w:szCs w:val="20"/>
              </w:rPr>
              <w:t xml:space="preserve">Identity and Access Management / User Authentication (IAM, SSO, Federation)</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Standards Impacted</w:t>
            </w:r>
          </w:p>
        </w:tc>
        <w:tc>
          <w:tcPr>
            <w:tcW w:type="dxa" w:w="7200"/>
            <w:tcMar>
              <w:top w:type="dxa" w:w="60"/>
              <w:left w:type="dxa" w:w="100"/>
              <w:bottom w:type="dxa" w:w="60"/>
              <w:right w:type="dxa" w:w="100"/>
            </w:tcMar>
          </w:tcPr>
          <w:p>
            <w:pPr>
              <w:spacing w:after="0"/>
            </w:pPr>
            <w:r>
              <w:rPr>
                <w:sz w:val="20"/>
                <w:szCs w:val="20"/>
              </w:rPr>
              <w:t xml:space="preserve">Identity and Access Management Policy; Access Control Standard; Critical Information Asset Security</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Deficiency</w:t>
            </w:r>
          </w:p>
        </w:tc>
        <w:tc>
          <w:tcPr>
            <w:tcW w:type="dxa" w:w="7200"/>
            <w:tcMar>
              <w:top w:type="dxa" w:w="60"/>
              <w:left w:type="dxa" w:w="100"/>
              <w:bottom w:type="dxa" w:w="60"/>
              <w:right w:type="dxa" w:w="100"/>
            </w:tcMar>
          </w:tcPr>
          <w:p>
            <w:pPr>
              <w:spacing w:after="100"/>
            </w:pPr>
            <w:r>
              <w:rPr>
                <w:sz w:val="20"/>
                <w:szCs w:val="20"/>
              </w:rPr>
              <w:t xml:space="preserve">Access to the EDITRAN 5.2 application is performed through the product's own SIGNON process provided by the CCE, with credentials managed locally within the application and independently from the corporate identity provider (Active Directory / SSO).</w:t>
            </w:r>
          </w:p>
          <w:p>
            <w:pPr>
              <w:spacing w:after="0"/>
            </w:pPr>
            <w:r>
              <w:rPr>
                <w:sz w:val="20"/>
                <w:szCs w:val="20"/>
              </w:rPr>
              <w:t xml:space="preserve">Because these credentials never pass through the corporate IAM process, they are not provisioned, revoked or re-certified centrally. In practice this means no MFA, no enforced password rotation, and no automatic revocation when a user leaves or changes role.</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Inherent Risk:</w:t>
            </w:r>
          </w:p>
        </w:tc>
        <w:tc>
          <w:tcPr>
            <w:tcW w:type="dxa" w:w="7200"/>
            <w:tcMar>
              <w:top w:type="dxa" w:w="60"/>
              <w:left w:type="dxa" w:w="100"/>
              <w:bottom w:type="dxa" w:w="60"/>
              <w:right w:type="dxa" w:w="100"/>
            </w:tcMar>
          </w:tcPr>
          <w:p>
            <w:pPr>
              <w:spacing w:after="40"/>
            </w:pPr>
            <w:r>
              <w:rPr>
                <w:b/>
                <w:bCs/>
                <w:sz w:val="20"/>
                <w:szCs w:val="20"/>
              </w:rPr>
              <w:t xml:space="preserve">Impact: </w:t>
            </w:r>
            <w:r>
              <w:rPr>
                <w:sz w:val="20"/>
                <w:szCs w:val="20"/>
              </w:rPr>
              <w:t xml:space="preserve">High</w:t>
            </w:r>
          </w:p>
          <w:p>
            <w:pPr>
              <w:spacing w:after="40"/>
            </w:pPr>
            <w:r>
              <w:rPr>
                <w:b/>
                <w:bCs/>
                <w:sz w:val="20"/>
                <w:szCs w:val="20"/>
              </w:rPr>
              <w:t xml:space="preserve">Likelihood: </w:t>
            </w:r>
            <w:r>
              <w:rPr>
                <w:sz w:val="20"/>
                <w:szCs w:val="20"/>
              </w:rPr>
              <w:t xml:space="preserve">Medium</w:t>
            </w:r>
          </w:p>
          <w:p>
            <w:pPr>
              <w:spacing w:after="0"/>
            </w:pPr>
            <w:r>
              <w:rPr>
                <w:b/>
                <w:bCs/>
                <w:sz w:val="20"/>
                <w:szCs w:val="20"/>
              </w:rPr>
              <w:t xml:space="preserve">Inherent Rating: </w:t>
            </w:r>
            <w:r>
              <w:rPr>
                <w:b/>
                <w:bCs/>
                <w:i/>
                <w:iCs/>
                <w:sz w:val="20"/>
                <w:szCs w:val="20"/>
              </w:rPr>
              <w:t xml:space="preserve">High</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Risk Description</w:t>
            </w:r>
          </w:p>
        </w:tc>
        <w:tc>
          <w:tcPr>
            <w:tcW w:type="dxa" w:w="7200"/>
            <w:tcMar>
              <w:top w:type="dxa" w:w="60"/>
              <w:left w:type="dxa" w:w="100"/>
              <w:bottom w:type="dxa" w:w="60"/>
              <w:right w:type="dxa" w:w="100"/>
            </w:tcMar>
          </w:tcPr>
          <w:p>
            <w:pPr>
              <w:spacing w:after="0"/>
            </w:pPr>
            <w:r>
              <w:rPr>
                <w:sz w:val="20"/>
                <w:szCs w:val="20"/>
              </w:rPr>
              <w:t xml:space="preserve">There is a risk that an unauthorized user, or a user terminated in the corporate directory, may retain or gain access to the EDITRAN SIGNON because these credentials are managed outside the centralized identity lifecycle, resulting in unauthorized execution of interbank transfers to the CCE and loss of individual traceability over those operations.</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Existing Mitigating / Compensating Controls</w:t>
            </w:r>
          </w:p>
        </w:tc>
        <w:tc>
          <w:tcPr>
            <w:tcW w:type="dxa" w:w="7200"/>
            <w:tcMar>
              <w:top w:type="dxa" w:w="60"/>
              <w:left w:type="dxa" w:w="100"/>
              <w:bottom w:type="dxa" w:w="60"/>
              <w:right w:type="dxa" w:w="100"/>
            </w:tcMar>
          </w:tcPr>
          <w:p>
            <w:pPr>
              <w:pStyle w:val="ListParagraph"/>
              <w:numPr>
                <w:ilvl w:val="0"/>
                <w:numId w:val="1"/>
              </w:numPr>
              <w:spacing w:after="80"/>
            </w:pPr>
            <w:r>
              <w:rPr>
                <w:sz w:val="20"/>
                <w:szCs w:val="20"/>
              </w:rPr>
              <w:t xml:space="preserve">The Interim design of the TDD (p. 15) automates the execution of sending and receipt review processes through dedicated Windows services (Transmission, Maintenance, Special Command, Event Successor), eliminating the need for a user to interactively log into the EDITRAN application to operate.</w:t>
            </w:r>
          </w:p>
          <w:p>
            <w:pPr>
              <w:pStyle w:val="ListParagraph"/>
              <w:numPr>
                <w:ilvl w:val="0"/>
                <w:numId w:val="1"/>
              </w:numPr>
              <w:spacing w:after="80"/>
            </w:pPr>
            <w:r>
              <w:rPr>
                <w:sz w:val="20"/>
                <w:szCs w:val="20"/>
              </w:rPr>
              <w:t xml:space="preserve">Shipment and receipt tracking is performed through the Tracking Web module hosted on each company's intranet, which authenticates against Active Directory / Passport (OAuth 2.0) and applies differentiated roles (ControlAccesos, Operadores, AdmReportes).</w:t>
            </w:r>
          </w:p>
          <w:p>
            <w:pPr>
              <w:pStyle w:val="ListParagraph"/>
              <w:numPr>
                <w:ilvl w:val="0"/>
                <w:numId w:val="1"/>
              </w:numPr>
              <w:spacing w:after="80"/>
            </w:pPr>
            <w:r>
              <w:rPr>
                <w:sz w:val="20"/>
                <w:szCs w:val="20"/>
              </w:rPr>
              <w:t xml:space="preserve">The server is dedicated per entity (CSF and SBP); OS-level access requires individual domain credentials, and outbound connectivity is restricted to the CCE IP and port over Bancared, with no Internet exposure.</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Residual Rating</w:t>
            </w:r>
          </w:p>
        </w:tc>
        <w:tc>
          <w:tcPr>
            <w:tcW w:type="dxa" w:w="7200"/>
            <w:tcMar>
              <w:top w:type="dxa" w:w="60"/>
              <w:left w:type="dxa" w:w="100"/>
              <w:bottom w:type="dxa" w:w="60"/>
              <w:right w:type="dxa" w:w="100"/>
            </w:tcMar>
          </w:tcPr>
          <w:p>
            <w:pPr>
              <w:spacing w:after="40"/>
            </w:pPr>
            <w:r>
              <w:rPr>
                <w:b/>
                <w:bCs/>
                <w:sz w:val="20"/>
                <w:szCs w:val="20"/>
              </w:rPr>
              <w:t xml:space="preserve">Impact: </w:t>
            </w:r>
            <w:r>
              <w:rPr>
                <w:sz w:val="20"/>
                <w:szCs w:val="20"/>
              </w:rPr>
              <w:t xml:space="preserve">Medium</w:t>
            </w:r>
          </w:p>
          <w:p>
            <w:pPr>
              <w:spacing w:after="40"/>
            </w:pPr>
            <w:r>
              <w:rPr>
                <w:b/>
                <w:bCs/>
                <w:sz w:val="20"/>
                <w:szCs w:val="20"/>
              </w:rPr>
              <w:t xml:space="preserve">Likelihood: </w:t>
            </w:r>
            <w:r>
              <w:rPr>
                <w:sz w:val="20"/>
                <w:szCs w:val="20"/>
              </w:rPr>
              <w:t xml:space="preserve">Low</w:t>
            </w:r>
          </w:p>
          <w:p>
            <w:pPr>
              <w:spacing w:after="0"/>
            </w:pPr>
            <w:r>
              <w:rPr>
                <w:b/>
                <w:bCs/>
                <w:sz w:val="20"/>
                <w:szCs w:val="20"/>
              </w:rPr>
              <w:t xml:space="preserve">Residual Rating: </w:t>
            </w:r>
            <w:r>
              <w:rPr>
                <w:b/>
                <w:bCs/>
                <w:i/>
                <w:iCs/>
                <w:color w:val="C00000"/>
                <w:sz w:val="20"/>
                <w:szCs w:val="20"/>
              </w:rPr>
              <w:t xml:space="preserve">Medium-Low</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Is an Issue?</w:t>
            </w:r>
          </w:p>
        </w:tc>
        <w:tc>
          <w:tcPr>
            <w:tcW w:type="dxa" w:w="7200"/>
            <w:tcMar>
              <w:top w:type="dxa" w:w="60"/>
              <w:left w:type="dxa" w:w="100"/>
              <w:bottom w:type="dxa" w:w="60"/>
              <w:right w:type="dxa" w:w="100"/>
            </w:tcMar>
          </w:tcPr>
          <w:p>
            <w:pPr>
              <w:spacing w:after="0"/>
            </w:pPr>
            <w:r>
              <w:rPr>
                <w:sz w:val="20"/>
                <w:szCs w:val="20"/>
              </w:rPr>
              <w:t xml:space="preserve">No</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Action Plan</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Due date</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Required Evidence for Closure</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Remediation Owner</w:t>
            </w:r>
          </w:p>
        </w:tc>
        <w:tc>
          <w:tcPr>
            <w:tcW w:type="dxa" w:w="7200"/>
            <w:tcMar>
              <w:top w:type="dxa" w:w="60"/>
              <w:left w:type="dxa" w:w="100"/>
              <w:bottom w:type="dxa" w:w="60"/>
              <w:right w:type="dxa" w:w="100"/>
            </w:tcMar>
          </w:tcPr>
          <w:p>
            <w:pPr>
              <w:spacing w:after="0"/>
            </w:pPr>
            <w:r>
              <w:rPr>
                <w:sz w:val="20"/>
                <w:szCs w:val="20"/>
              </w:rPr>
              <w:t xml:space="preserve">Eric Edwin Roques Lizarraga – IT Engineering Senior Manager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Target Rating</w:t>
            </w:r>
          </w:p>
        </w:tc>
        <w:tc>
          <w:tcPr>
            <w:tcW w:type="dxa" w:w="7200"/>
            <w:tcMar>
              <w:top w:type="dxa" w:w="60"/>
              <w:left w:type="dxa" w:w="100"/>
              <w:bottom w:type="dxa" w:w="60"/>
              <w:right w:type="dxa" w:w="100"/>
            </w:tcMar>
          </w:tcPr>
          <w:p>
            <w:pPr>
              <w:spacing w:after="60"/>
            </w:pPr>
            <w:r>
              <w:rPr>
                <w:i/>
                <w:iCs/>
                <w:sz w:val="20"/>
                <w:szCs w:val="20"/>
              </w:rPr>
              <w:t xml:space="preserve">Refers to the risk rating after the action plan has been implemented.</w:t>
            </w:r>
          </w:p>
          <w:p>
            <w:pPr>
              <w:spacing w:after="40"/>
            </w:pPr>
            <w:r>
              <w:rPr>
                <w:b/>
                <w:bCs/>
                <w:sz w:val="20"/>
                <w:szCs w:val="20"/>
              </w:rPr>
              <w:t xml:space="preserve">Target Impact: </w:t>
            </w:r>
            <w:r>
              <w:rPr>
                <w:sz w:val="20"/>
                <w:szCs w:val="20"/>
              </w:rPr>
              <w:t xml:space="preserve">Medium</w:t>
            </w:r>
          </w:p>
          <w:p>
            <w:pPr>
              <w:spacing w:after="40"/>
            </w:pPr>
            <w:r>
              <w:rPr>
                <w:b/>
                <w:bCs/>
                <w:sz w:val="20"/>
                <w:szCs w:val="20"/>
              </w:rPr>
              <w:t xml:space="preserve">Target Likelihood: </w:t>
            </w:r>
            <w:r>
              <w:rPr>
                <w:sz w:val="20"/>
                <w:szCs w:val="20"/>
              </w:rPr>
              <w:t xml:space="preserve">Low</w:t>
            </w:r>
          </w:p>
          <w:p>
            <w:pPr>
              <w:spacing w:after="0"/>
            </w:pPr>
            <w:r>
              <w:rPr>
                <w:b/>
                <w:bCs/>
                <w:sz w:val="20"/>
                <w:szCs w:val="20"/>
              </w:rPr>
              <w:t xml:space="preserve">Target Rating: </w:t>
            </w:r>
            <w:r>
              <w:rPr>
                <w:b/>
                <w:bCs/>
                <w:i/>
                <w:iCs/>
                <w:sz w:val="20"/>
                <w:szCs w:val="20"/>
              </w:rPr>
              <w:t xml:space="preserve">Medium-Low</w:t>
            </w:r>
          </w:p>
        </w:tc>
      </w:tr>
    </w:tbl>
    <w:p>
      <w:pPr>
        <w:spacing w:before="300"/>
      </w:pPr>
    </w:p>
    <w:tbl>
      <w:tblPr>
        <w:tblW w:type="dxa" w:w="9600"/>
        <w:tblBorders>
          <w:top w:val="single" w:sz="4"/>
          <w:left w:val="single" w:sz="4"/>
          <w:bottom w:val="single" w:sz="4"/>
          <w:right w:val="single" w:sz="4"/>
          <w:insideH w:val="single" w:sz="4"/>
          <w:insideV w:val="single" w:sz="4"/>
        </w:tblBorders>
      </w:tblPr>
      <w:tblGrid>
        <w:gridCol w:w="2400"/>
        <w:gridCol w:w="7200"/>
      </w:tblGrid>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Defect #</w:t>
            </w:r>
          </w:p>
        </w:tc>
        <w:tc>
          <w:tcPr>
            <w:tcW w:type="dxa" w:w="7200"/>
            <w:tcMar>
              <w:top w:type="dxa" w:w="60"/>
              <w:left w:type="dxa" w:w="100"/>
              <w:bottom w:type="dxa" w:w="60"/>
              <w:right w:type="dxa" w:w="100"/>
            </w:tcMar>
          </w:tcPr>
          <w:p>
            <w:pPr>
              <w:spacing w:after="0"/>
            </w:pPr>
            <w:r>
              <w:rPr>
                <w:sz w:val="20"/>
                <w:szCs w:val="20"/>
              </w:rPr>
              <w:t xml:space="preserve">Control Defect #2: Excessive Privileges on the EDITRAN Service Account</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Title</w:t>
            </w:r>
          </w:p>
        </w:tc>
        <w:tc>
          <w:tcPr>
            <w:tcW w:type="dxa" w:w="7200"/>
            <w:tcMar>
              <w:top w:type="dxa" w:w="60"/>
              <w:left w:type="dxa" w:w="100"/>
              <w:bottom w:type="dxa" w:w="60"/>
              <w:right w:type="dxa" w:w="100"/>
            </w:tcMar>
          </w:tcPr>
          <w:p>
            <w:pPr>
              <w:spacing w:after="0"/>
            </w:pPr>
            <w:r>
              <w:rPr>
                <w:sz w:val="20"/>
                <w:szCs w:val="20"/>
              </w:rPr>
              <w:t xml:space="preserve">The EDITRAN component runs under a domain account with Administrator role, without segregation of duties or privileges limited to its operation.</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Threat Category</w:t>
            </w:r>
          </w:p>
        </w:tc>
        <w:tc>
          <w:tcPr>
            <w:tcW w:type="dxa" w:w="7200"/>
            <w:tcMar>
              <w:top w:type="dxa" w:w="60"/>
              <w:left w:type="dxa" w:w="100"/>
              <w:bottom w:type="dxa" w:w="60"/>
              <w:right w:type="dxa" w:w="100"/>
            </w:tcMar>
          </w:tcPr>
          <w:p>
            <w:pPr>
              <w:spacing w:after="0"/>
            </w:pPr>
            <w:r>
              <w:rPr>
                <w:sz w:val="20"/>
                <w:szCs w:val="20"/>
              </w:rPr>
              <w:t xml:space="preserve">Elevation of Privilege</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Taxonomy</w:t>
            </w:r>
          </w:p>
        </w:tc>
        <w:tc>
          <w:tcPr>
            <w:tcW w:type="dxa" w:w="7200"/>
            <w:tcMar>
              <w:top w:type="dxa" w:w="60"/>
              <w:left w:type="dxa" w:w="100"/>
              <w:bottom w:type="dxa" w:w="60"/>
              <w:right w:type="dxa" w:w="100"/>
            </w:tcMar>
          </w:tcPr>
          <w:p>
            <w:pPr>
              <w:spacing w:after="0"/>
            </w:pPr>
            <w:r>
              <w:rPr>
                <w:sz w:val="20"/>
                <w:szCs w:val="20"/>
              </w:rPr>
              <w:t xml:space="preserve">Role Design and Entitlement Management / Least Privilege Enforcement</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Standards Impacted</w:t>
            </w:r>
          </w:p>
        </w:tc>
        <w:tc>
          <w:tcPr>
            <w:tcW w:type="dxa" w:w="7200"/>
            <w:tcMar>
              <w:top w:type="dxa" w:w="60"/>
              <w:left w:type="dxa" w:w="100"/>
              <w:bottom w:type="dxa" w:w="60"/>
              <w:right w:type="dxa" w:w="100"/>
            </w:tcMar>
          </w:tcPr>
          <w:p>
            <w:pPr>
              <w:spacing w:after="0"/>
            </w:pPr>
            <w:r>
              <w:rPr>
                <w:sz w:val="20"/>
                <w:szCs w:val="20"/>
              </w:rPr>
              <w:t xml:space="preserve">Identity and Access Management Policy; Access Control Standard; Critical Information Asset Security</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Deficiency</w:t>
            </w:r>
          </w:p>
        </w:tc>
        <w:tc>
          <w:tcPr>
            <w:tcW w:type="dxa" w:w="7200"/>
            <w:tcMar>
              <w:top w:type="dxa" w:w="60"/>
              <w:left w:type="dxa" w:w="100"/>
              <w:bottom w:type="dxa" w:w="60"/>
              <w:right w:type="dxa" w:w="100"/>
            </w:tcMar>
          </w:tcPr>
          <w:p>
            <w:pPr>
              <w:spacing w:after="100"/>
            </w:pPr>
            <w:r>
              <w:rPr>
                <w:sz w:val="20"/>
                <w:szCs w:val="20"/>
              </w:rPr>
              <w:t xml:space="preserve">According to the Authorization Model in the TDD (section 14.9), the "Editran components" component authenticates using a Windows domain account with Administrator authorization level and Read / Write / Execute permissions on the server.</w:t>
            </w:r>
          </w:p>
          <w:p>
            <w:pPr>
              <w:spacing w:after="0"/>
            </w:pPr>
            <w:r>
              <w:rPr>
                <w:sz w:val="20"/>
                <w:szCs w:val="20"/>
              </w:rPr>
              <w:t xml:space="preserve">No scoped service account was defined for the operations the component actually performs (transmission, maintenance, special command), so least privilege is not enforced. Application operation and operating system administration are not segregated.</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Inherent Risk:</w:t>
            </w:r>
          </w:p>
        </w:tc>
        <w:tc>
          <w:tcPr>
            <w:tcW w:type="dxa" w:w="7200"/>
            <w:tcMar>
              <w:top w:type="dxa" w:w="60"/>
              <w:left w:type="dxa" w:w="100"/>
              <w:bottom w:type="dxa" w:w="60"/>
              <w:right w:type="dxa" w:w="100"/>
            </w:tcMar>
          </w:tcPr>
          <w:p>
            <w:pPr>
              <w:spacing w:after="40"/>
            </w:pPr>
            <w:r>
              <w:rPr>
                <w:b/>
                <w:bCs/>
                <w:sz w:val="20"/>
                <w:szCs w:val="20"/>
              </w:rPr>
              <w:t xml:space="preserve">Impact: </w:t>
            </w:r>
            <w:r>
              <w:rPr>
                <w:sz w:val="20"/>
                <w:szCs w:val="20"/>
              </w:rPr>
              <w:t xml:space="preserve">High</w:t>
            </w:r>
          </w:p>
          <w:p>
            <w:pPr>
              <w:spacing w:after="40"/>
            </w:pPr>
            <w:r>
              <w:rPr>
                <w:b/>
                <w:bCs/>
                <w:sz w:val="20"/>
                <w:szCs w:val="20"/>
              </w:rPr>
              <w:t xml:space="preserve">Likelihood: </w:t>
            </w:r>
            <w:r>
              <w:rPr>
                <w:sz w:val="20"/>
                <w:szCs w:val="20"/>
              </w:rPr>
              <w:t xml:space="preserve">Medium</w:t>
            </w:r>
          </w:p>
          <w:p>
            <w:pPr>
              <w:spacing w:after="0"/>
            </w:pPr>
            <w:r>
              <w:rPr>
                <w:b/>
                <w:bCs/>
                <w:sz w:val="20"/>
                <w:szCs w:val="20"/>
              </w:rPr>
              <w:t xml:space="preserve">Inherent Rating: </w:t>
            </w:r>
            <w:r>
              <w:rPr>
                <w:b/>
                <w:bCs/>
                <w:i/>
                <w:iCs/>
                <w:sz w:val="20"/>
                <w:szCs w:val="20"/>
              </w:rPr>
              <w:t xml:space="preserve">High</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Risk Description</w:t>
            </w:r>
          </w:p>
        </w:tc>
        <w:tc>
          <w:tcPr>
            <w:tcW w:type="dxa" w:w="7200"/>
            <w:tcMar>
              <w:top w:type="dxa" w:w="60"/>
              <w:left w:type="dxa" w:w="100"/>
              <w:bottom w:type="dxa" w:w="60"/>
              <w:right w:type="dxa" w:w="100"/>
            </w:tcMar>
          </w:tcPr>
          <w:p>
            <w:pPr>
              <w:spacing w:after="0"/>
            </w:pPr>
            <w:r>
              <w:rPr>
                <w:sz w:val="20"/>
                <w:szCs w:val="20"/>
              </w:rPr>
              <w:t xml:space="preserve">There is a risk that compromise of the domain account or of the EDITRAN process itself hands an attacker Read / Write / Execute over the whole server, given the Administrator privileges assigned to the component, resulting in access to other processes, files and OS configuration, and in the possible manipulation of transfer files before they are sent to the CCE.</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Existing Mitigating / Compensating Controls</w:t>
            </w:r>
          </w:p>
        </w:tc>
        <w:tc>
          <w:tcPr>
            <w:tcW w:type="dxa" w:w="7200"/>
            <w:tcMar>
              <w:top w:type="dxa" w:w="60"/>
              <w:left w:type="dxa" w:w="100"/>
              <w:bottom w:type="dxa" w:w="60"/>
              <w:right w:type="dxa" w:w="100"/>
            </w:tcMar>
          </w:tcPr>
          <w:p>
            <w:pPr>
              <w:pStyle w:val="ListParagraph"/>
              <w:numPr>
                <w:ilvl w:val="0"/>
                <w:numId w:val="1"/>
              </w:numPr>
              <w:spacing w:after="80"/>
            </w:pPr>
            <w:r>
              <w:rPr>
                <w:sz w:val="20"/>
                <w:szCs w:val="20"/>
              </w:rPr>
              <w:t xml:space="preserve">The Interim design of the TDD (p. 15) enables dedicated infrastructure for each company (SBP and Santander) on Windows Server 2019, so that EDITRAN 5.2 is installed and operates in isolation, without sharing the server with other critical systems.</w:t>
            </w:r>
          </w:p>
          <w:p>
            <w:pPr>
              <w:pStyle w:val="ListParagraph"/>
              <w:numPr>
                <w:ilvl w:val="0"/>
                <w:numId w:val="1"/>
              </w:numPr>
              <w:spacing w:after="80"/>
            </w:pPr>
            <w:r>
              <w:rPr>
                <w:sz w:val="20"/>
                <w:szCs w:val="20"/>
              </w:rPr>
              <w:t xml:space="preserve">Under this same design, send and review processes run automatically through Windows services and events are recorded in each company's database, so the operations team tracks them from the monitoring web application on the intranet and does not require an interactive session with elevated privileges on the EDITRAN server.</w:t>
            </w:r>
          </w:p>
          <w:p>
            <w:pPr>
              <w:pStyle w:val="ListParagraph"/>
              <w:numPr>
                <w:ilvl w:val="0"/>
                <w:numId w:val="1"/>
              </w:numPr>
              <w:spacing w:after="80"/>
            </w:pPr>
            <w:r>
              <w:rPr>
                <w:sz w:val="20"/>
                <w:szCs w:val="20"/>
              </w:rPr>
              <w:t xml:space="preserve">Access to the domain account is limited to authorized Operators and Security personnel, with individual credentials.</w:t>
            </w:r>
          </w:p>
          <w:p>
            <w:pPr>
              <w:pStyle w:val="ListParagraph"/>
              <w:numPr>
                <w:ilvl w:val="0"/>
                <w:numId w:val="1"/>
              </w:numPr>
              <w:spacing w:after="80"/>
            </w:pPr>
            <w:r>
              <w:rPr>
                <w:sz w:val="20"/>
                <w:szCs w:val="20"/>
              </w:rPr>
              <w:t xml:space="preserve">Egress is limited to the CCE IP and port, which constrains what elevated privileges could be used for.</w:t>
            </w:r>
          </w:p>
          <w:p>
            <w:pPr>
              <w:pStyle w:val="ListParagraph"/>
              <w:numPr>
                <w:ilvl w:val="0"/>
                <w:numId w:val="1"/>
              </w:numPr>
              <w:spacing w:after="0"/>
            </w:pPr>
            <w:r>
              <w:rPr>
                <w:sz w:val="20"/>
                <w:szCs w:val="20"/>
              </w:rPr>
              <w:t xml:space="preserve">Server hardening and vulnerability assessment are performed via Tenable.</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Residual Rating</w:t>
            </w:r>
          </w:p>
        </w:tc>
        <w:tc>
          <w:tcPr>
            <w:tcW w:type="dxa" w:w="7200"/>
            <w:tcMar>
              <w:top w:type="dxa" w:w="60"/>
              <w:left w:type="dxa" w:w="100"/>
              <w:bottom w:type="dxa" w:w="60"/>
              <w:right w:type="dxa" w:w="100"/>
            </w:tcMar>
          </w:tcPr>
          <w:p>
            <w:pPr>
              <w:spacing w:after="40"/>
            </w:pPr>
            <w:r>
              <w:rPr>
                <w:b/>
                <w:bCs/>
                <w:sz w:val="20"/>
                <w:szCs w:val="20"/>
              </w:rPr>
              <w:t xml:space="preserve">Impact: </w:t>
            </w:r>
            <w:r>
              <w:rPr>
                <w:sz w:val="20"/>
                <w:szCs w:val="20"/>
              </w:rPr>
              <w:t xml:space="preserve">Medium</w:t>
            </w:r>
          </w:p>
          <w:p>
            <w:pPr>
              <w:spacing w:after="40"/>
            </w:pPr>
            <w:r>
              <w:rPr>
                <w:b/>
                <w:bCs/>
                <w:sz w:val="20"/>
                <w:szCs w:val="20"/>
              </w:rPr>
              <w:t xml:space="preserve">Likelihood: </w:t>
            </w:r>
            <w:r>
              <w:rPr>
                <w:sz w:val="20"/>
                <w:szCs w:val="20"/>
              </w:rPr>
              <w:t xml:space="preserve">Low</w:t>
            </w:r>
          </w:p>
          <w:p>
            <w:pPr>
              <w:spacing w:after="0"/>
            </w:pPr>
            <w:r>
              <w:rPr>
                <w:b/>
                <w:bCs/>
                <w:sz w:val="20"/>
                <w:szCs w:val="20"/>
              </w:rPr>
              <w:t xml:space="preserve">Residual Rating: </w:t>
            </w:r>
            <w:r>
              <w:rPr>
                <w:b/>
                <w:bCs/>
                <w:i/>
                <w:iCs/>
                <w:color w:val="C00000"/>
                <w:sz w:val="20"/>
                <w:szCs w:val="20"/>
              </w:rPr>
              <w:t xml:space="preserve">Medium-Low</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Is an Issue?</w:t>
            </w:r>
          </w:p>
        </w:tc>
        <w:tc>
          <w:tcPr>
            <w:tcW w:type="dxa" w:w="7200"/>
            <w:tcMar>
              <w:top w:type="dxa" w:w="60"/>
              <w:left w:type="dxa" w:w="100"/>
              <w:bottom w:type="dxa" w:w="60"/>
              <w:right w:type="dxa" w:w="100"/>
            </w:tcMar>
          </w:tcPr>
          <w:p>
            <w:pPr>
              <w:spacing w:after="0"/>
            </w:pPr>
            <w:r>
              <w:rPr>
                <w:sz w:val="20"/>
                <w:szCs w:val="20"/>
              </w:rPr>
              <w:t xml:space="preserve">No</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Action Plan</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Due date</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Required Evidence for Closure</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Remediation Owner</w:t>
            </w:r>
          </w:p>
        </w:tc>
        <w:tc>
          <w:tcPr>
            <w:tcW w:type="dxa" w:w="7200"/>
            <w:tcMar>
              <w:top w:type="dxa" w:w="60"/>
              <w:left w:type="dxa" w:w="100"/>
              <w:bottom w:type="dxa" w:w="60"/>
              <w:right w:type="dxa" w:w="100"/>
            </w:tcMar>
          </w:tcPr>
          <w:p>
            <w:pPr>
              <w:spacing w:after="0"/>
            </w:pPr>
            <w:r>
              <w:rPr>
                <w:sz w:val="20"/>
                <w:szCs w:val="20"/>
              </w:rPr>
              <w:t xml:space="preserve">Eric Edwin Roques Lizarraga – IT Engineering Senior Manager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Target Rating</w:t>
            </w:r>
          </w:p>
        </w:tc>
        <w:tc>
          <w:tcPr>
            <w:tcW w:type="dxa" w:w="7200"/>
            <w:tcMar>
              <w:top w:type="dxa" w:w="60"/>
              <w:left w:type="dxa" w:w="100"/>
              <w:bottom w:type="dxa" w:w="60"/>
              <w:right w:type="dxa" w:w="100"/>
            </w:tcMar>
          </w:tcPr>
          <w:p>
            <w:pPr>
              <w:spacing w:after="60"/>
            </w:pPr>
            <w:r>
              <w:rPr>
                <w:i/>
                <w:iCs/>
                <w:sz w:val="20"/>
                <w:szCs w:val="20"/>
              </w:rPr>
              <w:t xml:space="preserve">Refers to the risk rating after the action plan has been implemented.</w:t>
            </w:r>
          </w:p>
          <w:p>
            <w:pPr>
              <w:spacing w:after="40"/>
            </w:pPr>
            <w:r>
              <w:rPr>
                <w:b/>
                <w:bCs/>
                <w:sz w:val="20"/>
                <w:szCs w:val="20"/>
              </w:rPr>
              <w:t xml:space="preserve">Target Impact: </w:t>
            </w:r>
            <w:r>
              <w:rPr>
                <w:sz w:val="20"/>
                <w:szCs w:val="20"/>
              </w:rPr>
              <w:t xml:space="preserve">Medium</w:t>
            </w:r>
          </w:p>
          <w:p>
            <w:pPr>
              <w:spacing w:after="40"/>
            </w:pPr>
            <w:r>
              <w:rPr>
                <w:b/>
                <w:bCs/>
                <w:sz w:val="20"/>
                <w:szCs w:val="20"/>
              </w:rPr>
              <w:t xml:space="preserve">Target Likelihood: </w:t>
            </w:r>
            <w:r>
              <w:rPr>
                <w:sz w:val="20"/>
                <w:szCs w:val="20"/>
              </w:rPr>
              <w:t xml:space="preserve">Low</w:t>
            </w:r>
          </w:p>
          <w:p>
            <w:pPr>
              <w:spacing w:after="0"/>
            </w:pPr>
            <w:r>
              <w:rPr>
                <w:b/>
                <w:bCs/>
                <w:sz w:val="20"/>
                <w:szCs w:val="20"/>
              </w:rPr>
              <w:t xml:space="preserve">Target Rating: </w:t>
            </w:r>
            <w:r>
              <w:rPr>
                <w:b/>
                <w:bCs/>
                <w:i/>
                <w:iCs/>
                <w:sz w:val="20"/>
                <w:szCs w:val="20"/>
              </w:rPr>
              <w:t xml:space="preserve">Medium-Low</w:t>
            </w:r>
          </w:p>
        </w:tc>
      </w:tr>
    </w:tbl>
    <w:p>
      <w:pPr>
        <w:spacing w:before="300"/>
      </w:pPr>
    </w:p>
    <w:tbl>
      <w:tblPr>
        <w:tblW w:type="dxa" w:w="9600"/>
        <w:tblBorders>
          <w:top w:val="single" w:sz="4"/>
          <w:left w:val="single" w:sz="4"/>
          <w:bottom w:val="single" w:sz="4"/>
          <w:right w:val="single" w:sz="4"/>
          <w:insideH w:val="single" w:sz="4"/>
          <w:insideV w:val="single" w:sz="4"/>
        </w:tblBorders>
      </w:tblPr>
      <w:tblGrid>
        <w:gridCol w:w="2400"/>
        <w:gridCol w:w="7200"/>
      </w:tblGrid>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Defect #</w:t>
            </w:r>
          </w:p>
        </w:tc>
        <w:tc>
          <w:tcPr>
            <w:tcW w:type="dxa" w:w="7200"/>
            <w:tcMar>
              <w:top w:type="dxa" w:w="60"/>
              <w:left w:type="dxa" w:w="100"/>
              <w:bottom w:type="dxa" w:w="60"/>
              <w:right w:type="dxa" w:w="100"/>
            </w:tcMar>
          </w:tcPr>
          <w:p>
            <w:pPr>
              <w:spacing w:after="0"/>
            </w:pPr>
            <w:r>
              <w:rPr>
                <w:sz w:val="20"/>
                <w:szCs w:val="20"/>
              </w:rPr>
              <w:t xml:space="preserve">Control Defect #3: Encryption of Transmissions to the CCE – Use of TDES (3DES)</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Title</w:t>
            </w:r>
          </w:p>
        </w:tc>
        <w:tc>
          <w:tcPr>
            <w:tcW w:type="dxa" w:w="7200"/>
            <w:tcMar>
              <w:top w:type="dxa" w:w="60"/>
              <w:left w:type="dxa" w:w="100"/>
              <w:bottom w:type="dxa" w:w="60"/>
              <w:right w:type="dxa" w:w="100"/>
            </w:tcMar>
          </w:tcPr>
          <w:p>
            <w:pPr>
              <w:spacing w:after="0"/>
            </w:pPr>
            <w:r>
              <w:rPr>
                <w:sz w:val="20"/>
                <w:szCs w:val="20"/>
              </w:rPr>
              <w:t xml:space="preserve">The confidentiality of files transmitted to the CCE is implemented with TDES-3, a legacy symmetric algorithm not aligned with the current cryptographic standard.</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Threat Category</w:t>
            </w:r>
          </w:p>
        </w:tc>
        <w:tc>
          <w:tcPr>
            <w:tcW w:type="dxa" w:w="7200"/>
            <w:tcMar>
              <w:top w:type="dxa" w:w="60"/>
              <w:left w:type="dxa" w:w="100"/>
              <w:bottom w:type="dxa" w:w="60"/>
              <w:right w:type="dxa" w:w="100"/>
            </w:tcMar>
          </w:tcPr>
          <w:p>
            <w:pPr>
              <w:spacing w:after="0"/>
            </w:pPr>
            <w:r>
              <w:rPr>
                <w:sz w:val="20"/>
                <w:szCs w:val="20"/>
              </w:rPr>
              <w:t xml:space="preserve">Information Disclosure</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Taxonomy</w:t>
            </w:r>
          </w:p>
        </w:tc>
        <w:tc>
          <w:tcPr>
            <w:tcW w:type="dxa" w:w="7200"/>
            <w:tcMar>
              <w:top w:type="dxa" w:w="60"/>
              <w:left w:type="dxa" w:w="100"/>
              <w:bottom w:type="dxa" w:w="60"/>
              <w:right w:type="dxa" w:w="100"/>
            </w:tcMar>
          </w:tcPr>
          <w:p>
            <w:pPr>
              <w:spacing w:after="0"/>
            </w:pPr>
            <w:r>
              <w:rPr>
                <w:sz w:val="20"/>
                <w:szCs w:val="20"/>
              </w:rPr>
              <w:t xml:space="preserve">Cryptography / Data Protection in Transit</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Standards Impacted</w:t>
            </w:r>
          </w:p>
        </w:tc>
        <w:tc>
          <w:tcPr>
            <w:tcW w:type="dxa" w:w="7200"/>
            <w:tcMar>
              <w:top w:type="dxa" w:w="60"/>
              <w:left w:type="dxa" w:w="100"/>
              <w:bottom w:type="dxa" w:w="60"/>
              <w:right w:type="dxa" w:w="100"/>
            </w:tcMar>
          </w:tcPr>
          <w:p>
            <w:pPr>
              <w:spacing w:after="0"/>
            </w:pPr>
            <w:r>
              <w:rPr>
                <w:sz w:val="20"/>
                <w:szCs w:val="20"/>
              </w:rPr>
              <w:t xml:space="preserve">Cryptographic Standard; Data Protection Policy; Information Protection in Transit</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Deficiency</w:t>
            </w:r>
          </w:p>
        </w:tc>
        <w:tc>
          <w:tcPr>
            <w:tcW w:type="dxa" w:w="7200"/>
            <w:tcMar>
              <w:top w:type="dxa" w:w="60"/>
              <w:left w:type="dxa" w:w="100"/>
              <w:bottom w:type="dxa" w:w="60"/>
              <w:right w:type="dxa" w:w="100"/>
            </w:tcMar>
          </w:tcPr>
          <w:p>
            <w:pPr>
              <w:spacing w:after="100"/>
            </w:pPr>
            <w:r>
              <w:rPr>
                <w:sz w:val="20"/>
                <w:szCs w:val="20"/>
              </w:rPr>
              <w:t xml:space="preserve">According to the EDITRAN documentation and confirmation from the product support team, since the migration to EDITRAN 5.2 (April 2025) the confidentiality of each file transmitted to the CCE is implemented using the TDES-3 algorithm (Triple DES with triple-length key), accompanied by 4096-bit RSA authentication and signing with SHA-256 hash.</w:t>
            </w:r>
          </w:p>
          <w:p>
            <w:pPr>
              <w:spacing w:after="100"/>
            </w:pPr>
            <w:r>
              <w:rPr>
                <w:sz w:val="20"/>
                <w:szCs w:val="20"/>
              </w:rPr>
              <w:t xml:space="preserve">TDES-3 is a 64-bit block cipher, deprecated under NIST SP 800-131A on account of its exposure to block collision attacks (Sweet32), and it falls short of the AES-256 equivalent strength the corporate standard requires for confidential data in transit. This is a gap against that standard.</w:t>
            </w:r>
          </w:p>
          <w:p>
            <w:pPr>
              <w:spacing w:after="0"/>
            </w:pPr>
            <w:r>
              <w:rPr>
                <w:sz w:val="20"/>
                <w:szCs w:val="20"/>
              </w:rPr>
              <w:t xml:space="preserve">Additionally, as of the date of this assessment it has not been confirmed with the CCE whether communication between the entity's EDITRAN and the CCE's EDITRAN is additionally protected by TLS, nor the version implemented, as this is behaviour managed internally by the product.</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Inherent Risk:</w:t>
            </w:r>
          </w:p>
        </w:tc>
        <w:tc>
          <w:tcPr>
            <w:tcW w:type="dxa" w:w="7200"/>
            <w:tcMar>
              <w:top w:type="dxa" w:w="60"/>
              <w:left w:type="dxa" w:w="100"/>
              <w:bottom w:type="dxa" w:w="60"/>
              <w:right w:type="dxa" w:w="100"/>
            </w:tcMar>
          </w:tcPr>
          <w:p>
            <w:pPr>
              <w:spacing w:after="40"/>
            </w:pPr>
            <w:r>
              <w:rPr>
                <w:b/>
                <w:bCs/>
                <w:sz w:val="20"/>
                <w:szCs w:val="20"/>
              </w:rPr>
              <w:t xml:space="preserve">Impact: </w:t>
            </w:r>
            <w:r>
              <w:rPr>
                <w:sz w:val="20"/>
                <w:szCs w:val="20"/>
              </w:rPr>
              <w:t xml:space="preserve">High</w:t>
            </w:r>
          </w:p>
          <w:p>
            <w:pPr>
              <w:spacing w:after="40"/>
            </w:pPr>
            <w:r>
              <w:rPr>
                <w:b/>
                <w:bCs/>
                <w:sz w:val="20"/>
                <w:szCs w:val="20"/>
              </w:rPr>
              <w:t xml:space="preserve">Likelihood: </w:t>
            </w:r>
            <w:r>
              <w:rPr>
                <w:sz w:val="20"/>
                <w:szCs w:val="20"/>
              </w:rPr>
              <w:t xml:space="preserve">Medium</w:t>
            </w:r>
          </w:p>
          <w:p>
            <w:pPr>
              <w:spacing w:after="0"/>
            </w:pPr>
            <w:r>
              <w:rPr>
                <w:b/>
                <w:bCs/>
                <w:sz w:val="20"/>
                <w:szCs w:val="20"/>
              </w:rPr>
              <w:t xml:space="preserve">Inherent Rating: </w:t>
            </w:r>
            <w:r>
              <w:rPr>
                <w:b/>
                <w:bCs/>
                <w:i/>
                <w:iCs/>
                <w:sz w:val="20"/>
                <w:szCs w:val="20"/>
              </w:rPr>
              <w:t xml:space="preserve">High</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Risk Description</w:t>
            </w:r>
          </w:p>
        </w:tc>
        <w:tc>
          <w:tcPr>
            <w:tcW w:type="dxa" w:w="7200"/>
            <w:tcMar>
              <w:top w:type="dxa" w:w="60"/>
              <w:left w:type="dxa" w:w="100"/>
              <w:bottom w:type="dxa" w:w="60"/>
              <w:right w:type="dxa" w:w="100"/>
            </w:tcMar>
          </w:tcPr>
          <w:p>
            <w:pPr>
              <w:spacing w:after="0"/>
            </w:pPr>
            <w:r>
              <w:rPr>
                <w:sz w:val="20"/>
                <w:szCs w:val="20"/>
              </w:rPr>
              <w:t xml:space="preserve">There is a risk that an actor with visibility over the network segment between the entity and the CCE could recover the content of interbank transfer files, due to the use of a legacy symmetric algorithm with a 64-bit block size and the lack of confirmation of an additional encrypted transport layer, resulting in the disclosure of confidential financial information and non-compliance with the corporate cryptographic standard.</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Existing Mitigating / Compensating Controls</w:t>
            </w:r>
          </w:p>
        </w:tc>
        <w:tc>
          <w:tcPr>
            <w:tcW w:type="dxa" w:w="7200"/>
            <w:tcMar>
              <w:top w:type="dxa" w:w="60"/>
              <w:left w:type="dxa" w:w="100"/>
              <w:bottom w:type="dxa" w:w="60"/>
              <w:right w:type="dxa" w:w="100"/>
            </w:tcMar>
          </w:tcPr>
          <w:p>
            <w:pPr>
              <w:pStyle w:val="ListParagraph"/>
              <w:numPr>
                <w:ilvl w:val="0"/>
                <w:numId w:val="1"/>
              </w:numPr>
              <w:spacing w:after="80"/>
            </w:pPr>
            <w:r>
              <w:rPr>
                <w:sz w:val="20"/>
                <w:szCs w:val="20"/>
              </w:rPr>
              <w:t xml:space="preserve">Each transmitted file is encrypted with a different key generated when forming the buffer, which drastically limits the volume of data encrypted under a single key and reduces the practical feasibility of block collision attacks against 3DES.</w:t>
            </w:r>
          </w:p>
          <w:p>
            <w:pPr>
              <w:pStyle w:val="ListParagraph"/>
              <w:numPr>
                <w:ilvl w:val="0"/>
                <w:numId w:val="1"/>
              </w:numPr>
              <w:spacing w:after="80"/>
            </w:pPr>
            <w:r>
              <w:rPr>
                <w:sz w:val="20"/>
                <w:szCs w:val="20"/>
              </w:rPr>
              <w:t xml:space="preserve">The data encryption key is sent attached, protected by the RSA authentication algorithm with a 4096-bit key length.</w:t>
            </w:r>
          </w:p>
          <w:p>
            <w:pPr>
              <w:pStyle w:val="ListParagraph"/>
              <w:numPr>
                <w:ilvl w:val="0"/>
                <w:numId w:val="1"/>
              </w:numPr>
              <w:spacing w:after="80"/>
            </w:pPr>
            <w:r>
              <w:rPr>
                <w:sz w:val="20"/>
                <w:szCs w:val="20"/>
              </w:rPr>
              <w:t xml:space="preserve">Files are signed with SHA-256, covering origin authenticity and integrity.</w:t>
            </w:r>
          </w:p>
          <w:p>
            <w:pPr>
              <w:pStyle w:val="ListParagraph"/>
              <w:numPr>
                <w:ilvl w:val="0"/>
                <w:numId w:val="1"/>
              </w:numPr>
              <w:spacing w:after="80"/>
            </w:pPr>
            <w:r>
              <w:rPr>
                <w:sz w:val="20"/>
                <w:szCs w:val="20"/>
              </w:rPr>
              <w:t xml:space="preserve">The public and private keys are rotated every 3 months and stored within the .rsa folder of the Editran.521 installation; a formal key exchange guide is shared with all participants.</w:t>
            </w:r>
          </w:p>
          <w:p>
            <w:pPr>
              <w:pStyle w:val="ListParagraph"/>
              <w:numPr>
                <w:ilvl w:val="0"/>
                <w:numId w:val="1"/>
              </w:numPr>
              <w:spacing w:after="80"/>
            </w:pPr>
            <w:r>
              <w:rPr>
                <w:sz w:val="20"/>
                <w:szCs w:val="20"/>
              </w:rPr>
              <w:t xml:space="preserve">Traffic flows exclusively over the private Bancared network, restricted to the registered IP and port of the CCE per entity, without Internet exposure.</w:t>
            </w:r>
          </w:p>
          <w:p>
            <w:pPr>
              <w:pStyle w:val="ListParagraph"/>
              <w:numPr>
                <w:ilvl w:val="0"/>
                <w:numId w:val="1"/>
              </w:numPr>
              <w:spacing w:after="0"/>
            </w:pPr>
            <w:r>
              <w:rPr>
                <w:sz w:val="20"/>
                <w:szCs w:val="20"/>
              </w:rPr>
              <w:t xml:space="preserve">The algorithm is fixed by the CCE protocol; the entity cannot change it unilaterally.</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Residual Rating</w:t>
            </w:r>
          </w:p>
        </w:tc>
        <w:tc>
          <w:tcPr>
            <w:tcW w:type="dxa" w:w="7200"/>
            <w:tcMar>
              <w:top w:type="dxa" w:w="60"/>
              <w:left w:type="dxa" w:w="100"/>
              <w:bottom w:type="dxa" w:w="60"/>
              <w:right w:type="dxa" w:w="100"/>
            </w:tcMar>
          </w:tcPr>
          <w:p>
            <w:pPr>
              <w:spacing w:after="40"/>
            </w:pPr>
            <w:r>
              <w:rPr>
                <w:b/>
                <w:bCs/>
                <w:sz w:val="20"/>
                <w:szCs w:val="20"/>
              </w:rPr>
              <w:t xml:space="preserve">Impact: </w:t>
            </w:r>
            <w:r>
              <w:rPr>
                <w:sz w:val="20"/>
                <w:szCs w:val="20"/>
              </w:rPr>
              <w:t xml:space="preserve">Medium</w:t>
            </w:r>
          </w:p>
          <w:p>
            <w:pPr>
              <w:spacing w:after="40"/>
            </w:pPr>
            <w:r>
              <w:rPr>
                <w:b/>
                <w:bCs/>
                <w:sz w:val="20"/>
                <w:szCs w:val="20"/>
              </w:rPr>
              <w:t xml:space="preserve">Likelihood: </w:t>
            </w:r>
            <w:r>
              <w:rPr>
                <w:sz w:val="20"/>
                <w:szCs w:val="20"/>
              </w:rPr>
              <w:t xml:space="preserve">Low</w:t>
            </w:r>
          </w:p>
          <w:p>
            <w:pPr>
              <w:spacing w:after="0"/>
            </w:pPr>
            <w:r>
              <w:rPr>
                <w:b/>
                <w:bCs/>
                <w:sz w:val="20"/>
                <w:szCs w:val="20"/>
              </w:rPr>
              <w:t xml:space="preserve">Residual Rating: </w:t>
            </w:r>
            <w:r>
              <w:rPr>
                <w:b/>
                <w:bCs/>
                <w:i/>
                <w:iCs/>
                <w:color w:val="C00000"/>
                <w:sz w:val="20"/>
                <w:szCs w:val="20"/>
              </w:rPr>
              <w:t xml:space="preserve">Medium-Low</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Is an Issue?</w:t>
            </w:r>
          </w:p>
        </w:tc>
        <w:tc>
          <w:tcPr>
            <w:tcW w:type="dxa" w:w="7200"/>
            <w:tcMar>
              <w:top w:type="dxa" w:w="60"/>
              <w:left w:type="dxa" w:w="100"/>
              <w:bottom w:type="dxa" w:w="60"/>
              <w:right w:type="dxa" w:w="100"/>
            </w:tcMar>
          </w:tcPr>
          <w:p>
            <w:pPr>
              <w:spacing w:after="0"/>
            </w:pPr>
            <w:r>
              <w:rPr>
                <w:sz w:val="20"/>
                <w:szCs w:val="20"/>
              </w:rPr>
              <w:t xml:space="preserve">No</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Action Plan</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Due date</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Required Evidence for Closure</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Remediation Owner</w:t>
            </w:r>
          </w:p>
        </w:tc>
        <w:tc>
          <w:tcPr>
            <w:tcW w:type="dxa" w:w="7200"/>
            <w:tcMar>
              <w:top w:type="dxa" w:w="60"/>
              <w:left w:type="dxa" w:w="100"/>
              <w:bottom w:type="dxa" w:w="60"/>
              <w:right w:type="dxa" w:w="100"/>
            </w:tcMar>
          </w:tcPr>
          <w:p>
            <w:pPr>
              <w:spacing w:after="0"/>
            </w:pPr>
            <w:r>
              <w:rPr>
                <w:sz w:val="20"/>
                <w:szCs w:val="20"/>
              </w:rPr>
              <w:t xml:space="preserve">Eric Edwin Roques Lizarraga – IT Engineering Senior Manager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Target Rating</w:t>
            </w:r>
          </w:p>
        </w:tc>
        <w:tc>
          <w:tcPr>
            <w:tcW w:type="dxa" w:w="7200"/>
            <w:tcMar>
              <w:top w:type="dxa" w:w="60"/>
              <w:left w:type="dxa" w:w="100"/>
              <w:bottom w:type="dxa" w:w="60"/>
              <w:right w:type="dxa" w:w="100"/>
            </w:tcMar>
          </w:tcPr>
          <w:p>
            <w:pPr>
              <w:spacing w:after="60"/>
            </w:pPr>
            <w:r>
              <w:rPr>
                <w:i/>
                <w:iCs/>
                <w:sz w:val="20"/>
                <w:szCs w:val="20"/>
              </w:rPr>
              <w:t xml:space="preserve">Refers to the risk rating after the action plan has been implemented.</w:t>
            </w:r>
          </w:p>
          <w:p>
            <w:pPr>
              <w:spacing w:after="40"/>
            </w:pPr>
            <w:r>
              <w:rPr>
                <w:b/>
                <w:bCs/>
                <w:sz w:val="20"/>
                <w:szCs w:val="20"/>
              </w:rPr>
              <w:t xml:space="preserve">Target Impact: </w:t>
            </w:r>
            <w:r>
              <w:rPr>
                <w:sz w:val="20"/>
                <w:szCs w:val="20"/>
              </w:rPr>
              <w:t xml:space="preserve">Medium</w:t>
            </w:r>
          </w:p>
          <w:p>
            <w:pPr>
              <w:spacing w:after="40"/>
            </w:pPr>
            <w:r>
              <w:rPr>
                <w:b/>
                <w:bCs/>
                <w:sz w:val="20"/>
                <w:szCs w:val="20"/>
              </w:rPr>
              <w:t xml:space="preserve">Target Likelihood: </w:t>
            </w:r>
            <w:r>
              <w:rPr>
                <w:sz w:val="20"/>
                <w:szCs w:val="20"/>
              </w:rPr>
              <w:t xml:space="preserve">Low</w:t>
            </w:r>
          </w:p>
          <w:p>
            <w:pPr>
              <w:spacing w:after="0"/>
            </w:pPr>
            <w:r>
              <w:rPr>
                <w:b/>
                <w:bCs/>
                <w:sz w:val="20"/>
                <w:szCs w:val="20"/>
              </w:rPr>
              <w:t xml:space="preserve">Target Rating: </w:t>
            </w:r>
            <w:r>
              <w:rPr>
                <w:b/>
                <w:bCs/>
                <w:i/>
                <w:iCs/>
                <w:sz w:val="20"/>
                <w:szCs w:val="20"/>
              </w:rPr>
              <w:t xml:space="preserve">Medium-Low</w:t>
            </w:r>
          </w:p>
        </w:tc>
      </w:tr>
    </w:tbl>
    <w:p>
      <w:pPr>
        <w:spacing w:before="300"/>
      </w:pPr>
    </w:p>
    <w:tbl>
      <w:tblPr>
        <w:tblW w:type="dxa" w:w="9600"/>
        <w:tblBorders>
          <w:top w:val="single" w:sz="4"/>
          <w:left w:val="single" w:sz="4"/>
          <w:bottom w:val="single" w:sz="4"/>
          <w:right w:val="single" w:sz="4"/>
          <w:insideH w:val="single" w:sz="4"/>
          <w:insideV w:val="single" w:sz="4"/>
        </w:tblBorders>
      </w:tblPr>
      <w:tblGrid>
        <w:gridCol w:w="2400"/>
        <w:gridCol w:w="7200"/>
      </w:tblGrid>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Defect #</w:t>
            </w:r>
          </w:p>
        </w:tc>
        <w:tc>
          <w:tcPr>
            <w:tcW w:type="dxa" w:w="7200"/>
            <w:tcMar>
              <w:top w:type="dxa" w:w="60"/>
              <w:left w:type="dxa" w:w="100"/>
              <w:bottom w:type="dxa" w:w="60"/>
              <w:right w:type="dxa" w:w="100"/>
            </w:tcMar>
          </w:tcPr>
          <w:p>
            <w:pPr>
              <w:spacing w:after="0"/>
            </w:pPr>
            <w:r>
              <w:rPr>
                <w:sz w:val="20"/>
                <w:szCs w:val="20"/>
              </w:rPr>
              <w:t xml:space="preserve">Control Defect #4: Absence of SAST Coverage within the SDLC for the EDITRAN Solution</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Title</w:t>
            </w:r>
          </w:p>
        </w:tc>
        <w:tc>
          <w:tcPr>
            <w:tcW w:type="dxa" w:w="7200"/>
            <w:tcMar>
              <w:top w:type="dxa" w:w="60"/>
              <w:left w:type="dxa" w:w="100"/>
              <w:bottom w:type="dxa" w:w="60"/>
              <w:right w:type="dxa" w:w="100"/>
            </w:tcMar>
          </w:tcPr>
          <w:p>
            <w:pPr>
              <w:spacing w:after="0"/>
            </w:pPr>
            <w:r>
              <w:rPr>
                <w:sz w:val="20"/>
                <w:szCs w:val="20"/>
              </w:rPr>
              <w:t xml:space="preserve">There is no evidence of static application security testing (SAST) on the in-house developed components of the solution prior to production deployment.</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Threat Category</w:t>
            </w:r>
          </w:p>
        </w:tc>
        <w:tc>
          <w:tcPr>
            <w:tcW w:type="dxa" w:w="7200"/>
            <w:tcMar>
              <w:top w:type="dxa" w:w="60"/>
              <w:left w:type="dxa" w:w="100"/>
              <w:bottom w:type="dxa" w:w="60"/>
              <w:right w:type="dxa" w:w="100"/>
            </w:tcMar>
          </w:tcPr>
          <w:p>
            <w:pPr>
              <w:spacing w:after="0"/>
            </w:pPr>
            <w:r>
              <w:rPr>
                <w:sz w:val="20"/>
                <w:szCs w:val="20"/>
              </w:rPr>
              <w:t xml:space="preserve">Tampering with Data</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Taxonomy</w:t>
            </w:r>
          </w:p>
        </w:tc>
        <w:tc>
          <w:tcPr>
            <w:tcW w:type="dxa" w:w="7200"/>
            <w:tcMar>
              <w:top w:type="dxa" w:w="60"/>
              <w:left w:type="dxa" w:w="100"/>
              <w:bottom w:type="dxa" w:w="60"/>
              <w:right w:type="dxa" w:w="100"/>
            </w:tcMar>
          </w:tcPr>
          <w:p>
            <w:pPr>
              <w:spacing w:after="0"/>
            </w:pPr>
            <w:r>
              <w:rPr>
                <w:sz w:val="20"/>
                <w:szCs w:val="20"/>
              </w:rPr>
              <w:t xml:space="preserve">Secure Software Development Life Cycle (SDLC) / Application Security Testing</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Standards Impacted</w:t>
            </w:r>
          </w:p>
        </w:tc>
        <w:tc>
          <w:tcPr>
            <w:tcW w:type="dxa" w:w="7200"/>
            <w:tcMar>
              <w:top w:type="dxa" w:w="60"/>
              <w:left w:type="dxa" w:w="100"/>
              <w:bottom w:type="dxa" w:w="60"/>
              <w:right w:type="dxa" w:w="100"/>
            </w:tcMar>
          </w:tcPr>
          <w:p>
            <w:pPr>
              <w:spacing w:after="0"/>
            </w:pPr>
            <w:r>
              <w:rPr>
                <w:sz w:val="20"/>
                <w:szCs w:val="20"/>
              </w:rPr>
              <w:t xml:space="preserve">Secure Software Development Life Cycle; Application Security Standard; Data Protection Policy</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Deficiency</w:t>
            </w:r>
          </w:p>
        </w:tc>
        <w:tc>
          <w:tcPr>
            <w:tcW w:type="dxa" w:w="7200"/>
            <w:tcMar>
              <w:top w:type="dxa" w:w="60"/>
              <w:left w:type="dxa" w:w="100"/>
              <w:bottom w:type="dxa" w:w="60"/>
              <w:right w:type="dxa" w:w="100"/>
            </w:tcMar>
          </w:tcPr>
          <w:p>
            <w:pPr>
              <w:spacing w:after="100"/>
            </w:pPr>
            <w:r>
              <w:rPr>
                <w:sz w:val="20"/>
                <w:szCs w:val="20"/>
              </w:rPr>
              <w:t xml:space="preserve">No evidence was identified of the execution of static application security testing (SAST) on the in-house developed components of the solution —the Transmission, Maintenance, Special Command and Event Successor Windows services, and the Tracking Web/API module— prior to their production deployment.</w:t>
            </w:r>
          </w:p>
          <w:p>
            <w:pPr>
              <w:spacing w:after="100"/>
            </w:pPr>
            <w:r>
              <w:rPr>
                <w:sz w:val="20"/>
                <w:szCs w:val="20"/>
              </w:rPr>
              <w:t xml:space="preserve">Dynamic analysis (DAST) is not applicable to the EDITRAN 5.2 component, as it is a desktop executable (.exe) provided by the CCE, with no source code available to the entity and no exposed web interface that could be subjected to this type of scan.</w:t>
            </w:r>
          </w:p>
          <w:p>
            <w:pPr>
              <w:spacing w:after="0"/>
            </w:pPr>
            <w:r>
              <w:rPr>
                <w:sz w:val="20"/>
                <w:szCs w:val="20"/>
              </w:rPr>
              <w:t xml:space="preserve">A penetration test of the solution is known to have been carried out, but its scope has not been confirmed and it has not been established that it covers what static analysis would. The SDLC application security testing requirement is therefore not evidenced for the new code.</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Inherent Risk:</w:t>
            </w:r>
          </w:p>
        </w:tc>
        <w:tc>
          <w:tcPr>
            <w:tcW w:type="dxa" w:w="7200"/>
            <w:tcMar>
              <w:top w:type="dxa" w:w="60"/>
              <w:left w:type="dxa" w:w="100"/>
              <w:bottom w:type="dxa" w:w="60"/>
              <w:right w:type="dxa" w:w="100"/>
            </w:tcMar>
          </w:tcPr>
          <w:p>
            <w:pPr>
              <w:spacing w:after="40"/>
            </w:pPr>
            <w:r>
              <w:rPr>
                <w:b/>
                <w:bCs/>
                <w:sz w:val="20"/>
                <w:szCs w:val="20"/>
              </w:rPr>
              <w:t xml:space="preserve">Impact: </w:t>
            </w:r>
            <w:r>
              <w:rPr>
                <w:sz w:val="20"/>
                <w:szCs w:val="20"/>
              </w:rPr>
              <w:t xml:space="preserve">High</w:t>
            </w:r>
          </w:p>
          <w:p>
            <w:pPr>
              <w:spacing w:after="40"/>
            </w:pPr>
            <w:r>
              <w:rPr>
                <w:b/>
                <w:bCs/>
                <w:sz w:val="20"/>
                <w:szCs w:val="20"/>
              </w:rPr>
              <w:t xml:space="preserve">Likelihood: </w:t>
            </w:r>
            <w:r>
              <w:rPr>
                <w:sz w:val="20"/>
                <w:szCs w:val="20"/>
              </w:rPr>
              <w:t xml:space="preserve">Medium</w:t>
            </w:r>
          </w:p>
          <w:p>
            <w:pPr>
              <w:spacing w:after="0"/>
            </w:pPr>
            <w:r>
              <w:rPr>
                <w:b/>
                <w:bCs/>
                <w:sz w:val="20"/>
                <w:szCs w:val="20"/>
              </w:rPr>
              <w:t xml:space="preserve">Inherent Rating: </w:t>
            </w:r>
            <w:r>
              <w:rPr>
                <w:b/>
                <w:bCs/>
                <w:i/>
                <w:iCs/>
                <w:sz w:val="20"/>
                <w:szCs w:val="20"/>
              </w:rPr>
              <w:t xml:space="preserve">High</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Risk Description</w:t>
            </w:r>
          </w:p>
        </w:tc>
        <w:tc>
          <w:tcPr>
            <w:tcW w:type="dxa" w:w="7200"/>
            <w:tcMar>
              <w:top w:type="dxa" w:w="60"/>
              <w:left w:type="dxa" w:w="100"/>
              <w:bottom w:type="dxa" w:w="60"/>
              <w:right w:type="dxa" w:w="100"/>
            </w:tcMar>
          </w:tcPr>
          <w:p>
            <w:pPr>
              <w:spacing w:after="0"/>
            </w:pPr>
            <w:r>
              <w:rPr>
                <w:sz w:val="20"/>
                <w:szCs w:val="20"/>
              </w:rPr>
              <w:t xml:space="preserve">There is a risk that coding defects in the in-house components — input validation, credential handling, SQL injection — reach production undetected, due to the absence of SAST coverage in the development lifecycle, resulting in unauthorized manipulation of transfer files or in compromise of the EDITRAN server.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Existing Mitigating / Compensating Controls</w:t>
            </w:r>
          </w:p>
        </w:tc>
        <w:tc>
          <w:tcPr>
            <w:tcW w:type="dxa" w:w="7200"/>
            <w:tcMar>
              <w:top w:type="dxa" w:w="60"/>
              <w:left w:type="dxa" w:w="100"/>
              <w:bottom w:type="dxa" w:w="60"/>
              <w:right w:type="dxa" w:w="100"/>
            </w:tcMar>
          </w:tcPr>
          <w:p>
            <w:pPr>
              <w:pStyle w:val="ListParagraph"/>
              <w:numPr>
                <w:ilvl w:val="0"/>
                <w:numId w:val="1"/>
              </w:numPr>
              <w:spacing w:after="80"/>
            </w:pPr>
            <w:r>
              <w:rPr>
                <w:sz w:val="20"/>
                <w:szCs w:val="20"/>
              </w:rPr>
              <w:t xml:space="preserve">A penetration-testing security assessment of the solution is known to exist; its scope, date and results are pending confirmation with the development team.</w:t>
            </w:r>
          </w:p>
          <w:p>
            <w:pPr>
              <w:pStyle w:val="ListParagraph"/>
              <w:numPr>
                <w:ilvl w:val="0"/>
                <w:numId w:val="1"/>
              </w:numPr>
              <w:spacing w:after="80"/>
            </w:pPr>
            <w:r>
              <w:rPr>
                <w:sz w:val="20"/>
                <w:szCs w:val="20"/>
              </w:rPr>
              <w:t xml:space="preserve">Web components sit on the corporate intranet, with no external exposure.</w:t>
            </w:r>
          </w:p>
          <w:p>
            <w:pPr>
              <w:pStyle w:val="ListParagraph"/>
              <w:numPr>
                <w:ilvl w:val="0"/>
                <w:numId w:val="1"/>
              </w:numPr>
              <w:spacing w:after="80"/>
            </w:pPr>
            <w:r>
              <w:rPr>
                <w:sz w:val="20"/>
                <w:szCs w:val="20"/>
              </w:rPr>
              <w:t xml:space="preserve">According to the TDD, the tracking module database does not store confidential customer information, limiting the impact of a potential exploitation.</w:t>
            </w:r>
          </w:p>
          <w:p>
            <w:pPr>
              <w:pStyle w:val="ListParagraph"/>
              <w:numPr>
                <w:ilvl w:val="0"/>
                <w:numId w:val="1"/>
              </w:numPr>
              <w:spacing w:after="80"/>
            </w:pPr>
            <w:r>
              <w:rPr>
                <w:sz w:val="20"/>
                <w:szCs w:val="20"/>
              </w:rPr>
              <w:t xml:space="preserve">Database access is via stored procedures called by the API only — no direct end-user access.</w:t>
            </w:r>
          </w:p>
          <w:p>
            <w:pPr>
              <w:pStyle w:val="ListParagraph"/>
              <w:numPr>
                <w:ilvl w:val="0"/>
                <w:numId w:val="1"/>
              </w:numPr>
              <w:spacing w:after="80"/>
            </w:pPr>
            <w:r>
              <w:rPr>
                <w:sz w:val="20"/>
                <w:szCs w:val="20"/>
              </w:rPr>
              <w:t xml:space="preserve">Database credentials are stored in files encrypted using CryptoTool, and web application authentication relies on Passport / OAuth 2.0 and Active Directory.</w:t>
            </w:r>
          </w:p>
          <w:p>
            <w:pPr>
              <w:pStyle w:val="ListParagraph"/>
              <w:numPr>
                <w:ilvl w:val="0"/>
                <w:numId w:val="1"/>
              </w:numPr>
              <w:spacing w:after="0"/>
            </w:pPr>
            <w:r>
              <w:rPr>
                <w:sz w:val="20"/>
                <w:szCs w:val="20"/>
              </w:rPr>
              <w:t xml:space="preserve">Infrastructure hardening and vulnerability assessment are performed via Tenable.</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Residual Rating</w:t>
            </w:r>
          </w:p>
        </w:tc>
        <w:tc>
          <w:tcPr>
            <w:tcW w:type="dxa" w:w="7200"/>
            <w:tcMar>
              <w:top w:type="dxa" w:w="60"/>
              <w:left w:type="dxa" w:w="100"/>
              <w:bottom w:type="dxa" w:w="60"/>
              <w:right w:type="dxa" w:w="100"/>
            </w:tcMar>
          </w:tcPr>
          <w:p>
            <w:pPr>
              <w:spacing w:after="40"/>
            </w:pPr>
            <w:r>
              <w:rPr>
                <w:b/>
                <w:bCs/>
                <w:sz w:val="20"/>
                <w:szCs w:val="20"/>
              </w:rPr>
              <w:t xml:space="preserve">Impact: </w:t>
            </w:r>
            <w:r>
              <w:rPr>
                <w:sz w:val="20"/>
                <w:szCs w:val="20"/>
              </w:rPr>
              <w:t xml:space="preserve">Medium</w:t>
            </w:r>
          </w:p>
          <w:p>
            <w:pPr>
              <w:spacing w:after="40"/>
            </w:pPr>
            <w:r>
              <w:rPr>
                <w:b/>
                <w:bCs/>
                <w:sz w:val="20"/>
                <w:szCs w:val="20"/>
              </w:rPr>
              <w:t xml:space="preserve">Likelihood: </w:t>
            </w:r>
            <w:r>
              <w:rPr>
                <w:sz w:val="20"/>
                <w:szCs w:val="20"/>
              </w:rPr>
              <w:t xml:space="preserve">Medium</w:t>
            </w:r>
          </w:p>
          <w:p>
            <w:pPr>
              <w:spacing w:after="0"/>
            </w:pPr>
            <w:r>
              <w:rPr>
                <w:b/>
                <w:bCs/>
                <w:sz w:val="20"/>
                <w:szCs w:val="20"/>
              </w:rPr>
              <w:t xml:space="preserve">Residual Rating: </w:t>
            </w:r>
            <w:r>
              <w:rPr>
                <w:b/>
                <w:bCs/>
                <w:i/>
                <w:iCs/>
                <w:color w:val="C00000"/>
                <w:sz w:val="20"/>
                <w:szCs w:val="20"/>
              </w:rPr>
              <w:t xml:space="preserve">Medium</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Is an Issue?</w:t>
            </w:r>
          </w:p>
        </w:tc>
        <w:tc>
          <w:tcPr>
            <w:tcW w:type="dxa" w:w="7200"/>
            <w:tcMar>
              <w:top w:type="dxa" w:w="60"/>
              <w:left w:type="dxa" w:w="100"/>
              <w:bottom w:type="dxa" w:w="60"/>
              <w:right w:type="dxa" w:w="100"/>
            </w:tcMar>
          </w:tcPr>
          <w:p>
            <w:pPr>
              <w:spacing w:after="0"/>
            </w:pPr>
            <w:r>
              <w:rPr>
                <w:sz w:val="20"/>
                <w:szCs w:val="20"/>
              </w:rPr>
              <w:t xml:space="preserve">No</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Action Plan</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Due date</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Required Evidence for Closure</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Remediation Owner</w:t>
            </w:r>
          </w:p>
        </w:tc>
        <w:tc>
          <w:tcPr>
            <w:tcW w:type="dxa" w:w="7200"/>
            <w:tcMar>
              <w:top w:type="dxa" w:w="60"/>
              <w:left w:type="dxa" w:w="100"/>
              <w:bottom w:type="dxa" w:w="60"/>
              <w:right w:type="dxa" w:w="100"/>
            </w:tcMar>
          </w:tcPr>
          <w:p>
            <w:pPr>
              <w:spacing w:after="0"/>
            </w:pPr>
            <w:r>
              <w:rPr>
                <w:sz w:val="20"/>
                <w:szCs w:val="20"/>
              </w:rPr>
              <w:t xml:space="preserve">Eric Edwin Roques Lizarraga – IT Engineering Senior Manager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Target Rating</w:t>
            </w:r>
          </w:p>
        </w:tc>
        <w:tc>
          <w:tcPr>
            <w:tcW w:type="dxa" w:w="7200"/>
            <w:tcMar>
              <w:top w:type="dxa" w:w="60"/>
              <w:left w:type="dxa" w:w="100"/>
              <w:bottom w:type="dxa" w:w="60"/>
              <w:right w:type="dxa" w:w="100"/>
            </w:tcMar>
          </w:tcPr>
          <w:p>
            <w:pPr>
              <w:spacing w:after="60"/>
            </w:pPr>
            <w:r>
              <w:rPr>
                <w:i/>
                <w:iCs/>
                <w:sz w:val="20"/>
                <w:szCs w:val="20"/>
              </w:rPr>
              <w:t xml:space="preserve">Refers to the risk rating after the action plan has been implemented.</w:t>
            </w:r>
          </w:p>
          <w:p>
            <w:pPr>
              <w:spacing w:after="40"/>
            </w:pPr>
            <w:r>
              <w:rPr>
                <w:b/>
                <w:bCs/>
                <w:sz w:val="20"/>
                <w:szCs w:val="20"/>
              </w:rPr>
              <w:t xml:space="preserve">Target Impact: </w:t>
            </w:r>
            <w:r>
              <w:rPr>
                <w:sz w:val="20"/>
                <w:szCs w:val="20"/>
              </w:rPr>
              <w:t xml:space="preserve">Medium</w:t>
            </w:r>
          </w:p>
          <w:p>
            <w:pPr>
              <w:spacing w:after="40"/>
            </w:pPr>
            <w:r>
              <w:rPr>
                <w:b/>
                <w:bCs/>
                <w:sz w:val="20"/>
                <w:szCs w:val="20"/>
              </w:rPr>
              <w:t xml:space="preserve">Target Likelihood: </w:t>
            </w:r>
            <w:r>
              <w:rPr>
                <w:sz w:val="20"/>
                <w:szCs w:val="20"/>
              </w:rPr>
              <w:t xml:space="preserve">Low</w:t>
            </w:r>
          </w:p>
          <w:p>
            <w:pPr>
              <w:spacing w:after="0"/>
            </w:pPr>
            <w:r>
              <w:rPr>
                <w:b/>
                <w:bCs/>
                <w:sz w:val="20"/>
                <w:szCs w:val="20"/>
              </w:rPr>
              <w:t xml:space="preserve">Target Rating: </w:t>
            </w:r>
            <w:r>
              <w:rPr>
                <w:b/>
                <w:bCs/>
                <w:i/>
                <w:iCs/>
                <w:sz w:val="20"/>
                <w:szCs w:val="20"/>
              </w:rPr>
              <w:t xml:space="preserve">Medium-Low</w:t>
            </w:r>
          </w:p>
        </w:tc>
      </w:tr>
    </w:tbl>
    <w:p>
      <w:r>
        <w:br w:type="page"/>
      </w:r>
    </w:p>
    <w:p>
      <w:pPr>
        <w:pStyle w:val="Heading2"/>
        <w:spacing w:after="160" w:before="300"/>
      </w:pPr>
      <w:r>
        <w:rPr>
          <w:b/>
          <w:bCs/>
          <w:color w:val="1F3864"/>
          <w:sz w:val="26"/>
          <w:szCs w:val="26"/>
        </w:rPr>
        <w:t xml:space="preserve">Threat Modelling</w:t>
      </w:r>
    </w:p>
    <w:tbl>
      <w:tblPr>
        <w:tblW w:type="dxa" w:w="9600"/>
        <w:tblBorders>
          <w:top w:val="single" w:sz="4"/>
          <w:left w:val="single" w:sz="4"/>
          <w:bottom w:val="single" w:sz="4"/>
          <w:right w:val="single" w:sz="4"/>
          <w:insideH w:val="single" w:sz="4"/>
          <w:insideV w:val="single" w:sz="4"/>
        </w:tblBorders>
      </w:tblPr>
      <w:tblGrid>
        <w:gridCol w:w="1500"/>
        <w:gridCol w:w="2100"/>
        <w:gridCol w:w="4500"/>
        <w:gridCol w:w="1500"/>
      </w:tblGrid>
      <w:tr>
        <w:trPr>
          <w:tblHeader/>
        </w:trPr>
        <w:tc>
          <w:tcPr>
            <w:tcW w:type="dxa" w:w="1500"/>
            <w:shd w:fill="D9D9D9" w:color="auto" w:val="clear"/>
            <w:tcMar>
              <w:top w:type="dxa" w:w="60"/>
              <w:left w:type="dxa" w:w="100"/>
              <w:bottom w:type="dxa" w:w="60"/>
              <w:right w:type="dxa" w:w="100"/>
            </w:tcMar>
          </w:tcPr>
          <w:p>
            <w:pPr>
              <w:spacing w:after="0"/>
            </w:pPr>
            <w:r>
              <w:rPr>
                <w:b/>
                <w:bCs/>
                <w:sz w:val="20"/>
                <w:szCs w:val="20"/>
              </w:rPr>
              <w:t xml:space="preserve">STRIDE Category</w:t>
            </w:r>
          </w:p>
        </w:tc>
        <w:tc>
          <w:tcPr>
            <w:tcW w:type="dxa" w:w="2100"/>
            <w:shd w:fill="D9D9D9" w:color="auto" w:val="clear"/>
            <w:tcMar>
              <w:top w:type="dxa" w:w="60"/>
              <w:left w:type="dxa" w:w="100"/>
              <w:bottom w:type="dxa" w:w="60"/>
              <w:right w:type="dxa" w:w="100"/>
            </w:tcMar>
          </w:tcPr>
          <w:p>
            <w:pPr>
              <w:spacing w:after="0"/>
            </w:pPr>
            <w:r>
              <w:rPr>
                <w:b/>
                <w:bCs/>
                <w:sz w:val="20"/>
                <w:szCs w:val="20"/>
              </w:rPr>
              <w:t xml:space="preserve">Threat Category</w:t>
            </w:r>
          </w:p>
        </w:tc>
        <w:tc>
          <w:tcPr>
            <w:tcW w:type="dxa" w:w="4500"/>
            <w:shd w:fill="D9D9D9" w:color="auto" w:val="clear"/>
            <w:tcMar>
              <w:top w:type="dxa" w:w="60"/>
              <w:left w:type="dxa" w:w="100"/>
              <w:bottom w:type="dxa" w:w="60"/>
              <w:right w:type="dxa" w:w="100"/>
            </w:tcMar>
          </w:tcPr>
          <w:p>
            <w:pPr>
              <w:spacing w:after="0"/>
            </w:pPr>
            <w:r>
              <w:rPr>
                <w:b/>
                <w:bCs/>
                <w:sz w:val="20"/>
                <w:szCs w:val="20"/>
              </w:rPr>
              <w:t xml:space="preserve">Existing Mitigating / Compensating Controls</w:t>
            </w:r>
          </w:p>
        </w:tc>
        <w:tc>
          <w:tcPr>
            <w:tcW w:type="dxa" w:w="1500"/>
            <w:shd w:fill="D9D9D9" w:color="auto" w:val="clear"/>
            <w:tcMar>
              <w:top w:type="dxa" w:w="60"/>
              <w:left w:type="dxa" w:w="100"/>
              <w:bottom w:type="dxa" w:w="60"/>
              <w:right w:type="dxa" w:w="100"/>
            </w:tcMar>
          </w:tcPr>
          <w:p>
            <w:pPr>
              <w:spacing w:after="0"/>
            </w:pPr>
            <w:r>
              <w:rPr>
                <w:b/>
                <w:bCs/>
                <w:sz w:val="20"/>
                <w:szCs w:val="20"/>
              </w:rPr>
              <w:t xml:space="preserve">Advisory Findings</w:t>
            </w:r>
          </w:p>
        </w:tc>
      </w:tr>
      <w:tr>
        <w:tc>
          <w:tcPr>
            <w:tcW w:type="dxa" w:w="1500"/>
            <w:tcMar>
              <w:top w:type="dxa" w:w="60"/>
              <w:left w:type="dxa" w:w="100"/>
              <w:bottom w:type="dxa" w:w="60"/>
              <w:right w:type="dxa" w:w="100"/>
            </w:tcMar>
          </w:tcPr>
          <w:p>
            <w:pPr>
              <w:spacing w:after="0"/>
            </w:pPr>
            <w:r>
              <w:rPr>
                <w:sz w:val="20"/>
                <w:szCs w:val="20"/>
              </w:rPr>
              <w:t xml:space="preserve">Spoofing Identity</w:t>
            </w:r>
          </w:p>
        </w:tc>
        <w:tc>
          <w:tcPr>
            <w:tcW w:type="dxa" w:w="2100"/>
            <w:tcMar>
              <w:top w:type="dxa" w:w="60"/>
              <w:left w:type="dxa" w:w="100"/>
              <w:bottom w:type="dxa" w:w="60"/>
              <w:right w:type="dxa" w:w="100"/>
            </w:tcMar>
          </w:tcPr>
          <w:p>
            <w:pPr>
              <w:spacing w:after="0"/>
            </w:pPr>
            <w:r>
              <w:rPr>
                <w:sz w:val="20"/>
                <w:szCs w:val="20"/>
              </w:rPr>
              <w:t xml:space="preserve">User authentication (IAM, SSO, federation)</w:t>
            </w:r>
          </w:p>
        </w:tc>
        <w:tc>
          <w:tcPr>
            <w:tcW w:type="dxa" w:w="4500"/>
            <w:tcMar>
              <w:top w:type="dxa" w:w="60"/>
              <w:left w:type="dxa" w:w="100"/>
              <w:bottom w:type="dxa" w:w="60"/>
              <w:right w:type="dxa" w:w="100"/>
            </w:tcMar>
          </w:tcPr>
          <w:p>
            <w:pPr>
              <w:spacing w:after="0"/>
            </w:pPr>
            <w:r>
              <w:rPr>
                <w:sz w:val="20"/>
                <w:szCs w:val="20"/>
              </w:rPr>
              <w:t xml:space="preserve">Access to the EDITRAN server uses individual domain credentials for Operators and Security, and the Tracking Web module authenticates against Active Directory / Passport (OAuth 2.0). The EDITRAN application's own SIGNON, by contrast, is managed locally and is not integrated with the corporate identity model.</w:t>
            </w:r>
          </w:p>
        </w:tc>
        <w:tc>
          <w:tcPr>
            <w:tcW w:type="dxa" w:w="1500"/>
            <w:tcMar>
              <w:top w:type="dxa" w:w="60"/>
              <w:left w:type="dxa" w:w="100"/>
              <w:bottom w:type="dxa" w:w="60"/>
              <w:right w:type="dxa" w:w="100"/>
            </w:tcMar>
          </w:tcPr>
          <w:p>
            <w:pPr>
              <w:spacing w:after="0"/>
            </w:pPr>
            <w:r>
              <w:rPr>
                <w:b/>
                <w:bCs/>
                <w:color w:val="C00000"/>
                <w:sz w:val="20"/>
                <w:szCs w:val="20"/>
              </w:rPr>
              <w:t xml:space="preserve">Control Defect #1</w:t>
            </w:r>
          </w:p>
        </w:tc>
      </w:tr>
      <w:tr>
        <w:tc>
          <w:tcPr>
            <w:tcW w:type="dxa" w:w="1500"/>
            <w:tcMar>
              <w:top w:type="dxa" w:w="60"/>
              <w:left w:type="dxa" w:w="100"/>
              <w:bottom w:type="dxa" w:w="60"/>
              <w:right w:type="dxa" w:w="100"/>
            </w:tcMar>
          </w:tcPr>
          <w:p>
            <w:pPr>
              <w:spacing w:after="0"/>
            </w:pPr>
            <w:r>
              <w:rPr>
                <w:sz w:val="20"/>
                <w:szCs w:val="20"/>
              </w:rPr>
              <w:t xml:space="preserve">Spoofing Identity</w:t>
            </w:r>
          </w:p>
        </w:tc>
        <w:tc>
          <w:tcPr>
            <w:tcW w:type="dxa" w:w="2100"/>
            <w:tcMar>
              <w:top w:type="dxa" w:w="60"/>
              <w:left w:type="dxa" w:w="100"/>
              <w:bottom w:type="dxa" w:w="60"/>
              <w:right w:type="dxa" w:w="100"/>
            </w:tcMar>
          </w:tcPr>
          <w:p>
            <w:pPr>
              <w:spacing w:after="0"/>
            </w:pPr>
            <w:r>
              <w:rPr>
                <w:sz w:val="20"/>
                <w:szCs w:val="20"/>
              </w:rPr>
              <w:t xml:space="preserve">Unauthorized access (API, service, workload identity)</w:t>
            </w:r>
          </w:p>
        </w:tc>
        <w:tc>
          <w:tcPr>
            <w:tcW w:type="dxa" w:w="4500"/>
            <w:tcMar>
              <w:top w:type="dxa" w:w="60"/>
              <w:left w:type="dxa" w:w="100"/>
              <w:bottom w:type="dxa" w:w="60"/>
              <w:right w:type="dxa" w:w="100"/>
            </w:tcMar>
          </w:tcPr>
          <w:p>
            <w:pPr>
              <w:spacing w:after="0"/>
            </w:pPr>
            <w:r>
              <w:rPr>
                <w:sz w:val="20"/>
                <w:szCs w:val="20"/>
              </w:rPr>
              <w:t xml:space="preserve">The TrackingAPI uses token-based authentication (Login / RefreshToken / Logout) and defined roles (ControlAccesos, Operadores, AdmReportes) to restrict access to system functions.</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Spoofing Identity</w:t>
            </w:r>
          </w:p>
        </w:tc>
        <w:tc>
          <w:tcPr>
            <w:tcW w:type="dxa" w:w="2100"/>
            <w:tcMar>
              <w:top w:type="dxa" w:w="60"/>
              <w:left w:type="dxa" w:w="100"/>
              <w:bottom w:type="dxa" w:w="60"/>
              <w:right w:type="dxa" w:w="100"/>
            </w:tcMar>
          </w:tcPr>
          <w:p>
            <w:pPr>
              <w:spacing w:after="0"/>
            </w:pPr>
            <w:r>
              <w:rPr>
                <w:sz w:val="20"/>
                <w:szCs w:val="20"/>
              </w:rPr>
              <w:t xml:space="preserve">Privileged account protection (human + non-human identities)</w:t>
            </w:r>
          </w:p>
        </w:tc>
        <w:tc>
          <w:tcPr>
            <w:tcW w:type="dxa" w:w="4500"/>
            <w:tcMar>
              <w:top w:type="dxa" w:w="60"/>
              <w:left w:type="dxa" w:w="100"/>
              <w:bottom w:type="dxa" w:w="60"/>
              <w:right w:type="dxa" w:w="100"/>
            </w:tcMar>
          </w:tcPr>
          <w:p>
            <w:pPr>
              <w:spacing w:after="0"/>
            </w:pPr>
            <w:r>
              <w:rPr>
                <w:sz w:val="20"/>
                <w:szCs w:val="20"/>
              </w:rPr>
              <w:t xml:space="preserve">The EDITRAN component operates under a domain account with Administrator role, with no evidence of a service account with privileges limited to the transmission function.</w:t>
            </w:r>
          </w:p>
        </w:tc>
        <w:tc>
          <w:tcPr>
            <w:tcW w:type="dxa" w:w="1500"/>
            <w:tcMar>
              <w:top w:type="dxa" w:w="60"/>
              <w:left w:type="dxa" w:w="100"/>
              <w:bottom w:type="dxa" w:w="60"/>
              <w:right w:type="dxa" w:w="100"/>
            </w:tcMar>
          </w:tcPr>
          <w:p>
            <w:pPr>
              <w:spacing w:after="0"/>
            </w:pPr>
            <w:r>
              <w:rPr>
                <w:b/>
                <w:bCs/>
                <w:color w:val="C00000"/>
                <w:sz w:val="20"/>
                <w:szCs w:val="20"/>
              </w:rPr>
              <w:t xml:space="preserve">Control Defect #2</w:t>
            </w:r>
          </w:p>
        </w:tc>
      </w:tr>
      <w:tr>
        <w:tc>
          <w:tcPr>
            <w:tcW w:type="dxa" w:w="1500"/>
            <w:tcMar>
              <w:top w:type="dxa" w:w="60"/>
              <w:left w:type="dxa" w:w="100"/>
              <w:bottom w:type="dxa" w:w="60"/>
              <w:right w:type="dxa" w:w="100"/>
            </w:tcMar>
          </w:tcPr>
          <w:p>
            <w:pPr>
              <w:spacing w:after="0"/>
            </w:pPr>
            <w:r>
              <w:rPr>
                <w:sz w:val="20"/>
                <w:szCs w:val="20"/>
              </w:rPr>
              <w:t xml:space="preserve">Spoofing Identity</w:t>
            </w:r>
          </w:p>
        </w:tc>
        <w:tc>
          <w:tcPr>
            <w:tcW w:type="dxa" w:w="2100"/>
            <w:tcMar>
              <w:top w:type="dxa" w:w="60"/>
              <w:left w:type="dxa" w:w="100"/>
              <w:bottom w:type="dxa" w:w="60"/>
              <w:right w:type="dxa" w:w="100"/>
            </w:tcMar>
          </w:tcPr>
          <w:p>
            <w:pPr>
              <w:spacing w:after="0"/>
            </w:pPr>
            <w:r>
              <w:rPr>
                <w:sz w:val="20"/>
                <w:szCs w:val="20"/>
              </w:rPr>
              <w:t xml:space="preserve">Phishing / social engineering</w:t>
            </w:r>
          </w:p>
        </w:tc>
        <w:tc>
          <w:tcPr>
            <w:tcW w:type="dxa" w:w="4500"/>
            <w:tcMar>
              <w:top w:type="dxa" w:w="60"/>
              <w:left w:type="dxa" w:w="100"/>
              <w:bottom w:type="dxa" w:w="60"/>
              <w:right w:type="dxa" w:w="100"/>
            </w:tcMar>
          </w:tcPr>
          <w:p>
            <w:pPr>
              <w:spacing w:after="0"/>
            </w:pPr>
            <w:r>
              <w:rPr>
                <w:sz w:val="20"/>
                <w:szCs w:val="20"/>
              </w:rPr>
              <w:t xml:space="preserve">Out of scope — covered by institutional awareness controls.</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Spoofing Identity</w:t>
            </w:r>
          </w:p>
        </w:tc>
        <w:tc>
          <w:tcPr>
            <w:tcW w:type="dxa" w:w="2100"/>
            <w:tcMar>
              <w:top w:type="dxa" w:w="60"/>
              <w:left w:type="dxa" w:w="100"/>
              <w:bottom w:type="dxa" w:w="60"/>
              <w:right w:type="dxa" w:w="100"/>
            </w:tcMar>
          </w:tcPr>
          <w:p>
            <w:pPr>
              <w:spacing w:after="0"/>
            </w:pPr>
            <w:r>
              <w:rPr>
                <w:sz w:val="20"/>
                <w:szCs w:val="20"/>
              </w:rPr>
              <w:t xml:space="preserve">Certificate &amp; key validation (mTLS, cert lifecycle)</w:t>
            </w:r>
          </w:p>
        </w:tc>
        <w:tc>
          <w:tcPr>
            <w:tcW w:type="dxa" w:w="4500"/>
            <w:tcMar>
              <w:top w:type="dxa" w:w="60"/>
              <w:left w:type="dxa" w:w="100"/>
              <w:bottom w:type="dxa" w:w="60"/>
              <w:right w:type="dxa" w:w="100"/>
            </w:tcMar>
          </w:tcPr>
          <w:p>
            <w:pPr>
              <w:spacing w:after="0"/>
            </w:pPr>
            <w:r>
              <w:rPr>
                <w:sz w:val="20"/>
                <w:szCs w:val="20"/>
              </w:rPr>
              <w:t xml:space="preserve">Authentication to the CCE uses 4096-bit RSA keys rotated every 3 months, stored in the .rsa folder of the Editran.521 installation, with a formal exchange guide shared among participants. It has not been confirmed with the CCE whether an additional TLS layer exists between both EDITRAN endpoints.</w:t>
            </w:r>
          </w:p>
        </w:tc>
        <w:tc>
          <w:tcPr>
            <w:tcW w:type="dxa" w:w="1500"/>
            <w:tcMar>
              <w:top w:type="dxa" w:w="60"/>
              <w:left w:type="dxa" w:w="100"/>
              <w:bottom w:type="dxa" w:w="60"/>
              <w:right w:type="dxa" w:w="100"/>
            </w:tcMar>
          </w:tcPr>
          <w:p>
            <w:pPr>
              <w:spacing w:after="0"/>
            </w:pPr>
            <w:r>
              <w:rPr>
                <w:b/>
                <w:bCs/>
                <w:color w:val="C00000"/>
                <w:sz w:val="20"/>
                <w:szCs w:val="20"/>
              </w:rPr>
              <w:t xml:space="preserve">Control Defect #3</w:t>
            </w:r>
          </w:p>
        </w:tc>
      </w:tr>
      <w:tr>
        <w:tc>
          <w:tcPr>
            <w:tcW w:type="dxa" w:w="1500"/>
            <w:tcMar>
              <w:top w:type="dxa" w:w="60"/>
              <w:left w:type="dxa" w:w="100"/>
              <w:bottom w:type="dxa" w:w="60"/>
              <w:right w:type="dxa" w:w="100"/>
            </w:tcMar>
          </w:tcPr>
          <w:p>
            <w:pPr>
              <w:spacing w:after="0"/>
            </w:pPr>
            <w:r>
              <w:rPr>
                <w:sz w:val="20"/>
                <w:szCs w:val="20"/>
              </w:rPr>
              <w:t xml:space="preserve">Tampering with Data</w:t>
            </w:r>
          </w:p>
        </w:tc>
        <w:tc>
          <w:tcPr>
            <w:tcW w:type="dxa" w:w="2100"/>
            <w:tcMar>
              <w:top w:type="dxa" w:w="60"/>
              <w:left w:type="dxa" w:w="100"/>
              <w:bottom w:type="dxa" w:w="60"/>
              <w:right w:type="dxa" w:w="100"/>
            </w:tcMar>
          </w:tcPr>
          <w:p>
            <w:pPr>
              <w:spacing w:after="0"/>
            </w:pPr>
            <w:r>
              <w:rPr>
                <w:sz w:val="20"/>
                <w:szCs w:val="20"/>
              </w:rPr>
              <w:t xml:space="preserve">Unauthorized modification of bank data</w:t>
            </w:r>
          </w:p>
        </w:tc>
        <w:tc>
          <w:tcPr>
            <w:tcW w:type="dxa" w:w="4500"/>
            <w:tcMar>
              <w:top w:type="dxa" w:w="60"/>
              <w:left w:type="dxa" w:w="100"/>
              <w:bottom w:type="dxa" w:w="60"/>
              <w:right w:type="dxa" w:w="100"/>
            </w:tcMar>
          </w:tcPr>
          <w:p>
            <w:pPr>
              <w:spacing w:after="0"/>
            </w:pPr>
            <w:r>
              <w:rPr>
                <w:sz w:val="20"/>
                <w:szCs w:val="20"/>
              </w:rPr>
              <w:t xml:space="preserve">The in-house developed components (Windows services and Tracking Web/API) involved in assembling and sending the files have no evidence of static application security testing prior to production deployment.</w:t>
            </w:r>
          </w:p>
        </w:tc>
        <w:tc>
          <w:tcPr>
            <w:tcW w:type="dxa" w:w="1500"/>
            <w:tcMar>
              <w:top w:type="dxa" w:w="60"/>
              <w:left w:type="dxa" w:w="100"/>
              <w:bottom w:type="dxa" w:w="60"/>
              <w:right w:type="dxa" w:w="100"/>
            </w:tcMar>
          </w:tcPr>
          <w:p>
            <w:pPr>
              <w:spacing w:after="0"/>
            </w:pPr>
            <w:r>
              <w:rPr>
                <w:b/>
                <w:bCs/>
                <w:color w:val="C00000"/>
                <w:sz w:val="20"/>
                <w:szCs w:val="20"/>
              </w:rPr>
              <w:t xml:space="preserve">Control Defect #4</w:t>
            </w:r>
          </w:p>
        </w:tc>
      </w:tr>
      <w:tr>
        <w:tc>
          <w:tcPr>
            <w:tcW w:type="dxa" w:w="1500"/>
            <w:tcMar>
              <w:top w:type="dxa" w:w="60"/>
              <w:left w:type="dxa" w:w="100"/>
              <w:bottom w:type="dxa" w:w="60"/>
              <w:right w:type="dxa" w:w="100"/>
            </w:tcMar>
          </w:tcPr>
          <w:p>
            <w:pPr>
              <w:spacing w:after="0"/>
            </w:pPr>
            <w:r>
              <w:rPr>
                <w:sz w:val="20"/>
                <w:szCs w:val="20"/>
              </w:rPr>
              <w:t xml:space="preserve">Tampering with Data</w:t>
            </w:r>
          </w:p>
        </w:tc>
        <w:tc>
          <w:tcPr>
            <w:tcW w:type="dxa" w:w="2100"/>
            <w:tcMar>
              <w:top w:type="dxa" w:w="60"/>
              <w:left w:type="dxa" w:w="100"/>
              <w:bottom w:type="dxa" w:w="60"/>
              <w:right w:type="dxa" w:w="100"/>
            </w:tcMar>
          </w:tcPr>
          <w:p>
            <w:pPr>
              <w:spacing w:after="0"/>
            </w:pPr>
            <w:r>
              <w:rPr>
                <w:sz w:val="20"/>
                <w:szCs w:val="20"/>
              </w:rPr>
              <w:t xml:space="preserve">Data leaving approved environments (egress risk)</w:t>
            </w:r>
          </w:p>
        </w:tc>
        <w:tc>
          <w:tcPr>
            <w:tcW w:type="dxa" w:w="4500"/>
            <w:tcMar>
              <w:top w:type="dxa" w:w="60"/>
              <w:left w:type="dxa" w:w="100"/>
              <w:bottom w:type="dxa" w:w="60"/>
              <w:right w:type="dxa" w:w="100"/>
            </w:tcMar>
          </w:tcPr>
          <w:p>
            <w:pPr>
              <w:spacing w:after="0"/>
            </w:pPr>
            <w:r>
              <w:rPr>
                <w:sz w:val="20"/>
                <w:szCs w:val="20"/>
              </w:rPr>
              <w:t xml:space="preserve">Outbound connectivity to the CCE is restricted to the IP and port registered per entity over the private Bancared network, with no possibility of redirection to another destination.</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Tampering with Data</w:t>
            </w:r>
          </w:p>
        </w:tc>
        <w:tc>
          <w:tcPr>
            <w:tcW w:type="dxa" w:w="2100"/>
            <w:tcMar>
              <w:top w:type="dxa" w:w="60"/>
              <w:left w:type="dxa" w:w="100"/>
              <w:bottom w:type="dxa" w:w="60"/>
              <w:right w:type="dxa" w:w="100"/>
            </w:tcMar>
          </w:tcPr>
          <w:p>
            <w:pPr>
              <w:spacing w:after="0"/>
            </w:pPr>
            <w:r>
              <w:rPr>
                <w:sz w:val="20"/>
                <w:szCs w:val="20"/>
              </w:rPr>
              <w:t xml:space="preserve">Secret, password, and token protection</w:t>
            </w:r>
          </w:p>
        </w:tc>
        <w:tc>
          <w:tcPr>
            <w:tcW w:type="dxa" w:w="4500"/>
            <w:tcMar>
              <w:top w:type="dxa" w:w="60"/>
              <w:left w:type="dxa" w:w="100"/>
              <w:bottom w:type="dxa" w:w="60"/>
              <w:right w:type="dxa" w:w="100"/>
            </w:tcMar>
          </w:tcPr>
          <w:p>
            <w:pPr>
              <w:spacing w:after="0"/>
            </w:pPr>
            <w:r>
              <w:rPr>
                <w:sz w:val="20"/>
                <w:szCs w:val="20"/>
              </w:rPr>
              <w:t xml:space="preserve">Database credentials are stored in files encrypted using CryptoTool; web application credentials use Passport / OAuth 2.0 and Active Directory. EDITRAN SIGNON credentials are managed locally within the application.</w:t>
            </w:r>
          </w:p>
        </w:tc>
        <w:tc>
          <w:tcPr>
            <w:tcW w:type="dxa" w:w="1500"/>
            <w:tcMar>
              <w:top w:type="dxa" w:w="60"/>
              <w:left w:type="dxa" w:w="100"/>
              <w:bottom w:type="dxa" w:w="60"/>
              <w:right w:type="dxa" w:w="100"/>
            </w:tcMar>
          </w:tcPr>
          <w:p>
            <w:pPr>
              <w:spacing w:after="0"/>
            </w:pPr>
            <w:r>
              <w:rPr>
                <w:b/>
                <w:bCs/>
                <w:color w:val="C00000"/>
                <w:sz w:val="20"/>
                <w:szCs w:val="20"/>
              </w:rPr>
              <w:t xml:space="preserve">Control Defect #1</w:t>
            </w:r>
          </w:p>
        </w:tc>
      </w:tr>
      <w:tr>
        <w:tc>
          <w:tcPr>
            <w:tcW w:type="dxa" w:w="1500"/>
            <w:tcMar>
              <w:top w:type="dxa" w:w="60"/>
              <w:left w:type="dxa" w:w="100"/>
              <w:bottom w:type="dxa" w:w="60"/>
              <w:right w:type="dxa" w:w="100"/>
            </w:tcMar>
          </w:tcPr>
          <w:p>
            <w:pPr>
              <w:spacing w:after="0"/>
            </w:pPr>
            <w:r>
              <w:rPr>
                <w:sz w:val="20"/>
                <w:szCs w:val="20"/>
              </w:rPr>
              <w:t xml:space="preserve">Tampering with Data</w:t>
            </w:r>
          </w:p>
        </w:tc>
        <w:tc>
          <w:tcPr>
            <w:tcW w:type="dxa" w:w="2100"/>
            <w:tcMar>
              <w:top w:type="dxa" w:w="60"/>
              <w:left w:type="dxa" w:w="100"/>
              <w:bottom w:type="dxa" w:w="60"/>
              <w:right w:type="dxa" w:w="100"/>
            </w:tcMar>
          </w:tcPr>
          <w:p>
            <w:pPr>
              <w:spacing w:after="0"/>
            </w:pPr>
            <w:r>
              <w:rPr>
                <w:sz w:val="20"/>
                <w:szCs w:val="20"/>
              </w:rPr>
              <w:t xml:space="preserve">Authorization enforcement (RBAC, ABAC, policy)</w:t>
            </w:r>
          </w:p>
        </w:tc>
        <w:tc>
          <w:tcPr>
            <w:tcW w:type="dxa" w:w="4500"/>
            <w:tcMar>
              <w:top w:type="dxa" w:w="60"/>
              <w:left w:type="dxa" w:w="100"/>
              <w:bottom w:type="dxa" w:w="60"/>
              <w:right w:type="dxa" w:w="100"/>
            </w:tcMar>
          </w:tcPr>
          <w:p>
            <w:pPr>
              <w:spacing w:after="0"/>
            </w:pPr>
            <w:r>
              <w:rPr>
                <w:sz w:val="20"/>
                <w:szCs w:val="20"/>
              </w:rPr>
              <w:t xml:space="preserve">The web application defines roles with differentiated read and write permissions. The EDITRAN component, by contrast, operates with Administrator privileges without role differentiation.</w:t>
            </w:r>
          </w:p>
        </w:tc>
        <w:tc>
          <w:tcPr>
            <w:tcW w:type="dxa" w:w="1500"/>
            <w:tcMar>
              <w:top w:type="dxa" w:w="60"/>
              <w:left w:type="dxa" w:w="100"/>
              <w:bottom w:type="dxa" w:w="60"/>
              <w:right w:type="dxa" w:w="100"/>
            </w:tcMar>
          </w:tcPr>
          <w:p>
            <w:pPr>
              <w:spacing w:after="0"/>
            </w:pPr>
            <w:r>
              <w:rPr>
                <w:b/>
                <w:bCs/>
                <w:color w:val="C00000"/>
                <w:sz w:val="20"/>
                <w:szCs w:val="20"/>
              </w:rPr>
              <w:t xml:space="preserve">Control Defect #2</w:t>
            </w:r>
          </w:p>
        </w:tc>
      </w:tr>
      <w:tr>
        <w:tc>
          <w:tcPr>
            <w:tcW w:type="dxa" w:w="1500"/>
            <w:tcMar>
              <w:top w:type="dxa" w:w="60"/>
              <w:left w:type="dxa" w:w="100"/>
              <w:bottom w:type="dxa" w:w="60"/>
              <w:right w:type="dxa" w:w="100"/>
            </w:tcMar>
          </w:tcPr>
          <w:p>
            <w:pPr>
              <w:spacing w:after="0"/>
            </w:pPr>
            <w:r>
              <w:rPr>
                <w:sz w:val="20"/>
                <w:szCs w:val="20"/>
              </w:rPr>
              <w:t xml:space="preserve">Tampering with Data</w:t>
            </w:r>
          </w:p>
        </w:tc>
        <w:tc>
          <w:tcPr>
            <w:tcW w:type="dxa" w:w="2100"/>
            <w:tcMar>
              <w:top w:type="dxa" w:w="60"/>
              <w:left w:type="dxa" w:w="100"/>
              <w:bottom w:type="dxa" w:w="60"/>
              <w:right w:type="dxa" w:w="100"/>
            </w:tcMar>
          </w:tcPr>
          <w:p>
            <w:pPr>
              <w:spacing w:after="0"/>
            </w:pPr>
            <w:r>
              <w:rPr>
                <w:sz w:val="20"/>
                <w:szCs w:val="20"/>
              </w:rPr>
              <w:t xml:space="preserve">Cryptographic integrity protections</w:t>
            </w:r>
          </w:p>
        </w:tc>
        <w:tc>
          <w:tcPr>
            <w:tcW w:type="dxa" w:w="4500"/>
            <w:tcMar>
              <w:top w:type="dxa" w:w="60"/>
              <w:left w:type="dxa" w:w="100"/>
              <w:bottom w:type="dxa" w:w="60"/>
              <w:right w:type="dxa" w:w="100"/>
            </w:tcMar>
          </w:tcPr>
          <w:p>
            <w:pPr>
              <w:spacing w:after="0"/>
            </w:pPr>
            <w:r>
              <w:rPr>
                <w:sz w:val="20"/>
                <w:szCs w:val="20"/>
              </w:rPr>
              <w:t xml:space="preserve">Files transmitted to the CCE are digitally signed with SHA-256, guaranteeing origin authenticity and integrity; web components use TLS 1.2 / HTTPS. File confidentiality, however, is implemented with TDES-3.</w:t>
            </w:r>
          </w:p>
        </w:tc>
        <w:tc>
          <w:tcPr>
            <w:tcW w:type="dxa" w:w="1500"/>
            <w:tcMar>
              <w:top w:type="dxa" w:w="60"/>
              <w:left w:type="dxa" w:w="100"/>
              <w:bottom w:type="dxa" w:w="60"/>
              <w:right w:type="dxa" w:w="100"/>
            </w:tcMar>
          </w:tcPr>
          <w:p>
            <w:pPr>
              <w:spacing w:after="0"/>
            </w:pPr>
            <w:r>
              <w:rPr>
                <w:b/>
                <w:bCs/>
                <w:color w:val="C00000"/>
                <w:sz w:val="20"/>
                <w:szCs w:val="20"/>
              </w:rPr>
              <w:t xml:space="preserve">Control Defect #3</w:t>
            </w:r>
          </w:p>
        </w:tc>
      </w:tr>
      <w:tr>
        <w:tc>
          <w:tcPr>
            <w:tcW w:type="dxa" w:w="1500"/>
            <w:tcMar>
              <w:top w:type="dxa" w:w="60"/>
              <w:left w:type="dxa" w:w="100"/>
              <w:bottom w:type="dxa" w:w="60"/>
              <w:right w:type="dxa" w:w="100"/>
            </w:tcMar>
          </w:tcPr>
          <w:p>
            <w:pPr>
              <w:spacing w:after="0"/>
            </w:pPr>
            <w:r>
              <w:rPr>
                <w:sz w:val="20"/>
                <w:szCs w:val="20"/>
              </w:rPr>
              <w:t xml:space="preserve">Tampering with Data</w:t>
            </w:r>
          </w:p>
        </w:tc>
        <w:tc>
          <w:tcPr>
            <w:tcW w:type="dxa" w:w="2100"/>
            <w:tcMar>
              <w:top w:type="dxa" w:w="60"/>
              <w:left w:type="dxa" w:w="100"/>
              <w:bottom w:type="dxa" w:w="60"/>
              <w:right w:type="dxa" w:w="100"/>
            </w:tcMar>
          </w:tcPr>
          <w:p>
            <w:pPr>
              <w:spacing w:after="0"/>
            </w:pPr>
            <w:r>
              <w:rPr>
                <w:sz w:val="20"/>
                <w:szCs w:val="20"/>
              </w:rPr>
              <w:t xml:space="preserve">Direct access to databases or storage</w:t>
            </w:r>
          </w:p>
        </w:tc>
        <w:tc>
          <w:tcPr>
            <w:tcW w:type="dxa" w:w="4500"/>
            <w:tcMar>
              <w:top w:type="dxa" w:w="60"/>
              <w:left w:type="dxa" w:w="100"/>
              <w:bottom w:type="dxa" w:w="60"/>
              <w:right w:type="dxa" w:w="100"/>
            </w:tcMar>
          </w:tcPr>
          <w:p>
            <w:pPr>
              <w:spacing w:after="0"/>
            </w:pPr>
            <w:r>
              <w:rPr>
                <w:sz w:val="20"/>
                <w:szCs w:val="20"/>
              </w:rPr>
              <w:t xml:space="preserve">Access to the tracking database is performed only through stored procedures invoked by the API, without direct end-user access.</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Repudiation</w:t>
            </w:r>
          </w:p>
        </w:tc>
        <w:tc>
          <w:tcPr>
            <w:tcW w:type="dxa" w:w="2100"/>
            <w:tcMar>
              <w:top w:type="dxa" w:w="60"/>
              <w:left w:type="dxa" w:w="100"/>
              <w:bottom w:type="dxa" w:w="60"/>
              <w:right w:type="dxa" w:w="100"/>
            </w:tcMar>
          </w:tcPr>
          <w:p>
            <w:pPr>
              <w:spacing w:after="0"/>
            </w:pPr>
            <w:r>
              <w:rPr>
                <w:sz w:val="20"/>
                <w:szCs w:val="20"/>
              </w:rPr>
              <w:t xml:space="preserve">Shared or non-attributable account usage</w:t>
            </w:r>
          </w:p>
        </w:tc>
        <w:tc>
          <w:tcPr>
            <w:tcW w:type="dxa" w:w="4500"/>
            <w:tcMar>
              <w:top w:type="dxa" w:w="60"/>
              <w:left w:type="dxa" w:w="100"/>
              <w:bottom w:type="dxa" w:w="60"/>
              <w:right w:type="dxa" w:w="100"/>
            </w:tcMar>
          </w:tcPr>
          <w:p>
            <w:pPr>
              <w:spacing w:after="0"/>
            </w:pPr>
            <w:r>
              <w:rPr>
                <w:sz w:val="20"/>
                <w:szCs w:val="20"/>
              </w:rPr>
              <w:t xml:space="preserve">Access to the server and the web application is tied to individual domain credentials. The EDITRAN SIGNON does not offer the same guarantee of individual attribution as it is not integrated with the corporate directory.</w:t>
            </w:r>
          </w:p>
        </w:tc>
        <w:tc>
          <w:tcPr>
            <w:tcW w:type="dxa" w:w="1500"/>
            <w:tcMar>
              <w:top w:type="dxa" w:w="60"/>
              <w:left w:type="dxa" w:w="100"/>
              <w:bottom w:type="dxa" w:w="60"/>
              <w:right w:type="dxa" w:w="100"/>
            </w:tcMar>
          </w:tcPr>
          <w:p>
            <w:pPr>
              <w:spacing w:after="0"/>
            </w:pPr>
            <w:r>
              <w:rPr>
                <w:b/>
                <w:bCs/>
                <w:color w:val="C00000"/>
                <w:sz w:val="20"/>
                <w:szCs w:val="20"/>
              </w:rPr>
              <w:t xml:space="preserve">Control Defect #1</w:t>
            </w:r>
          </w:p>
        </w:tc>
      </w:tr>
      <w:tr>
        <w:tc>
          <w:tcPr>
            <w:tcW w:type="dxa" w:w="1500"/>
            <w:tcMar>
              <w:top w:type="dxa" w:w="60"/>
              <w:left w:type="dxa" w:w="100"/>
              <w:bottom w:type="dxa" w:w="60"/>
              <w:right w:type="dxa" w:w="100"/>
            </w:tcMar>
          </w:tcPr>
          <w:p>
            <w:pPr>
              <w:spacing w:after="0"/>
            </w:pPr>
            <w:r>
              <w:rPr>
                <w:sz w:val="20"/>
                <w:szCs w:val="20"/>
              </w:rPr>
              <w:t xml:space="preserve">Repudiation</w:t>
            </w:r>
          </w:p>
        </w:tc>
        <w:tc>
          <w:tcPr>
            <w:tcW w:type="dxa" w:w="2100"/>
            <w:tcMar>
              <w:top w:type="dxa" w:w="60"/>
              <w:left w:type="dxa" w:w="100"/>
              <w:bottom w:type="dxa" w:w="60"/>
              <w:right w:type="dxa" w:w="100"/>
            </w:tcMar>
          </w:tcPr>
          <w:p>
            <w:pPr>
              <w:spacing w:after="0"/>
            </w:pPr>
            <w:r>
              <w:rPr>
                <w:sz w:val="20"/>
                <w:szCs w:val="20"/>
              </w:rPr>
              <w:t xml:space="preserve">Logging, auditability, and non-repudiation</w:t>
            </w:r>
          </w:p>
        </w:tc>
        <w:tc>
          <w:tcPr>
            <w:tcW w:type="dxa" w:w="4500"/>
            <w:tcMar>
              <w:top w:type="dxa" w:w="60"/>
              <w:left w:type="dxa" w:w="100"/>
              <w:bottom w:type="dxa" w:w="60"/>
              <w:right w:type="dxa" w:w="100"/>
            </w:tcMar>
          </w:tcPr>
          <w:p>
            <w:pPr>
              <w:spacing w:after="0"/>
            </w:pPr>
            <w:r>
              <w:rPr>
                <w:sz w:val="20"/>
                <w:szCs w:val="20"/>
              </w:rPr>
              <w:t xml:space="preserve">The web application maintains an audit table (tbl_audit) for security changes to users and roles. EDITRAN logs have limited retention (maximum 10 files of 10 MB, with rotation).</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Repudiation</w:t>
            </w:r>
          </w:p>
        </w:tc>
        <w:tc>
          <w:tcPr>
            <w:tcW w:type="dxa" w:w="2100"/>
            <w:tcMar>
              <w:top w:type="dxa" w:w="60"/>
              <w:left w:type="dxa" w:w="100"/>
              <w:bottom w:type="dxa" w:w="60"/>
              <w:right w:type="dxa" w:w="100"/>
            </w:tcMar>
          </w:tcPr>
          <w:p>
            <w:pPr>
              <w:spacing w:after="0"/>
            </w:pPr>
            <w:r>
              <w:rPr>
                <w:sz w:val="20"/>
                <w:szCs w:val="20"/>
              </w:rPr>
              <w:t xml:space="preserve">Digital signatures and transaction integrity</w:t>
            </w:r>
          </w:p>
        </w:tc>
        <w:tc>
          <w:tcPr>
            <w:tcW w:type="dxa" w:w="4500"/>
            <w:tcMar>
              <w:top w:type="dxa" w:w="60"/>
              <w:left w:type="dxa" w:w="100"/>
              <w:bottom w:type="dxa" w:w="60"/>
              <w:right w:type="dxa" w:w="100"/>
            </w:tcMar>
          </w:tcPr>
          <w:p>
            <w:pPr>
              <w:spacing w:after="0"/>
            </w:pPr>
            <w:r>
              <w:rPr>
                <w:sz w:val="20"/>
                <w:szCs w:val="20"/>
              </w:rPr>
              <w:t xml:space="preserve">Files sent to the CCE are signed using RSA with SHA-256 hash, guaranteeing the authenticity of the origin and the integrity of the data; additionally, confirmation of successful transmission is recorded via email as evidence of delivery.</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Repudiation</w:t>
            </w:r>
          </w:p>
        </w:tc>
        <w:tc>
          <w:tcPr>
            <w:tcW w:type="dxa" w:w="2100"/>
            <w:tcMar>
              <w:top w:type="dxa" w:w="60"/>
              <w:left w:type="dxa" w:w="100"/>
              <w:bottom w:type="dxa" w:w="60"/>
              <w:right w:type="dxa" w:w="100"/>
            </w:tcMar>
          </w:tcPr>
          <w:p>
            <w:pPr>
              <w:spacing w:after="0"/>
            </w:pPr>
            <w:r>
              <w:rPr>
                <w:sz w:val="20"/>
                <w:szCs w:val="20"/>
              </w:rPr>
              <w:t xml:space="preserve">Functional, system, and service accounts</w:t>
            </w:r>
          </w:p>
        </w:tc>
        <w:tc>
          <w:tcPr>
            <w:tcW w:type="dxa" w:w="4500"/>
            <w:tcMar>
              <w:top w:type="dxa" w:w="60"/>
              <w:left w:type="dxa" w:w="100"/>
              <w:bottom w:type="dxa" w:w="60"/>
              <w:right w:type="dxa" w:w="100"/>
            </w:tcMar>
          </w:tcPr>
          <w:p>
            <w:pPr>
              <w:spacing w:after="0"/>
            </w:pPr>
            <w:r>
              <w:rPr>
                <w:sz w:val="20"/>
                <w:szCs w:val="20"/>
              </w:rPr>
              <w:t xml:space="preserve">The EDITRAN component operates under a domain account with Administrator role instead of a service account with scope limited to its function.</w:t>
            </w:r>
          </w:p>
        </w:tc>
        <w:tc>
          <w:tcPr>
            <w:tcW w:type="dxa" w:w="1500"/>
            <w:tcMar>
              <w:top w:type="dxa" w:w="60"/>
              <w:left w:type="dxa" w:w="100"/>
              <w:bottom w:type="dxa" w:w="60"/>
              <w:right w:type="dxa" w:w="100"/>
            </w:tcMar>
          </w:tcPr>
          <w:p>
            <w:pPr>
              <w:spacing w:after="0"/>
            </w:pPr>
            <w:r>
              <w:rPr>
                <w:b/>
                <w:bCs/>
                <w:color w:val="C00000"/>
                <w:sz w:val="20"/>
                <w:szCs w:val="20"/>
              </w:rPr>
              <w:t xml:space="preserve">Control Defect #2</w:t>
            </w:r>
          </w:p>
        </w:tc>
      </w:tr>
      <w:tr>
        <w:tc>
          <w:tcPr>
            <w:tcW w:type="dxa" w:w="1500"/>
            <w:tcMar>
              <w:top w:type="dxa" w:w="60"/>
              <w:left w:type="dxa" w:w="100"/>
              <w:bottom w:type="dxa" w:w="60"/>
              <w:right w:type="dxa" w:w="100"/>
            </w:tcMar>
          </w:tcPr>
          <w:p>
            <w:pPr>
              <w:spacing w:after="0"/>
            </w:pPr>
            <w:r>
              <w:rPr>
                <w:sz w:val="20"/>
                <w:szCs w:val="20"/>
              </w:rPr>
              <w:t xml:space="preserve">Information Disclosure</w:t>
            </w:r>
          </w:p>
        </w:tc>
        <w:tc>
          <w:tcPr>
            <w:tcW w:type="dxa" w:w="2100"/>
            <w:tcMar>
              <w:top w:type="dxa" w:w="60"/>
              <w:left w:type="dxa" w:w="100"/>
              <w:bottom w:type="dxa" w:w="60"/>
              <w:right w:type="dxa" w:w="100"/>
            </w:tcMar>
          </w:tcPr>
          <w:p>
            <w:pPr>
              <w:spacing w:after="0"/>
            </w:pPr>
            <w:r>
              <w:rPr>
                <w:sz w:val="20"/>
                <w:szCs w:val="20"/>
              </w:rPr>
              <w:t xml:space="preserve">Data exfiltration or bulk download</w:t>
            </w:r>
          </w:p>
        </w:tc>
        <w:tc>
          <w:tcPr>
            <w:tcW w:type="dxa" w:w="4500"/>
            <w:tcMar>
              <w:top w:type="dxa" w:w="60"/>
              <w:left w:type="dxa" w:w="100"/>
              <w:bottom w:type="dxa" w:w="60"/>
              <w:right w:type="dxa" w:w="100"/>
            </w:tcMar>
          </w:tcPr>
          <w:p>
            <w:pPr>
              <w:spacing w:after="0"/>
            </w:pPr>
            <w:r>
              <w:rPr>
                <w:sz w:val="20"/>
                <w:szCs w:val="20"/>
              </w:rPr>
              <w:t xml:space="preserve">Data egress is restricted to the CCE IP and port per entity; file volume is limited and scheduled via Control-M.</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Information Disclosure</w:t>
            </w:r>
          </w:p>
        </w:tc>
        <w:tc>
          <w:tcPr>
            <w:tcW w:type="dxa" w:w="2100"/>
            <w:tcMar>
              <w:top w:type="dxa" w:w="60"/>
              <w:left w:type="dxa" w:w="100"/>
              <w:bottom w:type="dxa" w:w="60"/>
              <w:right w:type="dxa" w:w="100"/>
            </w:tcMar>
          </w:tcPr>
          <w:p>
            <w:pPr>
              <w:spacing w:after="0"/>
            </w:pPr>
            <w:r>
              <w:rPr>
                <w:sz w:val="20"/>
                <w:szCs w:val="20"/>
              </w:rPr>
              <w:t xml:space="preserve">Data protection at rest</w:t>
            </w:r>
          </w:p>
        </w:tc>
        <w:tc>
          <w:tcPr>
            <w:tcW w:type="dxa" w:w="4500"/>
            <w:tcMar>
              <w:top w:type="dxa" w:w="60"/>
              <w:left w:type="dxa" w:w="100"/>
              <w:bottom w:type="dxa" w:w="60"/>
              <w:right w:type="dxa" w:w="100"/>
            </w:tcMar>
          </w:tcPr>
          <w:p>
            <w:pPr>
              <w:spacing w:after="0"/>
            </w:pPr>
            <w:r>
              <w:rPr>
                <w:sz w:val="20"/>
                <w:szCs w:val="20"/>
              </w:rPr>
              <w:t xml:space="preserve">Credentials are protected using encrypted files (CryptoTool); according to the TDD, tracking data contains no customer information or sensitive data.</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Information Disclosure</w:t>
            </w:r>
          </w:p>
        </w:tc>
        <w:tc>
          <w:tcPr>
            <w:tcW w:type="dxa" w:w="2100"/>
            <w:tcMar>
              <w:top w:type="dxa" w:w="60"/>
              <w:left w:type="dxa" w:w="100"/>
              <w:bottom w:type="dxa" w:w="60"/>
              <w:right w:type="dxa" w:w="100"/>
            </w:tcMar>
          </w:tcPr>
          <w:p>
            <w:pPr>
              <w:spacing w:after="0"/>
            </w:pPr>
            <w:r>
              <w:rPr>
                <w:sz w:val="20"/>
                <w:szCs w:val="20"/>
              </w:rPr>
              <w:t xml:space="preserve">Data protection in transit</w:t>
            </w:r>
          </w:p>
        </w:tc>
        <w:tc>
          <w:tcPr>
            <w:tcW w:type="dxa" w:w="4500"/>
            <w:tcMar>
              <w:top w:type="dxa" w:w="60"/>
              <w:left w:type="dxa" w:w="100"/>
              <w:bottom w:type="dxa" w:w="60"/>
              <w:right w:type="dxa" w:w="100"/>
            </w:tcMar>
          </w:tcPr>
          <w:p>
            <w:pPr>
              <w:spacing w:after="0"/>
            </w:pPr>
            <w:r>
              <w:rPr>
                <w:sz w:val="20"/>
                <w:szCs w:val="20"/>
              </w:rPr>
              <w:t xml:space="preserve">Web components use TLS 1.2 (SHA-256). The EDITRAN–CCE exchange encrypts each file with a different key using TDES-3, with the data key protected by RSA 4096, over the private Bancared network.</w:t>
            </w:r>
          </w:p>
        </w:tc>
        <w:tc>
          <w:tcPr>
            <w:tcW w:type="dxa" w:w="1500"/>
            <w:tcMar>
              <w:top w:type="dxa" w:w="60"/>
              <w:left w:type="dxa" w:w="100"/>
              <w:bottom w:type="dxa" w:w="60"/>
              <w:right w:type="dxa" w:w="100"/>
            </w:tcMar>
          </w:tcPr>
          <w:p>
            <w:pPr>
              <w:spacing w:after="0"/>
            </w:pPr>
            <w:r>
              <w:rPr>
                <w:b/>
                <w:bCs/>
                <w:color w:val="C00000"/>
                <w:sz w:val="20"/>
                <w:szCs w:val="20"/>
              </w:rPr>
              <w:t xml:space="preserve">Control Defect #3</w:t>
            </w:r>
          </w:p>
        </w:tc>
      </w:tr>
      <w:tr>
        <w:tc>
          <w:tcPr>
            <w:tcW w:type="dxa" w:w="1500"/>
            <w:tcMar>
              <w:top w:type="dxa" w:w="60"/>
              <w:left w:type="dxa" w:w="100"/>
              <w:bottom w:type="dxa" w:w="60"/>
              <w:right w:type="dxa" w:w="100"/>
            </w:tcMar>
          </w:tcPr>
          <w:p>
            <w:pPr>
              <w:spacing w:after="0"/>
            </w:pPr>
            <w:r>
              <w:rPr>
                <w:sz w:val="20"/>
                <w:szCs w:val="20"/>
              </w:rPr>
              <w:t xml:space="preserve">Information Disclosure</w:t>
            </w:r>
          </w:p>
        </w:tc>
        <w:tc>
          <w:tcPr>
            <w:tcW w:type="dxa" w:w="2100"/>
            <w:tcMar>
              <w:top w:type="dxa" w:w="60"/>
              <w:left w:type="dxa" w:w="100"/>
              <w:bottom w:type="dxa" w:w="60"/>
              <w:right w:type="dxa" w:w="100"/>
            </w:tcMar>
          </w:tcPr>
          <w:p>
            <w:pPr>
              <w:spacing w:after="0"/>
            </w:pPr>
            <w:r>
              <w:rPr>
                <w:sz w:val="20"/>
                <w:szCs w:val="20"/>
              </w:rPr>
              <w:t xml:space="preserve">Data lifecycle and records management</w:t>
            </w:r>
          </w:p>
        </w:tc>
        <w:tc>
          <w:tcPr>
            <w:tcW w:type="dxa" w:w="4500"/>
            <w:tcMar>
              <w:top w:type="dxa" w:w="60"/>
              <w:left w:type="dxa" w:w="100"/>
              <w:bottom w:type="dxa" w:w="60"/>
              <w:right w:type="dxa" w:w="100"/>
            </w:tcMar>
          </w:tcPr>
          <w:p>
            <w:pPr>
              <w:spacing w:after="0"/>
            </w:pPr>
            <w:r>
              <w:rPr>
                <w:sz w:val="20"/>
                <w:szCs w:val="20"/>
              </w:rPr>
              <w:t xml:space="preserve">Not defined in the TDD. To be confirmed with the records management team.</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Denial of Service</w:t>
            </w:r>
          </w:p>
        </w:tc>
        <w:tc>
          <w:tcPr>
            <w:tcW w:type="dxa" w:w="2100"/>
            <w:tcMar>
              <w:top w:type="dxa" w:w="60"/>
              <w:left w:type="dxa" w:w="100"/>
              <w:bottom w:type="dxa" w:w="60"/>
              <w:right w:type="dxa" w:w="100"/>
            </w:tcMar>
          </w:tcPr>
          <w:p>
            <w:pPr>
              <w:spacing w:after="0"/>
            </w:pPr>
            <w:r>
              <w:rPr>
                <w:sz w:val="20"/>
                <w:szCs w:val="20"/>
              </w:rPr>
              <w:t xml:space="preserve">Availability attacks (infra, app, API)</w:t>
            </w:r>
          </w:p>
        </w:tc>
        <w:tc>
          <w:tcPr>
            <w:tcW w:type="dxa" w:w="4500"/>
            <w:tcMar>
              <w:top w:type="dxa" w:w="60"/>
              <w:left w:type="dxa" w:w="100"/>
              <w:bottom w:type="dxa" w:w="60"/>
              <w:right w:type="dxa" w:w="100"/>
            </w:tcMar>
          </w:tcPr>
          <w:p>
            <w:pPr>
              <w:spacing w:after="0"/>
            </w:pPr>
            <w:r>
              <w:rPr>
                <w:sz w:val="20"/>
                <w:szCs w:val="20"/>
              </w:rPr>
              <w:t xml:space="preserve">The EDITRAN component does not expose public endpoints; it only initiates outbound connections to the CCE, reducing the surface for external availability attacks.</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Denial of Service</w:t>
            </w:r>
          </w:p>
        </w:tc>
        <w:tc>
          <w:tcPr>
            <w:tcW w:type="dxa" w:w="2100"/>
            <w:tcMar>
              <w:top w:type="dxa" w:w="60"/>
              <w:left w:type="dxa" w:w="100"/>
              <w:bottom w:type="dxa" w:w="60"/>
              <w:right w:type="dxa" w:w="100"/>
            </w:tcMar>
          </w:tcPr>
          <w:p>
            <w:pPr>
              <w:spacing w:after="0"/>
            </w:pPr>
            <w:r>
              <w:rPr>
                <w:sz w:val="20"/>
                <w:szCs w:val="20"/>
              </w:rPr>
              <w:t xml:space="preserve">Resilience, scaling, and failover</w:t>
            </w:r>
          </w:p>
        </w:tc>
        <w:tc>
          <w:tcPr>
            <w:tcW w:type="dxa" w:w="4500"/>
            <w:tcMar>
              <w:top w:type="dxa" w:w="60"/>
              <w:left w:type="dxa" w:w="100"/>
              <w:bottom w:type="dxa" w:w="60"/>
              <w:right w:type="dxa" w:w="100"/>
            </w:tcMar>
          </w:tcPr>
          <w:p>
            <w:pPr>
              <w:spacing w:after="0"/>
            </w:pPr>
            <w:r>
              <w:rPr>
                <w:sz w:val="20"/>
                <w:szCs w:val="20"/>
              </w:rPr>
              <w:t xml:space="preserve">The migration eliminates the single point of failure of the Windows 11 workstation by enabling dedicated infrastructure per company (p. 15 of the TDD). DR infrastructure exists capable of handling 100% of operations, with RTO/RPO defined per entity and a documented activation procedure.</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Elevation of Privilege</w:t>
            </w:r>
          </w:p>
        </w:tc>
        <w:tc>
          <w:tcPr>
            <w:tcW w:type="dxa" w:w="2100"/>
            <w:tcMar>
              <w:top w:type="dxa" w:w="60"/>
              <w:left w:type="dxa" w:w="100"/>
              <w:bottom w:type="dxa" w:w="60"/>
              <w:right w:type="dxa" w:w="100"/>
            </w:tcMar>
          </w:tcPr>
          <w:p>
            <w:pPr>
              <w:spacing w:after="0"/>
            </w:pPr>
            <w:r>
              <w:rPr>
                <w:sz w:val="20"/>
                <w:szCs w:val="20"/>
              </w:rPr>
              <w:t xml:space="preserve">Least privilege enforcement</w:t>
            </w:r>
          </w:p>
        </w:tc>
        <w:tc>
          <w:tcPr>
            <w:tcW w:type="dxa" w:w="4500"/>
            <w:tcMar>
              <w:top w:type="dxa" w:w="60"/>
              <w:left w:type="dxa" w:w="100"/>
              <w:bottom w:type="dxa" w:w="60"/>
              <w:right w:type="dxa" w:w="100"/>
            </w:tcMar>
          </w:tcPr>
          <w:p>
            <w:pPr>
              <w:spacing w:after="0"/>
            </w:pPr>
            <w:r>
              <w:rPr>
                <w:sz w:val="20"/>
                <w:szCs w:val="20"/>
              </w:rPr>
              <w:t xml:space="preserve">Web application operators work under roles scoped by function. The EDITRAN component, by contrast, operates with Administrator privileges on the server.</w:t>
            </w:r>
          </w:p>
        </w:tc>
        <w:tc>
          <w:tcPr>
            <w:tcW w:type="dxa" w:w="1500"/>
            <w:tcMar>
              <w:top w:type="dxa" w:w="60"/>
              <w:left w:type="dxa" w:w="100"/>
              <w:bottom w:type="dxa" w:w="60"/>
              <w:right w:type="dxa" w:w="100"/>
            </w:tcMar>
          </w:tcPr>
          <w:p>
            <w:pPr>
              <w:spacing w:after="0"/>
            </w:pPr>
            <w:r>
              <w:rPr>
                <w:b/>
                <w:bCs/>
                <w:color w:val="C00000"/>
                <w:sz w:val="20"/>
                <w:szCs w:val="20"/>
              </w:rPr>
              <w:t xml:space="preserve">Control Defect #2</w:t>
            </w:r>
          </w:p>
        </w:tc>
      </w:tr>
      <w:tr>
        <w:tc>
          <w:tcPr>
            <w:tcW w:type="dxa" w:w="1500"/>
            <w:tcMar>
              <w:top w:type="dxa" w:w="60"/>
              <w:left w:type="dxa" w:w="100"/>
              <w:bottom w:type="dxa" w:w="60"/>
              <w:right w:type="dxa" w:w="100"/>
            </w:tcMar>
          </w:tcPr>
          <w:p>
            <w:pPr>
              <w:spacing w:after="0"/>
            </w:pPr>
            <w:r>
              <w:rPr>
                <w:sz w:val="20"/>
                <w:szCs w:val="20"/>
              </w:rPr>
              <w:t xml:space="preserve">Elevation of Privilege</w:t>
            </w:r>
          </w:p>
        </w:tc>
        <w:tc>
          <w:tcPr>
            <w:tcW w:type="dxa" w:w="2100"/>
            <w:tcMar>
              <w:top w:type="dxa" w:w="60"/>
              <w:left w:type="dxa" w:w="100"/>
              <w:bottom w:type="dxa" w:w="60"/>
              <w:right w:type="dxa" w:w="100"/>
            </w:tcMar>
          </w:tcPr>
          <w:p>
            <w:pPr>
              <w:spacing w:after="0"/>
            </w:pPr>
            <w:r>
              <w:rPr>
                <w:sz w:val="20"/>
                <w:szCs w:val="20"/>
              </w:rPr>
              <w:t xml:space="preserve">Role design and entitlement management</w:t>
            </w:r>
          </w:p>
        </w:tc>
        <w:tc>
          <w:tcPr>
            <w:tcW w:type="dxa" w:w="4500"/>
            <w:tcMar>
              <w:top w:type="dxa" w:w="60"/>
              <w:left w:type="dxa" w:w="100"/>
              <w:bottom w:type="dxa" w:w="60"/>
              <w:right w:type="dxa" w:w="100"/>
            </w:tcMar>
          </w:tcPr>
          <w:p>
            <w:pPr>
              <w:spacing w:after="0"/>
            </w:pPr>
            <w:r>
              <w:rPr>
                <w:sz w:val="20"/>
                <w:szCs w:val="20"/>
              </w:rPr>
              <w:t xml:space="preserve">Three roles are defined for the web application (ControlAccesos, Operadores, AdmReportes); no equivalent scoped service role was identified for the EDITRAN process.</w:t>
            </w:r>
          </w:p>
        </w:tc>
        <w:tc>
          <w:tcPr>
            <w:tcW w:type="dxa" w:w="1500"/>
            <w:tcMar>
              <w:top w:type="dxa" w:w="60"/>
              <w:left w:type="dxa" w:w="100"/>
              <w:bottom w:type="dxa" w:w="60"/>
              <w:right w:type="dxa" w:w="100"/>
            </w:tcMar>
          </w:tcPr>
          <w:p>
            <w:pPr>
              <w:spacing w:after="0"/>
            </w:pPr>
            <w:r>
              <w:rPr>
                <w:b/>
                <w:bCs/>
                <w:color w:val="C00000"/>
                <w:sz w:val="20"/>
                <w:szCs w:val="20"/>
              </w:rPr>
              <w:t xml:space="preserve">Control Defect #2</w:t>
            </w:r>
          </w:p>
        </w:tc>
      </w:tr>
      <w:tr>
        <w:tc>
          <w:tcPr>
            <w:tcW w:type="dxa" w:w="1500"/>
            <w:tcMar>
              <w:top w:type="dxa" w:w="60"/>
              <w:left w:type="dxa" w:w="100"/>
              <w:bottom w:type="dxa" w:w="60"/>
              <w:right w:type="dxa" w:w="100"/>
            </w:tcMar>
          </w:tcPr>
          <w:p>
            <w:pPr>
              <w:spacing w:after="0"/>
            </w:pPr>
            <w:r>
              <w:rPr>
                <w:sz w:val="20"/>
                <w:szCs w:val="20"/>
              </w:rPr>
              <w:t xml:space="preserve">Elevation of Privilege</w:t>
            </w:r>
          </w:p>
        </w:tc>
        <w:tc>
          <w:tcPr>
            <w:tcW w:type="dxa" w:w="2100"/>
            <w:tcMar>
              <w:top w:type="dxa" w:w="60"/>
              <w:left w:type="dxa" w:w="100"/>
              <w:bottom w:type="dxa" w:w="60"/>
              <w:right w:type="dxa" w:w="100"/>
            </w:tcMar>
          </w:tcPr>
          <w:p>
            <w:pPr>
              <w:spacing w:after="0"/>
            </w:pPr>
            <w:r>
              <w:rPr>
                <w:sz w:val="20"/>
                <w:szCs w:val="20"/>
              </w:rPr>
              <w:t xml:space="preserve">Lateral movement</w:t>
            </w:r>
          </w:p>
        </w:tc>
        <w:tc>
          <w:tcPr>
            <w:tcW w:type="dxa" w:w="4500"/>
            <w:tcMar>
              <w:top w:type="dxa" w:w="60"/>
              <w:left w:type="dxa" w:w="100"/>
              <w:bottom w:type="dxa" w:w="60"/>
              <w:right w:type="dxa" w:w="100"/>
            </w:tcMar>
          </w:tcPr>
          <w:p>
            <w:pPr>
              <w:spacing w:after="0"/>
            </w:pPr>
            <w:r>
              <w:rPr>
                <w:sz w:val="20"/>
                <w:szCs w:val="20"/>
              </w:rPr>
              <w:t xml:space="preserve">The EDITRAN server is dedicated per entity (CSF/SBP) and does not share infrastructure with other critical systems, limiting the impact of potential lateral movement from that component.</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General</w:t>
            </w:r>
          </w:p>
        </w:tc>
        <w:tc>
          <w:tcPr>
            <w:tcW w:type="dxa" w:w="2100"/>
            <w:tcMar>
              <w:top w:type="dxa" w:w="60"/>
              <w:left w:type="dxa" w:w="100"/>
              <w:bottom w:type="dxa" w:w="60"/>
              <w:right w:type="dxa" w:w="100"/>
            </w:tcMar>
          </w:tcPr>
          <w:p>
            <w:pPr>
              <w:spacing w:after="0"/>
            </w:pPr>
            <w:r>
              <w:rPr>
                <w:sz w:val="20"/>
                <w:szCs w:val="20"/>
              </w:rPr>
              <w:t xml:space="preserve">Security monitoring and detection</w:t>
            </w:r>
          </w:p>
        </w:tc>
        <w:tc>
          <w:tcPr>
            <w:tcW w:type="dxa" w:w="4500"/>
            <w:tcMar>
              <w:top w:type="dxa" w:w="60"/>
              <w:left w:type="dxa" w:w="100"/>
              <w:bottom w:type="dxa" w:w="60"/>
              <w:right w:type="dxa" w:w="100"/>
            </w:tcMar>
          </w:tcPr>
          <w:p>
            <w:pPr>
              <w:spacing w:after="0"/>
            </w:pPr>
            <w:r>
              <w:rPr>
                <w:sz w:val="20"/>
                <w:szCs w:val="20"/>
              </w:rPr>
              <w:t xml:space="preserve">Inconsistent Antivirus / Tanium coverage was identified across the EDITRAN servers (some indicated as "NA"); it is recommended to validate with the infrastructure team whether this reflects an intentional design or a coverage gap.</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General</w:t>
            </w:r>
          </w:p>
        </w:tc>
        <w:tc>
          <w:tcPr>
            <w:tcW w:type="dxa" w:w="2100"/>
            <w:tcMar>
              <w:top w:type="dxa" w:w="60"/>
              <w:left w:type="dxa" w:w="100"/>
              <w:bottom w:type="dxa" w:w="60"/>
              <w:right w:type="dxa" w:w="100"/>
            </w:tcMar>
          </w:tcPr>
          <w:p>
            <w:pPr>
              <w:spacing w:after="0"/>
            </w:pPr>
            <w:r>
              <w:rPr>
                <w:sz w:val="20"/>
                <w:szCs w:val="20"/>
              </w:rPr>
              <w:t xml:space="preserve">Data loss prevention</w:t>
            </w:r>
          </w:p>
        </w:tc>
        <w:tc>
          <w:tcPr>
            <w:tcW w:type="dxa" w:w="4500"/>
            <w:tcMar>
              <w:top w:type="dxa" w:w="60"/>
              <w:left w:type="dxa" w:w="100"/>
              <w:bottom w:type="dxa" w:w="60"/>
              <w:right w:type="dxa" w:w="100"/>
            </w:tcMar>
          </w:tcPr>
          <w:p>
            <w:pPr>
              <w:spacing w:after="0"/>
            </w:pPr>
            <w:r>
              <w:rPr>
                <w:sz w:val="20"/>
                <w:szCs w:val="20"/>
              </w:rPr>
              <w:t xml:space="preserve">No DLP controls beyond destination IP/port restriction.</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General</w:t>
            </w:r>
          </w:p>
        </w:tc>
        <w:tc>
          <w:tcPr>
            <w:tcW w:type="dxa" w:w="2100"/>
            <w:tcMar>
              <w:top w:type="dxa" w:w="60"/>
              <w:left w:type="dxa" w:w="100"/>
              <w:bottom w:type="dxa" w:w="60"/>
              <w:right w:type="dxa" w:w="100"/>
            </w:tcMar>
          </w:tcPr>
          <w:p>
            <w:pPr>
              <w:spacing w:after="0"/>
            </w:pPr>
            <w:r>
              <w:rPr>
                <w:sz w:val="20"/>
                <w:szCs w:val="20"/>
              </w:rPr>
              <w:t xml:space="preserve">System and workload hardening</w:t>
            </w:r>
          </w:p>
        </w:tc>
        <w:tc>
          <w:tcPr>
            <w:tcW w:type="dxa" w:w="4500"/>
            <w:tcMar>
              <w:top w:type="dxa" w:w="60"/>
              <w:left w:type="dxa" w:w="100"/>
              <w:bottom w:type="dxa" w:w="60"/>
              <w:right w:type="dxa" w:w="100"/>
            </w:tcMar>
          </w:tcPr>
          <w:p>
            <w:pPr>
              <w:spacing w:after="0"/>
            </w:pPr>
            <w:r>
              <w:rPr>
                <w:sz w:val="20"/>
                <w:szCs w:val="20"/>
              </w:rPr>
              <w:t xml:space="preserve">Server hardening is verified via Tenable. The in-house developed components have no evidence of SAST scanning; DAST does not apply to EDITRAN as it is a vendor executable with no source code or exposed web interface.</w:t>
            </w:r>
          </w:p>
        </w:tc>
        <w:tc>
          <w:tcPr>
            <w:tcW w:type="dxa" w:w="1500"/>
            <w:tcMar>
              <w:top w:type="dxa" w:w="60"/>
              <w:left w:type="dxa" w:w="100"/>
              <w:bottom w:type="dxa" w:w="60"/>
              <w:right w:type="dxa" w:w="100"/>
            </w:tcMar>
          </w:tcPr>
          <w:p>
            <w:pPr>
              <w:spacing w:after="0"/>
            </w:pPr>
            <w:r>
              <w:rPr>
                <w:b/>
                <w:bCs/>
                <w:color w:val="C00000"/>
                <w:sz w:val="20"/>
                <w:szCs w:val="20"/>
              </w:rPr>
              <w:t xml:space="preserve">Control Defect #4</w:t>
            </w:r>
          </w:p>
        </w:tc>
      </w:tr>
      <w:tr>
        <w:tc>
          <w:tcPr>
            <w:tcW w:type="dxa" w:w="1500"/>
            <w:tcMar>
              <w:top w:type="dxa" w:w="60"/>
              <w:left w:type="dxa" w:w="100"/>
              <w:bottom w:type="dxa" w:w="60"/>
              <w:right w:type="dxa" w:w="100"/>
            </w:tcMar>
          </w:tcPr>
          <w:p>
            <w:pPr>
              <w:spacing w:after="0"/>
            </w:pPr>
            <w:r>
              <w:rPr>
                <w:sz w:val="20"/>
                <w:szCs w:val="20"/>
              </w:rPr>
              <w:t xml:space="preserve">General</w:t>
            </w:r>
          </w:p>
        </w:tc>
        <w:tc>
          <w:tcPr>
            <w:tcW w:type="dxa" w:w="2100"/>
            <w:tcMar>
              <w:top w:type="dxa" w:w="60"/>
              <w:left w:type="dxa" w:w="100"/>
              <w:bottom w:type="dxa" w:w="60"/>
              <w:right w:type="dxa" w:w="100"/>
            </w:tcMar>
          </w:tcPr>
          <w:p>
            <w:pPr>
              <w:spacing w:after="0"/>
            </w:pPr>
            <w:r>
              <w:rPr>
                <w:sz w:val="20"/>
                <w:szCs w:val="20"/>
              </w:rPr>
              <w:t xml:space="preserve">Secure software development life cycle</w:t>
            </w:r>
          </w:p>
        </w:tc>
        <w:tc>
          <w:tcPr>
            <w:tcW w:type="dxa" w:w="4500"/>
            <w:tcMar>
              <w:top w:type="dxa" w:w="60"/>
              <w:left w:type="dxa" w:w="100"/>
              <w:bottom w:type="dxa" w:w="60"/>
              <w:right w:type="dxa" w:w="100"/>
            </w:tcMar>
          </w:tcPr>
          <w:p>
            <w:pPr>
              <w:spacing w:after="0"/>
            </w:pPr>
            <w:r>
              <w:rPr>
                <w:sz w:val="20"/>
                <w:szCs w:val="20"/>
              </w:rPr>
              <w:t xml:space="preserve">The solution components are managed under the corporate change control process; however, no evidence was found of static application security testing prior to deployment, and the scope of the penetration test performed is pending confirmation.</w:t>
            </w:r>
          </w:p>
        </w:tc>
        <w:tc>
          <w:tcPr>
            <w:tcW w:type="dxa" w:w="1500"/>
            <w:tcMar>
              <w:top w:type="dxa" w:w="60"/>
              <w:left w:type="dxa" w:w="100"/>
              <w:bottom w:type="dxa" w:w="60"/>
              <w:right w:type="dxa" w:w="100"/>
            </w:tcMar>
          </w:tcPr>
          <w:p>
            <w:pPr>
              <w:spacing w:after="0"/>
            </w:pPr>
            <w:r>
              <w:rPr>
                <w:b/>
                <w:bCs/>
                <w:color w:val="C00000"/>
                <w:sz w:val="20"/>
                <w:szCs w:val="20"/>
              </w:rPr>
              <w:t xml:space="preserve">Control Defect #4</w:t>
            </w:r>
          </w:p>
        </w:tc>
      </w:tr>
      <w:tr>
        <w:tc>
          <w:tcPr>
            <w:tcW w:type="dxa" w:w="1500"/>
            <w:tcMar>
              <w:top w:type="dxa" w:w="60"/>
              <w:left w:type="dxa" w:w="100"/>
              <w:bottom w:type="dxa" w:w="60"/>
              <w:right w:type="dxa" w:w="100"/>
            </w:tcMar>
          </w:tcPr>
          <w:p>
            <w:pPr>
              <w:spacing w:after="0"/>
            </w:pPr>
            <w:r>
              <w:rPr>
                <w:sz w:val="20"/>
                <w:szCs w:val="20"/>
              </w:rPr>
              <w:t xml:space="preserve">General</w:t>
            </w:r>
          </w:p>
        </w:tc>
        <w:tc>
          <w:tcPr>
            <w:tcW w:type="dxa" w:w="2100"/>
            <w:tcMar>
              <w:top w:type="dxa" w:w="60"/>
              <w:left w:type="dxa" w:w="100"/>
              <w:bottom w:type="dxa" w:w="60"/>
              <w:right w:type="dxa" w:w="100"/>
            </w:tcMar>
          </w:tcPr>
          <w:p>
            <w:pPr>
              <w:spacing w:after="0"/>
            </w:pPr>
            <w:r>
              <w:rPr>
                <w:sz w:val="20"/>
                <w:szCs w:val="20"/>
              </w:rPr>
              <w:t xml:space="preserve">Other</w:t>
            </w:r>
          </w:p>
        </w:tc>
        <w:tc>
          <w:tcPr>
            <w:tcW w:type="dxa" w:w="4500"/>
            <w:tcMar>
              <w:top w:type="dxa" w:w="60"/>
              <w:left w:type="dxa" w:w="100"/>
              <w:bottom w:type="dxa" w:w="60"/>
              <w:right w:type="dxa" w:w="100"/>
            </w:tcMar>
          </w:tcPr>
          <w:p>
            <w:pPr>
              <w:spacing w:after="0"/>
            </w:pPr>
            <w:r>
              <w:rPr>
                <w:sz w:val="20"/>
                <w:szCs w:val="20"/>
              </w:rPr>
              <w:t xml:space="preserve">N/A</w:t>
            </w:r>
          </w:p>
        </w:tc>
        <w:tc>
          <w:tcPr>
            <w:tcW w:type="dxa" w:w="1500"/>
            <w:tcMar>
              <w:top w:type="dxa" w:w="60"/>
              <w:left w:type="dxa" w:w="100"/>
              <w:bottom w:type="dxa" w:w="60"/>
              <w:right w:type="dxa" w:w="100"/>
            </w:tcMar>
          </w:tcPr>
          <w:p>
            <w:pPr>
              <w:spacing w:after="0"/>
            </w:pPr>
            <w:r>
              <w:rPr>
                <w:sz w:val="20"/>
                <w:szCs w:val="20"/>
              </w:rPr>
              <w:t xml:space="preserve"/>
            </w:r>
          </w:p>
        </w:tc>
      </w:tr>
    </w:tbl>
    <w:p>
      <w:r>
        <w:br w:type="page"/>
      </w:r>
    </w:p>
    <w:p>
      <w:pPr>
        <w:pStyle w:val="Heading2"/>
        <w:spacing w:after="160" w:before="300"/>
      </w:pPr>
      <w:r>
        <w:rPr>
          <w:b/>
          <w:bCs/>
          <w:color w:val="1F3864"/>
          <w:sz w:val="26"/>
          <w:szCs w:val="26"/>
        </w:rPr>
        <w:t xml:space="preserve">Annex A – Conceptual Architecture</w:t>
      </w:r>
    </w:p>
    <w:p>
      <w:pPr>
        <w:spacing w:after="120"/>
      </w:pPr>
      <w:r>
        <w:rPr>
          <w:sz w:val="20"/>
          <w:szCs w:val="20"/>
        </w:rPr>
        <w:t xml:space="preserve">Conceptual architecture diagrams (Current / Interim / Target) of the EDITRAN migration, referenced in the Background and in Control Defects #1 and #2.</w:t>
      </w:r>
    </w:p>
    <w:p>
      <w:pPr>
        <w:spacing w:after="120"/>
      </w:pPr>
      <w:r>
        <w:rPr>
          <w:i/>
          <w:iCs/>
          <w:sz w:val="20"/>
          <w:szCs w:val="20"/>
        </w:rPr>
        <w:t xml:space="preserve">[INSERT HERE: Diagram "Conceptual Architecture Current" — shows AS400, Control-M, Workstation with EDITRAN app, TCP/IP connection via Bancared to the CCE]</w:t>
      </w:r>
    </w:p>
    <w:p>
      <w:pPr>
        <w:spacing w:after="120"/>
      </w:pPr>
      <w:r>
        <w:rPr>
          <w:i/>
          <w:iCs/>
          <w:sz w:val="20"/>
          <w:szCs w:val="20"/>
        </w:rPr>
        <w:t xml:space="preserve">[INSERT HERE: Diagram "Conceptual Architecture Interim" (p. 15 of the TDD) — Red: the Windows 11 workstation where EDITRAN currently resides is decommissioned. Yellow: medium intranet hosting the tracking web application (no confidential information in the database). Green: dedicated infrastructure per company (SBP and Santander) with Windows Server 2019 and components that execute the send and review processes automatically]</w:t>
      </w:r>
    </w:p>
    <w:p>
      <w:pPr>
        <w:pStyle w:val="Heading2"/>
        <w:spacing w:after="160" w:before="300"/>
      </w:pPr>
      <w:r>
        <w:rPr>
          <w:b/>
          <w:bCs/>
          <w:color w:val="1F3864"/>
          <w:sz w:val="26"/>
          <w:szCs w:val="26"/>
        </w:rPr>
        <w:t xml:space="preserve">Annex B – Authorization Model</w:t>
      </w:r>
    </w:p>
    <w:p>
      <w:pPr>
        <w:spacing w:after="120"/>
      </w:pPr>
      <w:r>
        <w:rPr>
          <w:sz w:val="20"/>
          <w:szCs w:val="20"/>
        </w:rPr>
        <w:t xml:space="preserve">Evidence of the authorization model between components (Authorization Model, section 14.9 of the TDD), referenced in Control Defect #2.</w:t>
      </w:r>
    </w:p>
    <w:p>
      <w:pPr>
        <w:spacing w:after="120"/>
      </w:pPr>
      <w:r>
        <w:rPr>
          <w:i/>
          <w:iCs/>
          <w:sz w:val="20"/>
          <w:szCs w:val="20"/>
        </w:rPr>
        <w:t xml:space="preserve">[INSERT HERE: Authorization Model table — MSSQL Server 2019 / Passport / Web Application / Editran components, showing Identity Issuance, Authentication and Authorization]</w:t>
      </w:r>
    </w:p>
    <w:p>
      <w:pPr>
        <w:pStyle w:val="Heading2"/>
        <w:spacing w:after="160" w:before="300"/>
      </w:pPr>
      <w:r>
        <w:rPr>
          <w:b/>
          <w:bCs/>
          <w:color w:val="1F3864"/>
          <w:sz w:val="26"/>
          <w:szCs w:val="26"/>
        </w:rPr>
        <w:t xml:space="preserve">Annex C – EDITRAN – CCE Cryptographic Scheme</w:t>
      </w:r>
    </w:p>
    <w:p>
      <w:pPr>
        <w:spacing w:after="120"/>
      </w:pPr>
      <w:r>
        <w:rPr>
          <w:sz w:val="20"/>
          <w:szCs w:val="20"/>
        </w:rPr>
        <w:t xml:space="preserve">Evidence of the encryption, authentication and signing scheme used in the transmission of files to the CCE, referenced in Control Defect #3.</w:t>
      </w:r>
    </w:p>
    <w:p>
      <w:pPr>
        <w:spacing w:after="120"/>
      </w:pPr>
      <w:r>
        <w:rPr>
          <w:i/>
          <w:iCs/>
          <w:sz w:val="20"/>
          <w:szCs w:val="20"/>
        </w:rPr>
        <w:t xml:space="preserve">[INSERT HERE: Email from the EDITRAN support team confirming the use of TDES-3 as the confidentiality algorithm, RSA 4096 for authentication, SHA-256 for signing, a different key per file and key rotation every 3 months]</w:t>
      </w:r>
    </w:p>
    <w:p>
      <w:pPr>
        <w:spacing w:after="120"/>
      </w:pPr>
      <w:r>
        <w:rPr>
          <w:i/>
          <w:iCs/>
          <w:sz w:val="20"/>
          <w:szCs w:val="20"/>
        </w:rPr>
        <w:t xml:space="preserve">[INSERT HERE: Security / cryptography section of the TDD documenting the use of RSA 4096 and the key exchange]</w:t>
      </w:r>
    </w:p>
    <w:p>
      <w:pPr>
        <w:pStyle w:val="Heading2"/>
        <w:spacing w:after="160" w:before="300"/>
      </w:pPr>
      <w:r>
        <w:rPr>
          <w:b/>
          <w:bCs/>
          <w:color w:val="1F3864"/>
          <w:sz w:val="26"/>
          <w:szCs w:val="26"/>
        </w:rPr>
        <w:t xml:space="preserve">Annex D – Application Authentication and Scanning Evidence</w:t>
      </w:r>
    </w:p>
    <w:p>
      <w:pPr>
        <w:spacing w:after="120"/>
      </w:pPr>
      <w:r>
        <w:rPr>
          <w:sz w:val="20"/>
          <w:szCs w:val="20"/>
        </w:rPr>
        <w:t xml:space="preserve">Evidence related to Control Defects #1 and #4.</w:t>
      </w:r>
    </w:p>
    <w:p>
      <w:pPr>
        <w:spacing w:after="120"/>
      </w:pPr>
      <w:r>
        <w:rPr>
          <w:i/>
          <w:iCs/>
          <w:sz w:val="20"/>
          <w:szCs w:val="20"/>
        </w:rPr>
        <w:t xml:space="preserve">[INSERT HERE: Screenshot of the EDITRAN SIGNON and of the application's user management]</w:t>
      </w:r>
    </w:p>
    <w:p>
      <w:pPr>
        <w:spacing w:after="120"/>
      </w:pPr>
      <w:r>
        <w:rPr>
          <w:i/>
          <w:iCs/>
          <w:sz w:val="20"/>
          <w:szCs w:val="20"/>
        </w:rPr>
        <w:t xml:space="preserve">[INSERT HERE: Evidence of the security scans performed on the solution (penetration test report and/or analysis tool results) or record of their absence]</w:t>
      </w:r>
    </w:p>
    <w:p>
      <w:pPr>
        <w:pStyle w:val="Heading2"/>
        <w:spacing w:after="160" w:before="300"/>
      </w:pPr>
      <w:r>
        <w:rPr>
          <w:b/>
          <w:bCs/>
          <w:color w:val="1F3864"/>
          <w:sz w:val="26"/>
          <w:szCs w:val="26"/>
        </w:rPr>
        <w:t xml:space="preserve">Network/System Diagram</w:t>
      </w:r>
    </w:p>
    <w:p>
      <w:pPr>
        <w:spacing w:after="120"/>
      </w:pPr>
      <w:r>
        <w:rPr>
          <w:b/>
          <w:bCs/>
          <w:sz w:val="20"/>
          <w:szCs w:val="20"/>
        </w:rPr>
        <w:t xml:space="preserve">Current Logical Architecture consists of the following components:</w:t>
      </w:r>
    </w:p>
    <w:p>
      <w:pPr>
        <w:pStyle w:val="ListParagraph"/>
        <w:numPr>
          <w:ilvl w:val="0"/>
          <w:numId w:val="1"/>
        </w:numPr>
        <w:spacing w:after="80"/>
      </w:pPr>
      <w:r>
        <w:rPr>
          <w:sz w:val="20"/>
          <w:szCs w:val="20"/>
        </w:rPr>
        <w:t xml:space="preserve">The AS-400 system generates the regulatory files for deferred transfers and clearing.</w:t>
      </w:r>
    </w:p>
    <w:p>
      <w:pPr>
        <w:pStyle w:val="ListParagraph"/>
        <w:numPr>
          <w:ilvl w:val="0"/>
          <w:numId w:val="1"/>
        </w:numPr>
        <w:spacing w:after="80"/>
      </w:pPr>
      <w:r>
        <w:rPr>
          <w:sz w:val="20"/>
          <w:szCs w:val="20"/>
        </w:rPr>
        <w:t xml:space="preserve">The files are processed by dedicated Windows Server 2019 servers (CSF and SBP), which run the EDITRAN Transmission, Maintenance, Special Command and Event Successor services.</w:t>
      </w:r>
    </w:p>
    <w:p>
      <w:pPr>
        <w:pStyle w:val="ListParagraph"/>
        <w:numPr>
          <w:ilvl w:val="0"/>
          <w:numId w:val="1"/>
        </w:numPr>
        <w:spacing w:after="80"/>
      </w:pPr>
      <w:r>
        <w:rPr>
          <w:sz w:val="20"/>
          <w:szCs w:val="20"/>
        </w:rPr>
        <w:t xml:space="preserve">EDITRAN connects via TCP/IP through the Bancared network to the CCE EDITRAN server, on the ports registered per entity.</w:t>
      </w:r>
    </w:p>
    <w:p>
      <w:pPr>
        <w:pStyle w:val="ListParagraph"/>
        <w:numPr>
          <w:ilvl w:val="0"/>
          <w:numId w:val="1"/>
        </w:numPr>
        <w:spacing w:after="80"/>
      </w:pPr>
      <w:r>
        <w:rPr>
          <w:sz w:val="20"/>
          <w:szCs w:val="20"/>
        </w:rPr>
        <w:t xml:space="preserve">The web module (Tracking Web/API) allows Operators and Security personnel to monitor shipments/receipts without logging directly into the EDITRAN server, authenticating via Active Directory.</w:t>
      </w:r>
    </w:p>
    <w:p>
      <w:pPr>
        <w:spacing w:after="120"/>
      </w:pPr>
      <w:r>
        <w:rPr>
          <w:i/>
          <w:iCs/>
          <w:sz w:val="20"/>
          <w:szCs w:val="20"/>
        </w:rPr>
        <w:t xml:space="preserve">[INSERT HERE: Physical network diagram with PRD and DR IPs/ports — Ref. section 14.12.1 Network and Security Design of the TDD]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2026-08-03T16:59:29.644Z</dcterms:created>
  <dcterms:modified xsi:type="dcterms:W3CDTF">2026-08-03T16:59:29.656Z</dcterms:modified>
</cp:coreProperties>
</file>

<file path=docProps/custom.xml><?xml version="1.0" encoding="utf-8"?>
<Properties xmlns="http://schemas.openxmlformats.org/officeDocument/2006/custom-properties" xmlns:vt="http://schemas.openxmlformats.org/officeDocument/2006/docPropsVTypes"/>
</file>