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1170"/>
        <w:gridCol w:w="1170"/>
      </w:tblGrid>
      <w:tr>
        <w:tc>
          <w:tcPr>
            <w:tcW w:type="dxa" w:w="234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r>
              <w:rPr>
                <w:rFonts w:ascii="Arial" w:cs="Arial" w:eastAsia="Arial" w:hAnsi="Arial"/>
                <w:b/>
                <w:bCs/>
                <w:i w:val="false"/>
                <w:iCs w:val="false"/>
                <w:sz w:val="18"/>
                <w:szCs w:val="18"/>
              </w:rPr>
              <w:t xml:space="preserve">Application Name and Type:</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Scotia Correo - CSF (Email/FTP/SFTP Application)</w:t>
            </w:r>
          </w:p>
        </w:tc>
        <w:tc>
          <w:tcPr>
            <w:tcW w:type="dxa" w:w="117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r>
              <w:rPr>
                <w:rFonts w:ascii="Arial" w:cs="Arial" w:eastAsia="Arial" w:hAnsi="Arial"/>
                <w:b/>
                <w:bCs/>
                <w:i w:val="false"/>
                <w:iCs w:val="false"/>
                <w:sz w:val="18"/>
                <w:szCs w:val="18"/>
              </w:rPr>
              <w:t xml:space="preserve">Region/Country:</w:t>
            </w:r>
          </w:p>
        </w:tc>
        <w:tc>
          <w:tcPr>
            <w:tcW w:type="dxa" w:w="11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Peru</w:t>
            </w:r>
          </w:p>
        </w:tc>
      </w:tr>
      <w:tr>
        <w:tc>
          <w:tcPr>
            <w:tcW w:type="dxa" w:w="234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r>
              <w:rPr>
                <w:rFonts w:ascii="Arial" w:cs="Arial" w:eastAsia="Arial" w:hAnsi="Arial"/>
                <w:b/>
                <w:bCs/>
                <w:i w:val="false"/>
                <w:iCs w:val="false"/>
                <w:sz w:val="18"/>
                <w:szCs w:val="18"/>
              </w:rPr>
              <w:t xml:space="preserve">TRA ID (SAMS Ticket):</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SAMS0024991</w:t>
            </w:r>
          </w:p>
        </w:tc>
        <w:tc>
          <w:tcPr>
            <w:tcW w:type="dxa" w:w="117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r>
              <w:rPr>
                <w:rFonts w:ascii="Arial" w:cs="Arial" w:eastAsia="Arial" w:hAnsi="Arial"/>
                <w:b/>
                <w:bCs/>
                <w:i w:val="false"/>
                <w:iCs w:val="false"/>
                <w:sz w:val="18"/>
                <w:szCs w:val="18"/>
              </w:rPr>
              <w:t xml:space="preserve">APM ID:</w:t>
            </w:r>
          </w:p>
        </w:tc>
        <w:tc>
          <w:tcPr>
            <w:tcW w:type="dxa" w:w="11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BBF3</w:t>
            </w:r>
          </w:p>
        </w:tc>
      </w:tr>
      <w:tr>
        <w:tc>
          <w:tcPr>
            <w:tcW w:type="dxa" w:w="234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r>
              <w:rPr>
                <w:rFonts w:ascii="Arial" w:cs="Arial" w:eastAsia="Arial" w:hAnsi="Arial"/>
                <w:b/>
                <w:bCs/>
                <w:i w:val="false"/>
                <w:iCs w:val="false"/>
                <w:sz w:val="18"/>
                <w:szCs w:val="18"/>
              </w:rPr>
              <w:t xml:space="preserve">Information System Owner:</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&lt;ISO Name&gt;, &lt;ISO Title&gt;</w:t>
            </w:r>
          </w:p>
        </w:tc>
        <w:tc>
          <w:tcPr>
            <w:tcW w:type="dxa" w:w="117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r>
              <w:rPr>
                <w:rFonts w:ascii="Arial" w:cs="Arial" w:eastAsia="Arial" w:hAnsi="Arial"/>
                <w:b/>
                <w:bCs/>
                <w:i w:val="false"/>
                <w:iCs w:val="false"/>
                <w:sz w:val="18"/>
                <w:szCs w:val="18"/>
              </w:rPr>
              <w:t xml:space="preserve">Date:</w:t>
            </w:r>
          </w:p>
        </w:tc>
        <w:tc>
          <w:tcPr>
            <w:tcW w:type="dxa" w:w="11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June 2026</w:t>
            </w:r>
          </w:p>
        </w:tc>
      </w:tr>
      <w:tr>
        <w:tc>
          <w:tcPr>
            <w:tcW w:type="dxa" w:w="234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r>
              <w:rPr>
                <w:rFonts w:ascii="Arial" w:cs="Arial" w:eastAsia="Arial" w:hAnsi="Arial"/>
                <w:b/>
                <w:bCs/>
                <w:i w:val="false"/>
                <w:iCs w:val="false"/>
                <w:sz w:val="18"/>
                <w:szCs w:val="18"/>
              </w:rPr>
              <w:t xml:space="preserve">Security Advisor:</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&lt;Name of Advisor&gt;</w:t>
            </w:r>
          </w:p>
        </w:tc>
        <w:tc>
          <w:tcPr>
            <w:tcW w:type="dxa" w:w="117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r>
              <w:rPr>
                <w:rFonts w:ascii="Arial" w:cs="Arial" w:eastAsia="Arial" w:hAnsi="Arial"/>
                <w:b/>
                <w:bCs/>
                <w:i w:val="false"/>
                <w:iCs w:val="false"/>
                <w:sz w:val="18"/>
                <w:szCs w:val="18"/>
              </w:rPr>
              <w:t xml:space="preserve">Advisory Team:</w:t>
            </w:r>
          </w:p>
        </w:tc>
        <w:tc>
          <w:tcPr>
            <w:tcW w:type="dxa" w:w="11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&lt;Team&gt;</w:t>
            </w:r>
          </w:p>
        </w:tc>
      </w:tr>
      <w:tr>
        <w:tc>
          <w:tcPr>
            <w:tcW w:type="dxa" w:w="234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r>
              <w:rPr>
                <w:rFonts w:ascii="Arial" w:cs="Arial" w:eastAsia="Arial" w:hAnsi="Arial"/>
                <w:b/>
                <w:bCs/>
                <w:i w:val="false"/>
                <w:iCs w:val="false"/>
                <w:sz w:val="18"/>
                <w:szCs w:val="18"/>
              </w:rPr>
              <w:t xml:space="preserve">Asset Tier:</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&lt;Asset Tier&gt;</w:t>
            </w:r>
          </w:p>
        </w:tc>
        <w:tc>
          <w:tcPr>
            <w:tcW w:type="dxa" w:w="117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r>
              <w:rPr>
                <w:rFonts w:ascii="Arial" w:cs="Arial" w:eastAsia="Arial" w:hAnsi="Arial"/>
                <w:b/>
                <w:bCs/>
                <w:i w:val="false"/>
                <w:iCs w:val="false"/>
                <w:sz w:val="18"/>
                <w:szCs w:val="18"/>
              </w:rPr>
              <w:t xml:space="preserve">VSR #:</w:t>
            </w:r>
          </w:p>
        </w:tc>
        <w:tc>
          <w:tcPr>
            <w:tcW w:type="dxa" w:w="11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&lt;VSR&gt;</w:t>
            </w:r>
          </w:p>
        </w:tc>
      </w:tr>
    </w:tbl>
    <w:p>
      <w:pPr>
        <w:spacing w:after="160"/>
      </w:pPr>
    </w:p>
    <w:p>
      <w:pPr>
        <w:shd w:fill="1F3864" w:val="clear"/>
        <w:spacing w:after="120" w:before="240"/>
        <w:ind w:left="120" w:right="120"/>
      </w:pPr>
      <w:r>
        <w:rPr>
          <w:rFonts w:ascii="Arial" w:cs="Arial" w:eastAsia="Arial" w:hAnsi="Arial"/>
          <w:b/>
          <w:bCs/>
          <w:color w:val="FFFFFF"/>
          <w:sz w:val="24"/>
          <w:szCs w:val="24"/>
        </w:rPr>
        <w:t xml:space="preserve">Background</w:t>
      </w:r>
    </w:p>
    <w:p>
      <w:pPr>
        <w:spacing w:after="80"/>
      </w:pPr>
      <w:r>
        <w:rPr>
          <w:rFonts w:ascii="Arial" w:cs="Arial" w:eastAsia="Arial" w:hAnsi="Arial"/>
          <w:b/>
          <w:bCs/>
          <w:sz w:val="18"/>
          <w:szCs w:val="18"/>
        </w:rPr>
        <w:t xml:space="preserve">What does this system or service provide?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The Scotia Correo - CSF system is an application that enables the automated sending of files via email, FTP, and SFTP to both internal and external clients. It operates through the mailbox crediscotiacorreo@crediscotia.com.pe, which holds an active DLP exemption for sending attachments. The system serves critical business processes including Telebanking (B3QW), Collections/Recaudaciones (BBKY), and Electronic Factoring (B3TD). As part of the Transition Service Agreement (TSA), this mailbox has been identified for decommissioning upon conclusion of the transition period.</w:t>
            </w:r>
          </w:p>
        </w:tc>
      </w:tr>
    </w:tbl>
    <w:p>
      <w:pPr>
        <w:spacing w:after="160"/>
      </w:pPr>
    </w:p>
    <w:p>
      <w:pPr>
        <w:shd w:fill="1F3864" w:val="clear"/>
        <w:spacing w:after="120" w:before="240"/>
        <w:ind w:left="120" w:right="120"/>
      </w:pPr>
      <w:r>
        <w:rPr>
          <w:rFonts w:ascii="Arial" w:cs="Arial" w:eastAsia="Arial" w:hAnsi="Arial"/>
          <w:b/>
          <w:bCs/>
          <w:color w:val="FFFFFF"/>
          <w:sz w:val="24"/>
          <w:szCs w:val="24"/>
        </w:rPr>
        <w:t xml:space="preserve">Assessment(s) 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LAST TRA</w:t>
            </w:r>
          </w:p>
        </w:tc>
        <w:tc>
          <w:tcPr>
            <w:tcW w:type="dxa" w:w="46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DATE</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TRA-####</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&lt;Date&gt;</w:t>
            </w:r>
          </w:p>
        </w:tc>
      </w:tr>
    </w:tbl>
    <w:p>
      <w:pPr>
        <w:spacing w:after="160"/>
      </w:pPr>
    </w:p>
    <w:p>
      <w:pPr>
        <w:shd w:fill="1F3864" w:val="clear"/>
        <w:spacing w:after="120" w:before="240"/>
        <w:ind w:left="120" w:right="120"/>
      </w:pPr>
      <w:r>
        <w:rPr>
          <w:rFonts w:ascii="Arial" w:cs="Arial" w:eastAsia="Arial" w:hAnsi="Arial"/>
          <w:b/>
          <w:bCs/>
          <w:color w:val="FFFFFF"/>
          <w:sz w:val="24"/>
          <w:szCs w:val="24"/>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This TRA evaluates the security risks associated with the absence of DLP controls over outbound transmissions through the automated mailbox crediscotiacorreo@crediscotia.com.pe, operated by the Scotia Correo - CSF (BBF3) application. The mailbox currently operates with an active DLP exemption and serves as the central dispatch point for file delivery to clients across Telebanking, Collections, and Electronic Factoring. The primary control deficiency identified is the lack of DLP security validation over outbound transmissions, which exposes the organization to the risk of unauthorized disclosure of confidential financial information sent to external clients. The overall residual risk is rated Medium.</w:t>
            </w:r>
          </w:p>
        </w:tc>
      </w:tr>
    </w:tbl>
    <w:p>
      <w:pPr>
        <w:spacing w:after="160"/>
      </w:pPr>
    </w:p>
    <w:p>
      <w:pPr>
        <w:shd w:fill="1F3864" w:val="clear"/>
        <w:spacing w:after="120" w:before="240"/>
        <w:ind w:left="120" w:right="120"/>
      </w:pPr>
      <w:r>
        <w:rPr>
          <w:rFonts w:ascii="Arial" w:cs="Arial" w:eastAsia="Arial" w:hAnsi="Arial"/>
          <w:b/>
          <w:bCs/>
          <w:color w:val="FFFFFF"/>
          <w:sz w:val="24"/>
          <w:szCs w:val="24"/>
        </w:rPr>
        <w:t xml:space="preserve">Data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Confidentiality</w:t>
            </w:r>
          </w:p>
        </w:tc>
        <w:tc>
          <w:tcPr>
            <w:tcW w:type="dxa" w:w="234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Integrity</w:t>
            </w:r>
          </w:p>
        </w:tc>
        <w:tc>
          <w:tcPr>
            <w:tcW w:type="dxa" w:w="234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Availability</w:t>
            </w:r>
          </w:p>
        </w:tc>
        <w:tc>
          <w:tcPr>
            <w:tcW w:type="dxa" w:w="234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Continuity</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Confidential</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Highly Valuable</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High</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High</w:t>
            </w:r>
          </w:p>
        </w:tc>
      </w:tr>
    </w:tbl>
    <w:p>
      <w:pPr>
        <w:spacing w:after="120"/>
      </w:pPr>
    </w:p>
    <w:p>
      <w:pPr>
        <w:spacing w:after="80"/>
      </w:pPr>
      <w:r>
        <w:rPr>
          <w:rFonts w:ascii="Arial" w:cs="Arial" w:eastAsia="Arial" w:hAnsi="Arial"/>
          <w:b/>
          <w:bCs/>
          <w:sz w:val="18"/>
          <w:szCs w:val="18"/>
        </w:rPr>
        <w:t xml:space="preserve">Data Element</w:t>
      </w:r>
    </w:p>
    <w:p>
      <w:pPr>
        <w:spacing w:after="160"/>
      </w:pPr>
      <w:r>
        <w:rPr>
          <w:rFonts w:ascii="Arial" w:cs="Arial" w:eastAsia="Arial" w:hAnsi="Arial"/>
          <w:sz w:val="18"/>
          <w:szCs w:val="18"/>
        </w:rPr>
        <w:t xml:space="preserve">This system contains SPIRSH data, including: Company name / Client name, Account number, Client email, and Payment schedule.</w:t>
      </w:r>
    </w:p>
    <w:p>
      <w:pPr>
        <w:shd w:fill="1F3864" w:val="clear"/>
        <w:spacing w:after="120" w:before="240"/>
        <w:ind w:left="120" w:right="120"/>
      </w:pPr>
      <w:r>
        <w:rPr>
          <w:rFonts w:ascii="Arial" w:cs="Arial" w:eastAsia="Arial" w:hAnsi="Arial"/>
          <w:b/>
          <w:bCs/>
          <w:color w:val="FFFFFF"/>
          <w:sz w:val="24"/>
          <w:szCs w:val="24"/>
        </w:rPr>
        <w:t xml:space="preserve">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This assessment covers the decommissioning of the automated mailbox crediscotiacorreo@crediscotia.com.pe used by the Scotia Correo - CSF application (BBF3) as the recommended remediation action for the identified DLP control deficiency. The scope includes the revocation of its active DLP exemption, the preservation of historical OUTBOX and LOG records, and the coordination of mailbox closure with the TSA transition timeline and the ongoing Software Currency migration of associated servers (SPLA-WFTP2, SPLA-WCFS3).</w:t>
            </w:r>
          </w:p>
        </w:tc>
      </w:tr>
    </w:tbl>
    <w:p>
      <w:pPr>
        <w:spacing w:after="160"/>
      </w:pPr>
    </w:p>
    <w:p>
      <w:r>
        <w:br w:type="page"/>
      </w:r>
    </w:p>
    <w:p>
      <w:pPr>
        <w:shd w:fill="1F3864" w:val="clear"/>
        <w:spacing w:after="120" w:before="240"/>
        <w:ind w:left="120" w:right="120"/>
      </w:pPr>
      <w:r>
        <w:rPr>
          <w:rFonts w:ascii="Arial" w:cs="Arial" w:eastAsia="Arial" w:hAnsi="Arial"/>
          <w:b/>
          <w:bCs/>
          <w:color w:val="FFFFFF"/>
          <w:sz w:val="24"/>
          <w:szCs w:val="24"/>
        </w:rPr>
        <w:t xml:space="preserve">Overall Risk 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Overall Risk Rating</w:t>
            </w:r>
          </w:p>
        </w:tc>
      </w:tr>
      <w:tr>
        <w:tc>
          <w:tcPr>
            <w:tcW w:type="dxa" w:w="9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bCs/>
                <w:i w:val="false"/>
                <w:iCs w:val="false"/>
                <w:sz w:val="18"/>
                <w:szCs w:val="18"/>
              </w:rPr>
              <w:t xml:space="preserve">3 - Medium</w:t>
            </w:r>
          </w:p>
        </w:tc>
      </w:tr>
    </w:tbl>
    <w:p>
      <w:pPr>
        <w:spacing w:after="160" w:before="80"/>
      </w:pPr>
      <w:r>
        <w:rPr>
          <w:rFonts w:ascii="Arial" w:cs="Arial" w:eastAsia="Arial" w:hAnsi="Arial"/>
          <w:i/>
          <w:iCs/>
          <w:sz w:val="16"/>
          <w:szCs w:val="16"/>
        </w:rPr>
        <w:t xml:space="preserve">*Overall risk rating must reflect the highest individual residual risk rating identified</w:t>
      </w:r>
    </w:p>
    <w:p>
      <w:pPr>
        <w:shd w:fill="1F3864" w:val="clear"/>
        <w:spacing w:after="120" w:before="240"/>
        <w:ind w:left="120" w:right="120"/>
      </w:pPr>
      <w:r>
        <w:rPr>
          <w:rFonts w:ascii="Arial" w:cs="Arial" w:eastAsia="Arial" w:hAnsi="Arial"/>
          <w:b/>
          <w:bCs/>
          <w:color w:val="FFFFFF"/>
          <w:sz w:val="24"/>
          <w:szCs w:val="24"/>
        </w:rPr>
        <w:t xml:space="preserve">Risk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The overall risk of this assessment is rated as Medium. The residual risk rating is assessed as Medium based on the completion of risk assessment activities, given that the system handles confidential data with highly valuable integrity, high availability, and high continuity requirements. The organization is exposed to risks related to the lack of DLP security controls over outbound transmissions through the crediscotiacorreo@crediscotia.com.pe mailbox, as well as potential service disruption for critical business processes (Telebanking, Collections, and Electronic Factoring). These risks could result in unauthorized disclosure of confidential financial information, uncontrolled data leakage, or interruption of automated file delivery to internal and external clients.</w:t>
            </w:r>
          </w:p>
        </w:tc>
      </w:tr>
    </w:tbl>
    <w:p>
      <w:pPr>
        <w:spacing w:after="160"/>
      </w:pPr>
    </w:p>
    <w:p>
      <w:pPr>
        <w:shd w:fill="1F3864" w:val="clear"/>
        <w:spacing w:after="120" w:before="240"/>
        <w:ind w:left="120" w:right="120"/>
      </w:pPr>
      <w:r>
        <w:rPr>
          <w:rFonts w:ascii="Arial" w:cs="Arial" w:eastAsia="Arial" w:hAnsi="Arial"/>
          <w:b/>
          <w:bCs/>
          <w:color w:val="FFFFFF"/>
          <w:sz w:val="24"/>
          <w:szCs w:val="24"/>
        </w:rPr>
        <w:t xml:space="preserve">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The mailbox crediscotiacorreo@crediscotia.com.pe is dedicated exclusively to the Scotia Correo - CSF application and does not interact with Scotiabank systems directly.</w:t>
            </w:r>
          </w:p>
          <w:p>
            <w:r>
              <w:rPr>
                <w:rFonts w:ascii="Arial" w:cs="Arial" w:eastAsia="Arial" w:hAnsi="Arial"/>
                <w:sz w:val="18"/>
                <w:szCs w:val="18"/>
              </w:rPr>
              <w:t xml:space="preserve">The DLP exemption currently active on this mailbox represents a deficient control posture that requires formal remediation.</w:t>
            </w:r>
          </w:p>
          <w:p>
            <w:r>
              <w:rPr>
                <w:rFonts w:ascii="Arial" w:cs="Arial" w:eastAsia="Arial" w:hAnsi="Arial"/>
                <w:sz w:val="18"/>
                <w:szCs w:val="18"/>
              </w:rPr>
              <w:t xml:space="preserve">Historical records in the OUTBOX and LOG folders should be preserved or migrated prior to any future closure of the mailbox.</w:t>
            </w:r>
          </w:p>
          <w:p>
            <w:r>
              <w:rPr>
                <w:rFonts w:ascii="Arial" w:cs="Arial" w:eastAsia="Arial" w:hAnsi="Arial"/>
                <w:sz w:val="18"/>
                <w:szCs w:val="18"/>
              </w:rPr>
              <w:t xml:space="preserve">The associated servers (SPLA-WFTP2, SPLA-WCFS3) are currently undergoing Software Currency migration.</w:t>
            </w:r>
          </w:p>
          <w:p>
            <w:r>
              <w:rPr>
                <w:rFonts w:ascii="Arial" w:cs="Arial" w:eastAsia="Arial" w:hAnsi="Arial"/>
                <w:i/>
                <w:iCs/>
                <w:sz w:val="18"/>
                <w:szCs w:val="18"/>
              </w:rPr>
              <w:t xml:space="preserve">Note: Should anything change relative to the data or mitigating controls impacting the residual risk, this threat/risk assessment must be revisited.</w:t>
            </w:r>
          </w:p>
        </w:tc>
      </w:tr>
    </w:tbl>
    <w:p>
      <w:pPr>
        <w:spacing w:after="160"/>
      </w:pPr>
    </w:p>
    <w:p>
      <w:r>
        <w:br w:type="page"/>
      </w:r>
    </w:p>
    <w:p>
      <w:pPr>
        <w:shd w:fill="1F3864" w:val="clear"/>
        <w:spacing w:after="120" w:before="240"/>
        <w:ind w:left="120" w:right="120"/>
      </w:pPr>
      <w:r>
        <w:rPr>
          <w:rFonts w:ascii="Arial" w:cs="Arial" w:eastAsia="Arial" w:hAnsi="Arial"/>
          <w:b/>
          <w:bCs/>
          <w:color w:val="FFFFFF"/>
          <w:sz w:val="24"/>
          <w:szCs w:val="24"/>
        </w:rPr>
        <w:t xml:space="preserve">Missing or Deficient Controls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Control Defect #</w:t>
            </w:r>
          </w:p>
        </w:tc>
        <w:tc>
          <w:tcPr>
            <w:tcW w:type="dxa" w:w="70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bCs/>
                <w:i w:val="false"/>
                <w:iCs w:val="false"/>
                <w:sz w:val="18"/>
                <w:szCs w:val="18"/>
              </w:rPr>
              <w:t xml:space="preserve">1</w:t>
            </w:r>
          </w:p>
        </w:tc>
      </w:tr>
      <w:tr>
        <w:tc>
          <w:tcPr>
            <w:tcW w:type="dxa" w:w="234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r>
              <w:rPr>
                <w:rFonts w:ascii="Arial" w:cs="Arial" w:eastAsia="Arial" w:hAnsi="Arial"/>
                <w:b/>
                <w:bCs/>
                <w:i w:val="false"/>
                <w:iCs w:val="false"/>
                <w:sz w:val="18"/>
                <w:szCs w:val="18"/>
              </w:rPr>
              <w:t xml:space="preserve">Title</w:t>
            </w:r>
          </w:p>
        </w:tc>
        <w:tc>
          <w:tcPr>
            <w:tcW w:type="dxa" w:w="70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Lack of DLP Controls on Scotia Correo - CSF Automated Mailbox Pending TSA Decommissioning</w:t>
            </w:r>
          </w:p>
        </w:tc>
      </w:tr>
      <w:tr>
        <w:tc>
          <w:tcPr>
            <w:tcW w:type="dxa" w:w="234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r>
              <w:rPr>
                <w:rFonts w:ascii="Arial" w:cs="Arial" w:eastAsia="Arial" w:hAnsi="Arial"/>
                <w:b/>
                <w:bCs/>
                <w:i w:val="false"/>
                <w:iCs w:val="false"/>
                <w:sz w:val="18"/>
                <w:szCs w:val="18"/>
              </w:rPr>
              <w:t xml:space="preserve">Threat Category</w:t>
            </w:r>
          </w:p>
        </w:tc>
        <w:tc>
          <w:tcPr>
            <w:tcW w:type="dxa" w:w="70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Information Disclosure / Data Loss Prevention</w:t>
            </w:r>
          </w:p>
        </w:tc>
      </w:tr>
      <w:tr>
        <w:tc>
          <w:tcPr>
            <w:tcW w:type="dxa" w:w="234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r>
              <w:rPr>
                <w:rFonts w:ascii="Arial" w:cs="Arial" w:eastAsia="Arial" w:hAnsi="Arial"/>
                <w:b/>
                <w:bCs/>
                <w:i w:val="false"/>
                <w:iCs w:val="false"/>
                <w:sz w:val="18"/>
                <w:szCs w:val="18"/>
              </w:rPr>
              <w:t xml:space="preserve">Control Taxonomy</w:t>
            </w:r>
          </w:p>
        </w:tc>
        <w:tc>
          <w:tcPr>
            <w:tcW w:type="dxa" w:w="70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Data Loss Prevention</w:t>
            </w:r>
          </w:p>
        </w:tc>
      </w:tr>
      <w:tr>
        <w:tc>
          <w:tcPr>
            <w:tcW w:type="dxa" w:w="234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r>
              <w:rPr>
                <w:rFonts w:ascii="Arial" w:cs="Arial" w:eastAsia="Arial" w:hAnsi="Arial"/>
                <w:b/>
                <w:bCs/>
                <w:i w:val="false"/>
                <w:iCs w:val="false"/>
                <w:sz w:val="18"/>
                <w:szCs w:val="18"/>
              </w:rPr>
              <w:t xml:space="preserve">Standards Impacted</w:t>
            </w:r>
          </w:p>
        </w:tc>
        <w:tc>
          <w:tcPr>
            <w:tcW w:type="dxa" w:w="70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Data Protection Policy, DLP Standard, Email Security Standard</w:t>
            </w:r>
          </w:p>
        </w:tc>
      </w:tr>
      <w:tr>
        <w:tc>
          <w:tcPr>
            <w:tcW w:type="dxa" w:w="234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r>
              <w:rPr>
                <w:rFonts w:ascii="Arial" w:cs="Arial" w:eastAsia="Arial" w:hAnsi="Arial"/>
                <w:b/>
                <w:bCs/>
                <w:i w:val="false"/>
                <w:iCs w:val="false"/>
                <w:sz w:val="18"/>
                <w:szCs w:val="18"/>
              </w:rPr>
              <w:t xml:space="preserve">Control Deficiency</w:t>
            </w:r>
          </w:p>
        </w:tc>
        <w:tc>
          <w:tcPr>
            <w:tcW w:type="dxa" w:w="70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The automated mailbox crediscotiacorreo@crediscotia.com.pe currently operates with an active DLP exemption, meaning the bank's security tools do not validate or review data before transmission. This results in a lack of control over confidential information being sent to external clients. The mailbox is dedicated to a third-party entity (Crediscotia) and does not interact with Scotiabank systems directly; however, the absence of DLP monitoring represents a deficient control posture that must be formally closed upon TSA decommissioning.</w:t>
            </w:r>
          </w:p>
        </w:tc>
      </w:tr>
      <w:tr>
        <w:tc>
          <w:tcPr>
            <w:tcW w:type="dxa" w:w="234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r>
              <w:rPr>
                <w:rFonts w:ascii="Arial" w:cs="Arial" w:eastAsia="Arial" w:hAnsi="Arial"/>
                <w:b/>
                <w:bCs/>
                <w:i w:val="false"/>
                <w:iCs w:val="false"/>
                <w:sz w:val="18"/>
                <w:szCs w:val="18"/>
              </w:rPr>
              <w:t xml:space="preserve">Inherent Risk</w:t>
            </w:r>
          </w:p>
        </w:tc>
        <w:tc>
          <w:tcPr>
            <w:tcW w:type="dxa" w:w="70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bCs/>
                <w:i w:val="false"/>
                <w:iCs w:val="false"/>
                <w:sz w:val="18"/>
                <w:szCs w:val="18"/>
              </w:rPr>
              <w:t xml:space="preserve">Impact: High   Likelihood: High   Inherent Rating: High</w:t>
            </w:r>
          </w:p>
        </w:tc>
      </w:tr>
      <w:tr>
        <w:tc>
          <w:tcPr>
            <w:tcW w:type="dxa" w:w="234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r>
              <w:rPr>
                <w:rFonts w:ascii="Arial" w:cs="Arial" w:eastAsia="Arial" w:hAnsi="Arial"/>
                <w:b/>
                <w:bCs/>
                <w:i w:val="false"/>
                <w:iCs w:val="false"/>
                <w:sz w:val="18"/>
                <w:szCs w:val="18"/>
              </w:rPr>
              <w:t xml:space="preserve">Risk Description</w:t>
            </w:r>
          </w:p>
        </w:tc>
        <w:tc>
          <w:tcPr>
            <w:tcW w:type="dxa" w:w="70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A potential data leak or loss is suspected due to a lack of DLP security controls on the crediscotiacorreo@crediscotia.com.pe mailbox. The bank's security tools do not validate or review data before it is sent, resulting in a lack of control over confidential financial information being transmitted to external clients.</w:t>
            </w:r>
          </w:p>
        </w:tc>
      </w:tr>
      <w:tr>
        <w:tc>
          <w:tcPr>
            <w:tcW w:type="dxa" w:w="234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r>
              <w:rPr>
                <w:rFonts w:ascii="Arial" w:cs="Arial" w:eastAsia="Arial" w:hAnsi="Arial"/>
                <w:b/>
                <w:bCs/>
                <w:i w:val="false"/>
                <w:iCs w:val="false"/>
                <w:sz w:val="18"/>
                <w:szCs w:val="18"/>
              </w:rPr>
              <w:t xml:space="preserve">Existing Mitigating / Compensating Controls</w:t>
            </w:r>
          </w:p>
        </w:tc>
        <w:tc>
          <w:tcPr>
            <w:tcW w:type="dxa" w:w="70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pStyle w:val="ListParagraph"/>
              <w:numPr>
                <w:ilvl w:val="0"/>
                <w:numId w:val="2"/>
              </w:numPr>
              <w:spacing w:after="60"/>
            </w:pPr>
            <w:r>
              <w:rPr>
                <w:rFonts w:ascii="Arial" w:cs="Arial" w:eastAsia="Arial" w:hAnsi="Arial"/>
                <w:sz w:val="18"/>
                <w:szCs w:val="18"/>
              </w:rPr>
              <w:t xml:space="preserve">The mailbox is for the dedicated use of a third-party entity and does not impact or involve Scotiabank bank information.</w:t>
            </w:r>
          </w:p>
          <w:p>
            <w:pPr>
              <w:pStyle w:val="ListParagraph"/>
              <w:numPr>
                <w:ilvl w:val="0"/>
                <w:numId w:val="2"/>
              </w:numPr>
              <w:spacing w:after="60"/>
            </w:pPr>
            <w:r>
              <w:rPr>
                <w:rFonts w:ascii="Arial" w:cs="Arial" w:eastAsia="Arial" w:hAnsi="Arial"/>
                <w:sz w:val="18"/>
                <w:szCs w:val="18"/>
              </w:rPr>
              <w:t xml:space="preserve">Mailbox with restricted access for authorized users only.</w:t>
            </w:r>
          </w:p>
          <w:p>
            <w:pPr>
              <w:pStyle w:val="ListParagraph"/>
              <w:numPr>
                <w:ilvl w:val="0"/>
                <w:numId w:val="2"/>
              </w:numPr>
              <w:spacing w:after="60"/>
            </w:pPr>
            <w:r>
              <w:rPr>
                <w:rFonts w:ascii="Arial" w:cs="Arial" w:eastAsia="Arial" w:hAnsi="Arial"/>
                <w:sz w:val="18"/>
                <w:szCs w:val="18"/>
              </w:rPr>
              <w:t xml:space="preserve">Exclusive mailbox for use with the Scotia Correo - CSF application.</w:t>
            </w:r>
          </w:p>
          <w:p>
            <w:pPr>
              <w:pStyle w:val="ListParagraph"/>
              <w:numPr>
                <w:ilvl w:val="0"/>
                <w:numId w:val="2"/>
              </w:numPr>
              <w:spacing w:after="60"/>
            </w:pPr>
            <w:r>
              <w:rPr>
                <w:rFonts w:ascii="Arial" w:cs="Arial" w:eastAsia="Arial" w:hAnsi="Arial"/>
                <w:sz w:val="18"/>
                <w:szCs w:val="18"/>
              </w:rPr>
              <w:t xml:space="preserve">LOG folder on file server records all submission operations for auditability.</w:t>
            </w:r>
          </w:p>
        </w:tc>
      </w:tr>
      <w:tr>
        <w:tc>
          <w:tcPr>
            <w:tcW w:type="dxa" w:w="234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r>
              <w:rPr>
                <w:rFonts w:ascii="Arial" w:cs="Arial" w:eastAsia="Arial" w:hAnsi="Arial"/>
                <w:b/>
                <w:bCs/>
                <w:i w:val="false"/>
                <w:iCs w:val="false"/>
                <w:sz w:val="18"/>
                <w:szCs w:val="18"/>
              </w:rPr>
              <w:t xml:space="preserve">Residual Rating</w:t>
            </w:r>
          </w:p>
        </w:tc>
        <w:tc>
          <w:tcPr>
            <w:tcW w:type="dxa" w:w="70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bCs/>
                <w:i w:val="false"/>
                <w:iCs w:val="false"/>
                <w:sz w:val="18"/>
                <w:szCs w:val="18"/>
              </w:rPr>
              <w:t xml:space="preserve">Impact: High   Likelihood: Medium - Low   Residual Rating: Medium</w:t>
            </w:r>
          </w:p>
        </w:tc>
      </w:tr>
      <w:tr>
        <w:tc>
          <w:tcPr>
            <w:tcW w:type="dxa" w:w="234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r>
              <w:rPr>
                <w:rFonts w:ascii="Arial" w:cs="Arial" w:eastAsia="Arial" w:hAnsi="Arial"/>
                <w:b/>
                <w:bCs/>
                <w:i w:val="false"/>
                <w:iCs w:val="false"/>
                <w:sz w:val="18"/>
                <w:szCs w:val="18"/>
              </w:rPr>
              <w:t xml:space="preserve">Is an Issue?</w:t>
            </w:r>
          </w:p>
        </w:tc>
        <w:tc>
          <w:tcPr>
            <w:tcW w:type="dxa" w:w="70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No</w:t>
            </w:r>
          </w:p>
        </w:tc>
      </w:tr>
      <w:tr>
        <w:tc>
          <w:tcPr>
            <w:tcW w:type="dxa" w:w="234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r>
              <w:rPr>
                <w:rFonts w:ascii="Arial" w:cs="Arial" w:eastAsia="Arial" w:hAnsi="Arial"/>
                <w:b/>
                <w:bCs/>
                <w:i w:val="false"/>
                <w:iCs w:val="false"/>
                <w:sz w:val="18"/>
                <w:szCs w:val="18"/>
              </w:rPr>
              <w:t xml:space="preserve">Action Plan</w:t>
            </w:r>
          </w:p>
        </w:tc>
        <w:tc>
          <w:tcPr>
            <w:tcW w:type="dxa" w:w="70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N/A</w:t>
            </w:r>
          </w:p>
        </w:tc>
      </w:tr>
      <w:tr>
        <w:tc>
          <w:tcPr>
            <w:tcW w:type="dxa" w:w="234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r>
              <w:rPr>
                <w:rFonts w:ascii="Arial" w:cs="Arial" w:eastAsia="Arial" w:hAnsi="Arial"/>
                <w:b/>
                <w:bCs/>
                <w:i w:val="false"/>
                <w:iCs w:val="false"/>
                <w:sz w:val="18"/>
                <w:szCs w:val="18"/>
              </w:rPr>
              <w:t xml:space="preserve">Due Date</w:t>
            </w:r>
          </w:p>
        </w:tc>
        <w:tc>
          <w:tcPr>
            <w:tcW w:type="dxa" w:w="70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N/A</w:t>
            </w:r>
          </w:p>
        </w:tc>
      </w:tr>
      <w:tr>
        <w:tc>
          <w:tcPr>
            <w:tcW w:type="dxa" w:w="234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r>
              <w:rPr>
                <w:rFonts w:ascii="Arial" w:cs="Arial" w:eastAsia="Arial" w:hAnsi="Arial"/>
                <w:b/>
                <w:bCs/>
                <w:i w:val="false"/>
                <w:iCs w:val="false"/>
                <w:sz w:val="18"/>
                <w:szCs w:val="18"/>
              </w:rPr>
              <w:t xml:space="preserve">Required Evidence for Closure</w:t>
            </w:r>
          </w:p>
        </w:tc>
        <w:tc>
          <w:tcPr>
            <w:tcW w:type="dxa" w:w="70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N/A</w:t>
            </w:r>
          </w:p>
        </w:tc>
      </w:tr>
      <w:tr>
        <w:tc>
          <w:tcPr>
            <w:tcW w:type="dxa" w:w="234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r>
              <w:rPr>
                <w:rFonts w:ascii="Arial" w:cs="Arial" w:eastAsia="Arial" w:hAnsi="Arial"/>
                <w:b/>
                <w:bCs/>
                <w:i w:val="false"/>
                <w:iCs w:val="false"/>
                <w:sz w:val="18"/>
                <w:szCs w:val="18"/>
              </w:rPr>
              <w:t xml:space="preserve">Remediation Owner</w:t>
            </w:r>
          </w:p>
        </w:tc>
        <w:tc>
          <w:tcPr>
            <w:tcW w:type="dxa" w:w="70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N/A</w:t>
            </w:r>
          </w:p>
        </w:tc>
      </w:tr>
      <w:tr>
        <w:tc>
          <w:tcPr>
            <w:tcW w:type="dxa" w:w="234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r>
              <w:rPr>
                <w:rFonts w:ascii="Arial" w:cs="Arial" w:eastAsia="Arial" w:hAnsi="Arial"/>
                <w:b/>
                <w:bCs/>
                <w:i w:val="false"/>
                <w:iCs w:val="false"/>
                <w:sz w:val="18"/>
                <w:szCs w:val="18"/>
              </w:rPr>
              <w:t xml:space="preserve">Target Rating</w:t>
            </w:r>
          </w:p>
        </w:tc>
        <w:tc>
          <w:tcPr>
            <w:tcW w:type="dxa" w:w="70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bCs/>
                <w:i w:val="false"/>
                <w:iCs w:val="false"/>
                <w:sz w:val="18"/>
                <w:szCs w:val="18"/>
              </w:rPr>
              <w:t xml:space="preserve">Target Rating: Low   Target Impact: Low   Target Likelihood: Low</w:t>
            </w:r>
          </w:p>
        </w:tc>
      </w:tr>
    </w:tbl>
    <w:p>
      <w:pPr>
        <w:spacing w:after="160"/>
      </w:pPr>
    </w:p>
    <w:p>
      <w:r>
        <w:br w:type="page"/>
      </w:r>
    </w:p>
    <w:p>
      <w:pPr>
        <w:shd w:fill="1F3864" w:val="clear"/>
        <w:spacing w:after="120" w:before="240"/>
        <w:ind w:left="120" w:right="120"/>
      </w:pPr>
      <w:r>
        <w:rPr>
          <w:rFonts w:ascii="Arial" w:cs="Arial" w:eastAsia="Arial" w:hAnsi="Arial"/>
          <w:b/>
          <w:bCs/>
          <w:color w:val="FFFFFF"/>
          <w:sz w:val="24"/>
          <w:szCs w:val="24"/>
        </w:rPr>
        <w:t xml:space="preserve">Threat Modelling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3120"/>
      </w:tblGrid>
      <w:tr>
        <w:tc>
          <w:tcPr>
            <w:tcW w:type="dxa" w:w="15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STRIDE Category</w:t>
            </w:r>
          </w:p>
        </w:tc>
        <w:tc>
          <w:tcPr>
            <w:tcW w:type="dxa" w:w="234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Threat Category</w:t>
            </w:r>
          </w:p>
        </w:tc>
        <w:tc>
          <w:tcPr>
            <w:tcW w:type="dxa" w:w="234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Existing Mitigating / Compensating Controls</w:t>
            </w:r>
          </w:p>
        </w:tc>
        <w:tc>
          <w:tcPr>
            <w:tcW w:type="dxa" w:w="312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Advisory Findings</w:t>
            </w:r>
          </w:p>
        </w:tc>
      </w:tr>
      <w:tr>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Spoofing Identity</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User authentication (IAM, SSO, federation)</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Restricted mailbox access</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
            </w:r>
          </w:p>
        </w:tc>
      </w:tr>
      <w:tr>
        <w:tc>
          <w:tcPr>
            <w:tcW w:type="dxa" w:w="1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Spoofing Identity</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Unauthorized access (API, service, workload identity)</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Exclusive use by CSF application</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
            </w:r>
          </w:p>
        </w:tc>
      </w:tr>
      <w:tr>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Spoofing Identity</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Privileged account protection (human + non-human identities)</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
            </w:r>
          </w:p>
        </w:tc>
      </w:tr>
      <w:tr>
        <w:tc>
          <w:tcPr>
            <w:tcW w:type="dxa" w:w="1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Spoofing Identity</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Phishing / social engineering</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Automated process - no human interaction</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
            </w:r>
          </w:p>
        </w:tc>
      </w:tr>
      <w:tr>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Spoofing Identity</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Certificate &amp; key validation (mTLS, cert lifecycle)</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
            </w:r>
          </w:p>
        </w:tc>
      </w:tr>
      <w:tr>
        <w:tc>
          <w:tcPr>
            <w:tcW w:type="dxa" w:w="1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Tampering with Data</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Unauthorized modification of bank data</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File validation against DB before sending</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
            </w:r>
          </w:p>
        </w:tc>
      </w:tr>
      <w:tr>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Tampering with Data</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Data leaving approved environments (egress risk)</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DLP exemption in place (pending revocation at TSA end)</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Advisory recommendation: Decommission mailbox upon TSA conclusion to remediate DLP control deficiency.</w:t>
            </w:r>
          </w:p>
        </w:tc>
      </w:tr>
      <w:tr>
        <w:tc>
          <w:tcPr>
            <w:tcW w:type="dxa" w:w="1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Tampering with Data</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Secret, password, and token protection</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
            </w:r>
          </w:p>
        </w:tc>
      </w:tr>
      <w:tr>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Tampering with Data</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Authorization enforcement (RBAC, ABAC, policy)</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Restricted access for authorized users</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
            </w:r>
          </w:p>
        </w:tc>
      </w:tr>
      <w:tr>
        <w:tc>
          <w:tcPr>
            <w:tcW w:type="dxa" w:w="1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Tampering with Data</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Cryptographic integrity protections</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
            </w:r>
          </w:p>
        </w:tc>
      </w:tr>
      <w:tr>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Tampering with Data</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Direct access to databases or storage</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File configuration validated in DB</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
            </w:r>
          </w:p>
        </w:tc>
      </w:tr>
      <w:tr>
        <w:tc>
          <w:tcPr>
            <w:tcW w:type="dxa" w:w="1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Repudiation</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Shared or non-attributable account usage</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Dedicated mailbox for CSF only</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
            </w:r>
          </w:p>
        </w:tc>
      </w:tr>
      <w:tr>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Repudiation</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Logging, auditability, and non-repudiation</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LOG folder records all operations</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
            </w:r>
          </w:p>
        </w:tc>
      </w:tr>
      <w:tr>
        <w:tc>
          <w:tcPr>
            <w:tcW w:type="dxa" w:w="1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Repudiation</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Digital signatures and transaction integrity</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
            </w:r>
          </w:p>
        </w:tc>
      </w:tr>
      <w:tr>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Repudiation</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Functional, system, and service accounts</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
            </w:r>
          </w:p>
        </w:tc>
      </w:tr>
      <w:tr>
        <w:tc>
          <w:tcPr>
            <w:tcW w:type="dxa" w:w="1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Information Disclosure</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Data exfiltration or bulk download</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OUTBOX folder retains copies of all sent files</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Advisory recommendation: Preserve OUTBOX and LOG records prior to mailbox decommissioning.</w:t>
            </w:r>
          </w:p>
        </w:tc>
      </w:tr>
      <w:tr>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Information Disclosure</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Data protection at rest</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Files stored on SPLA-WCFS3 file server</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
            </w:r>
          </w:p>
        </w:tc>
      </w:tr>
      <w:tr>
        <w:tc>
          <w:tcPr>
            <w:tcW w:type="dxa" w:w="1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Information Disclosure</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Data protection in transit</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SFTP/FTP protocols used for file transfer</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
            </w:r>
          </w:p>
        </w:tc>
      </w:tr>
      <w:tr>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Information Disclosure</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Data lifecycle and records management</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LOG and OUTBOX preservation required at closure</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
            </w:r>
          </w:p>
        </w:tc>
      </w:tr>
      <w:tr>
        <w:tc>
          <w:tcPr>
            <w:tcW w:type="dxa" w:w="1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Denial of Service</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Availability attacks (infra, app, API)</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
            </w:r>
          </w:p>
        </w:tc>
      </w:tr>
      <w:tr>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Denial of Service</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Internet-facing exposure</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Internal SMTP relay - not internet-facing</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
            </w:r>
          </w:p>
        </w:tc>
      </w:tr>
      <w:tr>
        <w:tc>
          <w:tcPr>
            <w:tcW w:type="dxa" w:w="1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Denial of Service</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Resilience, scaling, and failover</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Software Currency migration in progress</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
            </w:r>
          </w:p>
        </w:tc>
      </w:tr>
      <w:tr>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Elevation of Privilege</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Least privilege enforcement</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Restricted access controls in place</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
            </w:r>
          </w:p>
        </w:tc>
      </w:tr>
      <w:tr>
        <w:tc>
          <w:tcPr>
            <w:tcW w:type="dxa" w:w="1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Elevation of Privilege</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Role design and entitlement management</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
            </w:r>
          </w:p>
        </w:tc>
      </w:tr>
      <w:tr>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Elevation of Privilege</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Lateral movement</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
            </w:r>
          </w:p>
        </w:tc>
      </w:tr>
      <w:tr>
        <w:tc>
          <w:tcPr>
            <w:tcW w:type="dxa" w:w="1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General</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Security monitoring and detection</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LOG folder on file server</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
            </w:r>
          </w:p>
        </w:tc>
      </w:tr>
      <w:tr>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General</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Data loss prevention</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DLP exemption active - pending formal revocation</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Advisory recommendation: Formal decommissioning of mailbox upon TSA conclusion as primary remediation for this control deficiency.</w:t>
            </w:r>
          </w:p>
        </w:tc>
      </w:tr>
      <w:tr>
        <w:tc>
          <w:tcPr>
            <w:tcW w:type="dxa" w:w="1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General</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Artificial intelligence / model risk</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N/A</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
            </w:r>
          </w:p>
        </w:tc>
      </w:tr>
      <w:tr>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General</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System and workload hardening</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Software Currency migration addresses server hardening</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
            </w:r>
          </w:p>
        </w:tc>
      </w:tr>
      <w:tr>
        <w:tc>
          <w:tcPr>
            <w:tcW w:type="dxa" w:w="1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General</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Other</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
            </w:r>
          </w:p>
        </w:tc>
      </w:tr>
    </w:tbl>
    <w:p>
      <w:pPr>
        <w:spacing w:after="160"/>
      </w:pPr>
    </w:p>
    <w:p>
      <w:r>
        <w:br w:type="page"/>
      </w:r>
    </w:p>
    <w:p>
      <w:pPr>
        <w:shd w:fill="1F3864" w:val="clear"/>
        <w:spacing w:after="120" w:before="240"/>
        <w:ind w:left="120" w:right="120"/>
      </w:pPr>
      <w:r>
        <w:rPr>
          <w:rFonts w:ascii="Arial" w:cs="Arial" w:eastAsia="Arial" w:hAnsi="Arial"/>
          <w:b/>
          <w:bCs/>
          <w:color w:val="FFFFFF"/>
          <w:sz w:val="24"/>
          <w:szCs w:val="24"/>
        </w:rPr>
        <w:t xml:space="preserve">Peer Review Record</w:t>
      </w:r>
    </w:p>
    <w:p>
      <w:pPr>
        <w:spacing w:after="120"/>
      </w:pPr>
      <w:r>
        <w:rPr>
          <w:rFonts w:ascii="Arial" w:cs="Arial" w:eastAsia="Arial" w:hAnsi="Arial"/>
          <w:sz w:val="18"/>
          <w:szCs w:val="18"/>
        </w:rPr>
        <w:t xml:space="preserve">This section documents the key observations, questions, and recommendations identified during the Security Advisory peer review process. The table below identifies the reviewer, the issue or question raised, and the associated response or clarification, where applicable.</w:t>
      </w:r>
    </w:p>
    <w:p>
      <w:pPr>
        <w:spacing w:after="120"/>
      </w:pPr>
      <w:r>
        <w:rPr>
          <w:rFonts w:ascii="Arial" w:cs="Arial" w:eastAsia="Arial" w:hAnsi="Arial"/>
          <w:b/>
          <w:bCs/>
          <w:sz w:val="18"/>
          <w:szCs w:val="18"/>
        </w:rPr>
        <w:t xml:space="preserve">THIS SECTION TO BE COMPLETED BY ADVISORY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Reviewer</w:t>
            </w:r>
          </w:p>
        </w:tc>
        <w:tc>
          <w:tcPr>
            <w:tcW w:type="dxa" w:w="312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Question / Observation</w:t>
            </w:r>
          </w:p>
        </w:tc>
        <w:tc>
          <w:tcPr>
            <w:tcW w:type="dxa" w:w="312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Response / Clarification (If Applicable)</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sz w:val="18"/>
                <w:szCs w:val="18"/>
              </w:rPr>
              <w:t xml:space="preserve"/>
            </w:r>
          </w:p>
        </w:tc>
      </w:tr>
    </w:tbl>
    <w:p>
      <w:pPr>
        <w:spacing w:after="160" w:before="80"/>
      </w:pPr>
      <w:r>
        <w:rPr>
          <w:rFonts w:ascii="Arial" w:cs="Arial" w:eastAsia="Arial" w:hAnsi="Arial"/>
          <w:i/>
          <w:iCs/>
          <w:sz w:val="16"/>
          <w:szCs w:val="16"/>
        </w:rPr>
        <w:t xml:space="preserve">*Note: Items documented here are not required to result in risks or action plans unless formally captured elsewhere in this assessment</w:t>
      </w:r>
    </w:p>
    <w:p>
      <w:pPr>
        <w:shd w:fill="1F3864" w:val="clear"/>
        <w:spacing w:after="120" w:before="240"/>
        <w:ind w:left="120" w:right="120"/>
      </w:pPr>
      <w:r>
        <w:rPr>
          <w:rFonts w:ascii="Arial" w:cs="Arial" w:eastAsia="Arial" w:hAnsi="Arial"/>
          <w:b/>
          <w:bCs/>
          <w:color w:val="FFFFFF"/>
          <w:sz w:val="24"/>
          <w:szCs w:val="24"/>
        </w:rPr>
        <w:t xml:space="preserve">Closure Evidence Examples</w:t>
      </w:r>
    </w:p>
    <w:p>
      <w:pPr>
        <w:pStyle w:val="ListParagraph"/>
        <w:numPr>
          <w:ilvl w:val="0"/>
          <w:numId w:val="2"/>
        </w:numPr>
        <w:spacing w:after="60"/>
      </w:pPr>
      <w:r>
        <w:rPr>
          <w:rFonts w:ascii="Arial" w:cs="Arial" w:eastAsia="Arial" w:hAnsi="Arial"/>
          <w:sz w:val="18"/>
          <w:szCs w:val="18"/>
        </w:rPr>
        <w:t xml:space="preserve">Officially approved documents such as procedures, guidelines and playbooks.</w:t>
      </w:r>
    </w:p>
    <w:p>
      <w:pPr>
        <w:pStyle w:val="ListParagraph"/>
        <w:numPr>
          <w:ilvl w:val="0"/>
          <w:numId w:val="2"/>
        </w:numPr>
        <w:spacing w:after="60"/>
      </w:pPr>
      <w:r>
        <w:rPr>
          <w:rFonts w:ascii="Arial" w:cs="Arial" w:eastAsia="Arial" w:hAnsi="Arial"/>
          <w:sz w:val="18"/>
          <w:szCs w:val="18"/>
        </w:rPr>
        <w:t xml:space="preserve">Configuration screenshots.</w:t>
      </w:r>
    </w:p>
    <w:p>
      <w:pPr>
        <w:pStyle w:val="ListParagraph"/>
        <w:numPr>
          <w:ilvl w:val="0"/>
          <w:numId w:val="2"/>
        </w:numPr>
        <w:spacing w:after="60"/>
      </w:pPr>
      <w:r>
        <w:rPr>
          <w:rFonts w:ascii="Arial" w:cs="Arial" w:eastAsia="Arial" w:hAnsi="Arial"/>
          <w:sz w:val="18"/>
          <w:szCs w:val="18"/>
        </w:rPr>
        <w:t xml:space="preserve">Scan reports.</w:t>
      </w:r>
    </w:p>
    <w:p>
      <w:pPr>
        <w:pStyle w:val="ListParagraph"/>
        <w:numPr>
          <w:ilvl w:val="0"/>
          <w:numId w:val="2"/>
        </w:numPr>
        <w:spacing w:after="60"/>
      </w:pPr>
      <w:r>
        <w:rPr>
          <w:rFonts w:ascii="Arial" w:cs="Arial" w:eastAsia="Arial" w:hAnsi="Arial"/>
          <w:sz w:val="18"/>
          <w:szCs w:val="18"/>
        </w:rPr>
        <w:t xml:space="preserve">APM profile screenshots confirming specific details of the evaluated application.</w:t>
      </w:r>
    </w:p>
    <w:p>
      <w:pPr>
        <w:pStyle w:val="ListParagraph"/>
        <w:numPr>
          <w:ilvl w:val="0"/>
          <w:numId w:val="2"/>
        </w:numPr>
        <w:spacing w:after="60"/>
      </w:pPr>
      <w:r>
        <w:rPr>
          <w:rFonts w:ascii="Arial" w:cs="Arial" w:eastAsia="Arial" w:hAnsi="Arial"/>
          <w:sz w:val="18"/>
          <w:szCs w:val="18"/>
        </w:rPr>
        <w:t xml:space="preserve">ESLM dashboard screenshots.</w:t>
      </w:r>
    </w:p>
    <w:p>
      <w:pPr>
        <w:pStyle w:val="ListParagraph"/>
        <w:numPr>
          <w:ilvl w:val="0"/>
          <w:numId w:val="2"/>
        </w:numPr>
        <w:spacing w:after="60"/>
      </w:pPr>
      <w:r>
        <w:rPr>
          <w:rFonts w:ascii="Arial" w:cs="Arial" w:eastAsia="Arial" w:hAnsi="Arial"/>
          <w:sz w:val="18"/>
          <w:szCs w:val="18"/>
        </w:rPr>
        <w:t xml:space="preserve">LAM intake numbers.</w:t>
      </w:r>
    </w:p>
    <w:p>
      <w:pPr>
        <w:pStyle w:val="ListParagraph"/>
        <w:numPr>
          <w:ilvl w:val="0"/>
          <w:numId w:val="2"/>
        </w:numPr>
        <w:spacing w:after="60"/>
      </w:pPr>
      <w:r>
        <w:rPr>
          <w:rFonts w:ascii="Arial" w:cs="Arial" w:eastAsia="Arial" w:hAnsi="Arial"/>
          <w:sz w:val="18"/>
          <w:szCs w:val="18"/>
        </w:rPr>
        <w:t xml:space="preserve">LAM dashboard screenshots.</w:t>
      </w:r>
    </w:p>
    <w:p>
      <w:pPr>
        <w:spacing w:after="160"/>
      </w:pPr>
    </w:p>
    <w:p>
      <w:pPr>
        <w:jc w:val="center"/>
      </w:pPr>
      <w:r>
        <w:rPr>
          <w:rFonts w:ascii="Arial" w:cs="Arial" w:eastAsia="Arial" w:hAnsi="Arial"/>
          <w:b/>
          <w:bCs/>
          <w:sz w:val="18"/>
          <w:szCs w:val="18"/>
        </w:rPr>
        <w:t xml:space="preserve">The Sign-off of this assessment will be provided via SNOW</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F3864" w:val="clear"/>
      <w:spacing w:after="80" w:before="80"/>
      <w:ind w:left="120"/>
    </w:pPr>
    <w:r>
      <w:rPr>
        <w:rFonts w:ascii="Arial" w:cs="Arial" w:eastAsia="Arial" w:hAnsi="Arial"/>
        <w:b/>
        <w:bCs/>
        <w:color w:val="FFFFFF"/>
        <w:sz w:val="20"/>
        <w:szCs w:val="20"/>
      </w:rPr>
      <w:t xml:space="preserve">Threat Risk Assessment (TRA)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2026-06-02T16:19:52.622Z</dcterms:created>
  <dcterms:modified xsi:type="dcterms:W3CDTF">2026-06-02T16:19:52.634Z</dcterms:modified>
</cp:coreProperties>
</file>

<file path=docProps/custom.xml><?xml version="1.0" encoding="utf-8"?>
<Properties xmlns="http://schemas.openxmlformats.org/officeDocument/2006/custom-properties" xmlns:vt="http://schemas.openxmlformats.org/officeDocument/2006/docPropsVTypes"/>
</file>