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00"/>
        <w:jc w:val="center"/>
      </w:pPr>
      <w:r>
        <w:rPr>
          <w:rFonts w:ascii="Arial" w:cs="Arial" w:eastAsia="Arial" w:hAnsi="Arial"/>
          <w:b/>
          <w:bCs/>
          <w:sz w:val="32"/>
          <w:szCs w:val="32"/>
        </w:rPr>
        <w:t xml:space="preserve">Threat Risk Assessment (TRA)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500"/>
        <w:gridCol w:w="2260"/>
      </w:tblGrid>
      <w:tr>
        <w:tc>
          <w:tcPr>
            <w:tcW w:type="dxa" w:w="24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Application Name and Type:</w:t>
            </w:r>
          </w:p>
        </w:tc>
        <w:tc>
          <w:tcPr>
            <w:tcW w:type="dxa" w:w="32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Reporte Crediticio de Deudores (RCD) – Credi Scotia Financiera (CSF)</w:t>
            </w:r>
          </w:p>
        </w:tc>
        <w:tc>
          <w:tcPr>
            <w:tcW w:type="dxa" w:w="15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Region/Country:</w:t>
            </w:r>
          </w:p>
        </w:tc>
        <w:tc>
          <w:tcPr>
            <w:tcW w:type="dxa" w:w="22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Perú / LATAM</w:t>
            </w:r>
          </w:p>
        </w:tc>
      </w:tr>
      <w:tr>
        <w:tc>
          <w:tcPr>
            <w:tcW w:type="dxa" w:w="24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TRA ID (SAMS Ticket):</w:t>
            </w:r>
          </w:p>
        </w:tc>
        <w:tc>
          <w:tcPr>
            <w:tcW w:type="dxa" w:w="32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SAMS0040745</w:t>
            </w:r>
          </w:p>
        </w:tc>
        <w:tc>
          <w:tcPr>
            <w:tcW w:type="dxa" w:w="15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APM ID:</w:t>
            </w:r>
          </w:p>
        </w:tc>
        <w:tc>
          <w:tcPr>
            <w:tcW w:type="dxa" w:w="22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BBLX</w:t>
            </w:r>
          </w:p>
        </w:tc>
      </w:tr>
      <w:tr>
        <w:tc>
          <w:tcPr>
            <w:tcW w:type="dxa" w:w="24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Information System Owner:</w:t>
            </w:r>
          </w:p>
        </w:tc>
        <w:tc>
          <w:tcPr>
            <w:tcW w:type="dxa" w:w="32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Ballardo Urco, Abner – Vicepresidente de Tecnología</w:t>
            </w:r>
          </w:p>
        </w:tc>
        <w:tc>
          <w:tcPr>
            <w:tcW w:type="dxa" w:w="15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Date:</w:t>
            </w:r>
          </w:p>
        </w:tc>
        <w:tc>
          <w:tcPr>
            <w:tcW w:type="dxa" w:w="22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04/06/2026</w:t>
            </w:r>
          </w:p>
        </w:tc>
      </w:tr>
      <w:tr>
        <w:tc>
          <w:tcPr>
            <w:tcW w:type="dxa" w:w="24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Security Advisor:</w:t>
            </w:r>
          </w:p>
        </w:tc>
        <w:tc>
          <w:tcPr>
            <w:tcW w:type="dxa" w:w="32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
            </w:r>
          </w:p>
        </w:tc>
        <w:tc>
          <w:tcPr>
            <w:tcW w:type="dxa" w:w="15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Advisory Team:</w:t>
            </w:r>
          </w:p>
        </w:tc>
        <w:tc>
          <w:tcPr>
            <w:tcW w:type="dxa" w:w="22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SAMS INTL LATAM</w:t>
            </w:r>
          </w:p>
        </w:tc>
      </w:tr>
      <w:tr>
        <w:tc>
          <w:tcPr>
            <w:tcW w:type="dxa" w:w="24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Asset Tier:</w:t>
            </w:r>
          </w:p>
        </w:tc>
        <w:tc>
          <w:tcPr>
            <w:tcW w:type="dxa" w:w="32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
            </w:r>
          </w:p>
        </w:tc>
        <w:tc>
          <w:tcPr>
            <w:tcW w:type="dxa" w:w="15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VSR #:</w:t>
            </w:r>
          </w:p>
        </w:tc>
        <w:tc>
          <w:tcPr>
            <w:tcW w:type="dxa" w:w="22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
            </w:r>
          </w:p>
        </w:tc>
      </w:tr>
    </w:tbl>
    <w:p>
      <w:pPr>
        <w:spacing w:after="60" w:before="60"/>
        <w:jc w:val="left"/>
      </w:pPr>
      <w:r>
        <w:rPr>
          <w:rFonts w:ascii="Arial" w:cs="Arial" w:eastAsia="Arial" w:hAnsi="Arial"/>
          <w:b w:val="false"/>
          <w:bCs w:val="false"/>
          <w:color w:val="000000"/>
          <w:sz w:val="20"/>
          <w:szCs w:val="20"/>
        </w:rPr>
        <w:t xml:space="preserve"/>
      </w:r>
    </w:p>
    <w:p>
      <w:pPr>
        <w:spacing w:after="80" w:before="160"/>
      </w:pPr>
      <w:r>
        <w:rPr>
          <w:rFonts w:ascii="Arial" w:cs="Arial" w:eastAsia="Arial" w:hAnsi="Arial"/>
          <w:b/>
          <w:bCs/>
          <w:color w:val="000000"/>
          <w:sz w:val="20"/>
          <w:szCs w:val="20"/>
        </w:rPr>
        <w:t xml:space="preserve">Background</w:t>
      </w:r>
    </w:p>
    <w:p>
      <w:pPr>
        <w:spacing w:after="60" w:before="60"/>
        <w:jc w:val="left"/>
      </w:pPr>
      <w:r>
        <w:rPr>
          <w:rFonts w:ascii="Arial" w:cs="Arial" w:eastAsia="Arial" w:hAnsi="Arial"/>
          <w:b/>
          <w:bCs/>
          <w:color w:val="000000"/>
          <w:sz w:val="18"/>
          <w:szCs w:val="18"/>
        </w:rPr>
        <w:t xml:space="preserve">What does this system or service provide?</w:t>
      </w:r>
    </w:p>
    <w:p>
      <w:pPr>
        <w:spacing w:after="60" w:before="60"/>
        <w:jc w:val="left"/>
      </w:pPr>
      <w:r>
        <w:rPr>
          <w:rFonts w:ascii="Arial" w:cs="Arial" w:eastAsia="Arial" w:hAnsi="Arial"/>
          <w:b w:val="false"/>
          <w:bCs w:val="false"/>
          <w:color w:val="000000"/>
          <w:sz w:val="18"/>
          <w:szCs w:val="18"/>
        </w:rPr>
        <w:t xml:space="preserve">The Reporte Crediticio de Deudores (RCD) – Credi Scotia Financiera (CSF) is an information system responsible for transmitting mandatory financial reporting documents to the BCRP (Banco Central de Reserva del Perú). The system operates through WinSCP, an SFTP client, and uses a dedicated physical workstation (IP: 10.237.87.101) to connect to the BCRP external server (IP: 190.81.38.207, port 9055). Regulatory files are generated by an AS-400 system, consolidated on a File Server (PELMVIPR2AS20071), and manually transmitted by a single authorized accounting user using credentials provided by the BCRP.</w:t>
      </w:r>
    </w:p>
    <w:p>
      <w:pPr>
        <w:spacing w:after="60" w:before="60"/>
        <w:jc w:val="left"/>
      </w:pPr>
      <w:r>
        <w:rPr>
          <w:rFonts w:ascii="Arial" w:cs="Arial" w:eastAsia="Arial" w:hAnsi="Arial"/>
          <w:b w:val="false"/>
          <w:bCs w:val="false"/>
          <w:color w:val="000000"/>
          <w:sz w:val="18"/>
          <w:szCs w:val="18"/>
        </w:rPr>
        <w:t xml:space="preserve">OnPrem</w:t>
      </w:r>
    </w:p>
    <w:p>
      <w:pPr>
        <w:spacing w:after="60" w:before="60"/>
        <w:jc w:val="left"/>
      </w:pPr>
      <w:r>
        <w:rPr>
          <w:rFonts w:ascii="Arial" w:cs="Arial" w:eastAsia="Arial" w:hAnsi="Arial"/>
          <w:b w:val="false"/>
          <w:bCs w:val="false"/>
          <w:color w:val="000000"/>
          <w:sz w:val="20"/>
          <w:szCs w:val="20"/>
        </w:rPr>
        <w:t xml:space="preserve"/>
      </w:r>
    </w:p>
    <w:p>
      <w:pPr>
        <w:spacing w:after="80" w:before="160"/>
      </w:pPr>
      <w:r>
        <w:rPr>
          <w:rFonts w:ascii="Arial" w:cs="Arial" w:eastAsia="Arial" w:hAnsi="Arial"/>
          <w:b/>
          <w:bCs/>
          <w:color w:val="000000"/>
          <w:sz w:val="20"/>
          <w:szCs w:val="20"/>
        </w:rPr>
        <w:t xml:space="preserve">Assessment(s) 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999999" w:sz="4"/>
              <w:left w:val="single" w:color="999999" w:sz="4"/>
              <w:bottom w:val="single" w:color="999999" w:sz="4"/>
              <w:right w:val="single" w:color="999999" w:sz="4"/>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LAST TRA</w:t>
            </w:r>
          </w:p>
        </w:tc>
        <w:tc>
          <w:tcPr>
            <w:tcW w:type="dxa" w:w="4680"/>
            <w:gridSpan w:val="1"/>
            <w:tcBorders>
              <w:top w:val="single" w:color="999999" w:sz="4"/>
              <w:left w:val="single" w:color="999999" w:sz="4"/>
              <w:bottom w:val="single" w:color="999999" w:sz="4"/>
              <w:right w:val="single" w:color="999999" w:sz="4"/>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r>
      <w:tr>
        <w:tc>
          <w:tcPr>
            <w:tcW w:type="dxa" w:w="468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N/A</w:t>
            </w:r>
          </w:p>
        </w:tc>
        <w:tc>
          <w:tcPr>
            <w:tcW w:type="dxa" w:w="468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N/A</w:t>
            </w:r>
          </w:p>
        </w:tc>
      </w:tr>
    </w:tbl>
    <w:p>
      <w:pPr>
        <w:spacing w:after="60" w:before="60"/>
        <w:jc w:val="left"/>
      </w:pPr>
      <w:r>
        <w:rPr>
          <w:rFonts w:ascii="Arial" w:cs="Arial" w:eastAsia="Arial" w:hAnsi="Arial"/>
          <w:b w:val="false"/>
          <w:bCs w:val="false"/>
          <w:color w:val="000000"/>
          <w:sz w:val="20"/>
          <w:szCs w:val="20"/>
        </w:rPr>
        <w:t xml:space="preserve"/>
      </w:r>
    </w:p>
    <w:p>
      <w:pPr>
        <w:spacing w:after="80" w:before="160"/>
      </w:pPr>
      <w:r>
        <w:rPr>
          <w:rFonts w:ascii="Arial" w:cs="Arial" w:eastAsia="Arial" w:hAnsi="Arial"/>
          <w:b/>
          <w:bCs/>
          <w:sz w:val="20"/>
          <w:szCs w:val="20"/>
        </w:rPr>
        <w:t xml:space="preserve">Executive Summary</w:t>
      </w:r>
    </w:p>
    <w:p>
      <w:pPr>
        <w:spacing w:after="60" w:before="60"/>
        <w:jc w:val="left"/>
      </w:pPr>
      <w:r>
        <w:rPr>
          <w:rFonts w:ascii="Arial" w:cs="Arial" w:eastAsia="Arial" w:hAnsi="Arial"/>
          <w:b w:val="false"/>
          <w:bCs w:val="false"/>
          <w:color w:val="000000"/>
          <w:sz w:val="18"/>
          <w:szCs w:val="18"/>
        </w:rPr>
        <w:t xml:space="preserve">This TRA evaluates the security risks associated with the use of WinSCP as an SFTP file transfer client for the mandatory transmission of regulatory financial reporting documents (RCD) to the BCRP (Banco Central de Reserva del Perú) by Credi Scotia Financiera (CSF). The assessment was triggered by an urgent request related to a new BCRP IP address change that required a firewall port opening. Two primary control deficiencies were identified: (1) manual credential management for WinSCP sessions, which exposes the institution to risks of unauthorized access and credential compromise; and (2) the absence of automated validation controls on the file transfer process, which introduces the risk of wrong or unauthorized submissions to the regulator. The overall residual risk is rated Medium.</w:t>
      </w:r>
    </w:p>
    <w:p>
      <w:pPr>
        <w:spacing w:after="60" w:before="60"/>
        <w:jc w:val="left"/>
      </w:pPr>
      <w:r>
        <w:rPr>
          <w:rFonts w:ascii="Arial" w:cs="Arial" w:eastAsia="Arial" w:hAnsi="Arial"/>
          <w:b w:val="false"/>
          <w:bCs w:val="false"/>
          <w:color w:val="000000"/>
          <w:sz w:val="20"/>
          <w:szCs w:val="20"/>
        </w:rPr>
        <w:t xml:space="preserve"/>
      </w:r>
    </w:p>
    <w:p>
      <w:pPr>
        <w:spacing w:after="80" w:before="160"/>
      </w:pPr>
      <w:r>
        <w:rPr>
          <w:rFonts w:ascii="Arial" w:cs="Arial" w:eastAsia="Arial" w:hAnsi="Arial"/>
          <w:b/>
          <w:bCs/>
          <w:color w:val="000000"/>
          <w:sz w:val="20"/>
          <w:szCs w:val="20"/>
        </w:rPr>
        <w:t xml:space="preserve">Data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999999" w:sz="4"/>
              <w:left w:val="single" w:color="999999" w:sz="4"/>
              <w:bottom w:val="single" w:color="999999" w:sz="4"/>
              <w:right w:val="single" w:color="999999" w:sz="4"/>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Confidentiality</w:t>
            </w:r>
          </w:p>
        </w:tc>
        <w:tc>
          <w:tcPr>
            <w:tcW w:type="dxa" w:w="2340"/>
            <w:gridSpan w:val="1"/>
            <w:tcBorders>
              <w:top w:val="single" w:color="999999" w:sz="4"/>
              <w:left w:val="single" w:color="999999" w:sz="4"/>
              <w:bottom w:val="single" w:color="999999" w:sz="4"/>
              <w:right w:val="single" w:color="999999" w:sz="4"/>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Integrity</w:t>
            </w:r>
          </w:p>
        </w:tc>
        <w:tc>
          <w:tcPr>
            <w:tcW w:type="dxa" w:w="2340"/>
            <w:gridSpan w:val="1"/>
            <w:tcBorders>
              <w:top w:val="single" w:color="999999" w:sz="4"/>
              <w:left w:val="single" w:color="999999" w:sz="4"/>
              <w:bottom w:val="single" w:color="999999" w:sz="4"/>
              <w:right w:val="single" w:color="999999" w:sz="4"/>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Availability</w:t>
            </w:r>
          </w:p>
        </w:tc>
        <w:tc>
          <w:tcPr>
            <w:tcW w:type="dxa" w:w="2340"/>
            <w:gridSpan w:val="1"/>
            <w:tcBorders>
              <w:top w:val="single" w:color="999999" w:sz="4"/>
              <w:left w:val="single" w:color="999999" w:sz="4"/>
              <w:bottom w:val="single" w:color="999999" w:sz="4"/>
              <w:right w:val="single" w:color="999999" w:sz="4"/>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Continuity</w:t>
            </w:r>
          </w:p>
        </w:tc>
      </w:tr>
      <w:tr>
        <w:tc>
          <w:tcPr>
            <w:tcW w:type="dxa" w:w="234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Confidential</w:t>
            </w:r>
          </w:p>
        </w:tc>
        <w:tc>
          <w:tcPr>
            <w:tcW w:type="dxa" w:w="234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Valuable</w:t>
            </w:r>
          </w:p>
        </w:tc>
        <w:tc>
          <w:tcPr>
            <w:tcW w:type="dxa" w:w="234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Medium</w:t>
            </w:r>
          </w:p>
        </w:tc>
        <w:tc>
          <w:tcPr>
            <w:tcW w:type="dxa" w:w="234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Critical</w:t>
            </w:r>
          </w:p>
        </w:tc>
      </w:tr>
    </w:tbl>
    <w:p>
      <w:pPr>
        <w:spacing w:after="60" w:before="60"/>
        <w:jc w:val="left"/>
      </w:pPr>
      <w:r>
        <w:rPr>
          <w:rFonts w:ascii="Arial" w:cs="Arial" w:eastAsia="Arial" w:hAnsi="Arial"/>
          <w:b w:val="false"/>
          <w:bCs w:val="false"/>
          <w:color w:val="000000"/>
          <w:sz w:val="20"/>
          <w:szCs w:val="20"/>
        </w:rPr>
        <w:t xml:space="preserve"/>
      </w:r>
    </w:p>
    <w:p>
      <w:pPr>
        <w:spacing w:after="80" w:before="160"/>
      </w:pPr>
      <w:r>
        <w:rPr>
          <w:rFonts w:ascii="Arial" w:cs="Arial" w:eastAsia="Arial" w:hAnsi="Arial"/>
          <w:b/>
          <w:bCs/>
          <w:color w:val="000000"/>
          <w:sz w:val="20"/>
          <w:szCs w:val="20"/>
        </w:rPr>
        <w:t xml:space="preserve">Data Element</w:t>
      </w:r>
    </w:p>
    <w:p>
      <w:pPr>
        <w:spacing w:after="60" w:before="60"/>
        <w:jc w:val="left"/>
      </w:pPr>
      <w:r>
        <w:rPr>
          <w:rFonts w:ascii="Arial" w:cs="Arial" w:eastAsia="Arial" w:hAnsi="Arial"/>
          <w:b w:val="false"/>
          <w:bCs w:val="false"/>
          <w:color w:val="000000"/>
          <w:sz w:val="18"/>
          <w:szCs w:val="18"/>
        </w:rPr>
        <w:t xml:space="preserve">The system processes regulatory financial data classified as Confidential, including:</w:t>
      </w:r>
    </w:p>
    <w:p>
      <w:pPr>
        <w:pStyle w:val="ListParagraph"/>
        <w:numPr>
          <w:ilvl w:val="0"/>
          <w:numId w:val="2"/>
        </w:numPr>
        <w:spacing w:after="40" w:before="40"/>
      </w:pPr>
      <w:r>
        <w:rPr>
          <w:rFonts w:ascii="Arial" w:cs="Arial" w:eastAsia="Arial" w:hAnsi="Arial"/>
          <w:sz w:val="18"/>
          <w:szCs w:val="18"/>
        </w:rPr>
        <w:t xml:space="preserve">Format code</w:t>
      </w:r>
    </w:p>
    <w:p>
      <w:pPr>
        <w:pStyle w:val="ListParagraph"/>
        <w:numPr>
          <w:ilvl w:val="0"/>
          <w:numId w:val="2"/>
        </w:numPr>
        <w:spacing w:after="40" w:before="40"/>
      </w:pPr>
      <w:r>
        <w:rPr>
          <w:rFonts w:ascii="Arial" w:cs="Arial" w:eastAsia="Arial" w:hAnsi="Arial"/>
          <w:sz w:val="18"/>
          <w:szCs w:val="18"/>
        </w:rPr>
        <w:t xml:space="preserve">Annex Code</w:t>
      </w:r>
    </w:p>
    <w:p>
      <w:pPr>
        <w:pStyle w:val="ListParagraph"/>
        <w:numPr>
          <w:ilvl w:val="0"/>
          <w:numId w:val="2"/>
        </w:numPr>
        <w:spacing w:after="40" w:before="40"/>
      </w:pPr>
      <w:r>
        <w:rPr>
          <w:rFonts w:ascii="Arial" w:cs="Arial" w:eastAsia="Arial" w:hAnsi="Arial"/>
          <w:sz w:val="18"/>
          <w:szCs w:val="18"/>
        </w:rPr>
        <w:t xml:space="preserve">Reporting company code</w:t>
      </w:r>
    </w:p>
    <w:p>
      <w:pPr>
        <w:pStyle w:val="ListParagraph"/>
        <w:numPr>
          <w:ilvl w:val="0"/>
          <w:numId w:val="2"/>
        </w:numPr>
        <w:spacing w:after="40" w:before="40"/>
      </w:pPr>
      <w:r>
        <w:rPr>
          <w:rFonts w:ascii="Arial" w:cs="Arial" w:eastAsia="Arial" w:hAnsi="Arial"/>
          <w:sz w:val="18"/>
          <w:szCs w:val="18"/>
        </w:rPr>
        <w:t xml:space="preserve">Reporting period date</w:t>
      </w:r>
    </w:p>
    <w:p>
      <w:pPr>
        <w:pStyle w:val="ListParagraph"/>
        <w:numPr>
          <w:ilvl w:val="0"/>
          <w:numId w:val="2"/>
        </w:numPr>
        <w:spacing w:after="40" w:before="40"/>
      </w:pPr>
      <w:r>
        <w:rPr>
          <w:rFonts w:ascii="Arial" w:cs="Arial" w:eastAsia="Arial" w:hAnsi="Arial"/>
          <w:sz w:val="18"/>
          <w:szCs w:val="18"/>
        </w:rPr>
        <w:t xml:space="preserve">Amount expression Code (CEM)</w:t>
      </w:r>
    </w:p>
    <w:p>
      <w:pPr>
        <w:pStyle w:val="ListParagraph"/>
        <w:numPr>
          <w:ilvl w:val="0"/>
          <w:numId w:val="2"/>
        </w:numPr>
        <w:spacing w:after="40" w:before="40"/>
      </w:pPr>
      <w:r>
        <w:rPr>
          <w:rFonts w:ascii="Arial" w:cs="Arial" w:eastAsia="Arial" w:hAnsi="Arial"/>
          <w:sz w:val="18"/>
          <w:szCs w:val="18"/>
        </w:rPr>
        <w:t xml:space="preserve">Control data</w:t>
      </w:r>
    </w:p>
    <w:p>
      <w:pPr>
        <w:pStyle w:val="ListParagraph"/>
        <w:numPr>
          <w:ilvl w:val="0"/>
          <w:numId w:val="2"/>
        </w:numPr>
        <w:spacing w:after="40" w:before="40"/>
      </w:pPr>
      <w:r>
        <w:rPr>
          <w:rFonts w:ascii="Arial" w:cs="Arial" w:eastAsia="Arial" w:hAnsi="Arial"/>
          <w:sz w:val="18"/>
          <w:szCs w:val="18"/>
        </w:rPr>
        <w:t xml:space="preserve">Minimum amount</w:t>
      </w:r>
    </w:p>
    <w:p>
      <w:pPr>
        <w:pStyle w:val="ListParagraph"/>
        <w:numPr>
          <w:ilvl w:val="0"/>
          <w:numId w:val="2"/>
        </w:numPr>
        <w:spacing w:after="40" w:before="40"/>
      </w:pPr>
      <w:r>
        <w:rPr>
          <w:rFonts w:ascii="Arial" w:cs="Arial" w:eastAsia="Arial" w:hAnsi="Arial"/>
          <w:sz w:val="18"/>
          <w:szCs w:val="18"/>
        </w:rPr>
        <w:t xml:space="preserve">Record delimiters</w:t>
      </w:r>
    </w:p>
    <w:p>
      <w:pPr>
        <w:spacing w:after="60" w:before="60"/>
        <w:jc w:val="left"/>
      </w:pPr>
      <w:r>
        <w:rPr>
          <w:rFonts w:ascii="Arial" w:cs="Arial" w:eastAsia="Arial" w:hAnsi="Arial"/>
          <w:b w:val="false"/>
          <w:bCs w:val="false"/>
          <w:color w:val="000000"/>
          <w:sz w:val="20"/>
          <w:szCs w:val="20"/>
        </w:rPr>
        <w:t xml:space="preserve"/>
      </w:r>
    </w:p>
    <w:p>
      <w:pPr>
        <w:spacing w:after="80" w:before="160"/>
      </w:pPr>
      <w:r>
        <w:rPr>
          <w:rFonts w:ascii="Arial" w:cs="Arial" w:eastAsia="Arial" w:hAnsi="Arial"/>
          <w:b/>
          <w:bCs/>
          <w:color w:val="000000"/>
          <w:sz w:val="20"/>
          <w:szCs w:val="20"/>
        </w:rPr>
        <w:t xml:space="preserve">In Scope</w:t>
      </w:r>
    </w:p>
    <w:p>
      <w:pPr>
        <w:pStyle w:val="ListParagraph"/>
        <w:numPr>
          <w:ilvl w:val="0"/>
          <w:numId w:val="2"/>
        </w:numPr>
        <w:spacing w:after="40" w:before="40"/>
      </w:pPr>
      <w:r>
        <w:rPr>
          <w:rFonts w:ascii="Arial" w:cs="Arial" w:eastAsia="Arial" w:hAnsi="Arial"/>
          <w:sz w:val="18"/>
          <w:szCs w:val="18"/>
        </w:rPr>
        <w:t xml:space="preserve">Use of WinSCP as an SFTP file transfer client to transmit mandatory financial reporting documents to the BCRP regulator, following the disruption caused by the regulator’s IP address change.</w:t>
      </w:r>
    </w:p>
    <w:p>
      <w:pPr>
        <w:pStyle w:val="ListParagraph"/>
        <w:numPr>
          <w:ilvl w:val="0"/>
          <w:numId w:val="2"/>
        </w:numPr>
        <w:spacing w:after="40" w:before="40"/>
      </w:pPr>
      <w:r>
        <w:rPr>
          <w:rFonts w:ascii="Arial" w:cs="Arial" w:eastAsia="Arial" w:hAnsi="Arial"/>
          <w:sz w:val="18"/>
          <w:szCs w:val="18"/>
        </w:rPr>
        <w:t xml:space="preserve">Manual enablement of a firewall port opening to allow connectivity to the new BCRP IP address provided by the regulator.</w:t>
      </w:r>
    </w:p>
    <w:p>
      <w:pPr>
        <w:pStyle w:val="ListParagraph"/>
        <w:numPr>
          <w:ilvl w:val="0"/>
          <w:numId w:val="2"/>
        </w:numPr>
        <w:spacing w:after="40" w:before="40"/>
      </w:pPr>
      <w:r>
        <w:rPr>
          <w:rFonts w:ascii="Arial" w:cs="Arial" w:eastAsia="Arial" w:hAnsi="Arial"/>
          <w:sz w:val="18"/>
          <w:szCs w:val="18"/>
        </w:rPr>
        <w:t xml:space="preserve">Assignment of a single authorized user to perform the file transmission process on behalf of the institution.</w:t>
      </w:r>
    </w:p>
    <w:p>
      <w:pPr>
        <w:pStyle w:val="ListParagraph"/>
        <w:numPr>
          <w:ilvl w:val="0"/>
          <w:numId w:val="2"/>
        </w:numPr>
        <w:spacing w:after="40" w:before="40"/>
      </w:pPr>
      <w:r>
        <w:rPr>
          <w:rFonts w:ascii="Arial" w:cs="Arial" w:eastAsia="Arial" w:hAnsi="Arial"/>
          <w:sz w:val="18"/>
          <w:szCs w:val="18"/>
        </w:rPr>
        <w:t xml:space="preserve">End-to-end handling of the transmission workflow, including session initiation, file selection, and submission, as carried out to meet regulatory reporting within the established deadline.</w:t>
      </w:r>
    </w:p>
    <w:p>
      <w:pPr>
        <w:spacing w:after="60" w:before="60"/>
        <w:jc w:val="left"/>
      </w:pPr>
      <w:r>
        <w:rPr>
          <w:rFonts w:ascii="Arial" w:cs="Arial" w:eastAsia="Arial" w:hAnsi="Arial"/>
          <w:b w:val="false"/>
          <w:bCs w:val="false"/>
          <w:color w:val="000000"/>
          <w:sz w:val="20"/>
          <w:szCs w:val="20"/>
        </w:rPr>
        <w:t xml:space="preserve"/>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gridSpan w:val="1"/>
            <w:tcBorders>
              <w:top w:val="single" w:color="999999" w:sz="4"/>
              <w:left w:val="single" w:color="999999" w:sz="4"/>
              <w:bottom w:val="single" w:color="999999" w:sz="4"/>
              <w:right w:val="single" w:color="999999" w:sz="4"/>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Overall Risk Rating</w:t>
            </w:r>
          </w:p>
        </w:tc>
      </w:tr>
      <w:tr>
        <w:tc>
          <w:tcPr>
            <w:tcW w:type="dxa" w:w="30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center"/>
            </w:pPr>
            <w:r>
              <w:rPr>
                <w:rFonts w:ascii="Arial" w:cs="Arial" w:eastAsia="Arial" w:hAnsi="Arial"/>
                <w:b/>
                <w:bCs/>
                <w:color w:val="000000"/>
                <w:sz w:val="18"/>
                <w:szCs w:val="18"/>
              </w:rPr>
              <w:t xml:space="preserve">Medium</w:t>
            </w:r>
          </w:p>
        </w:tc>
      </w:tr>
    </w:tbl>
    <w:p>
      <w:pPr>
        <w:spacing w:after="60" w:before="60"/>
        <w:jc w:val="left"/>
      </w:pPr>
      <w:r>
        <w:rPr>
          <w:rFonts w:ascii="Arial" w:cs="Arial" w:eastAsia="Arial" w:hAnsi="Arial"/>
          <w:b w:val="false"/>
          <w:bCs w:val="false"/>
          <w:color w:val="000000"/>
          <w:sz w:val="20"/>
          <w:szCs w:val="20"/>
        </w:rPr>
        <w:t xml:space="preserve"/>
      </w:r>
    </w:p>
    <w:p>
      <w:pPr>
        <w:spacing w:after="60" w:before="60"/>
        <w:jc w:val="left"/>
      </w:pPr>
      <w:r>
        <w:rPr>
          <w:rFonts w:ascii="Arial" w:cs="Arial" w:eastAsia="Arial" w:hAnsi="Arial"/>
          <w:b w:val="false"/>
          <w:bCs w:val="false"/>
          <w:color w:val="000000"/>
          <w:sz w:val="16"/>
          <w:szCs w:val="16"/>
        </w:rPr>
        <w:t xml:space="preserve">*Overall risk rating must reflect the highest individual residual risk rating identified</w:t>
      </w:r>
    </w:p>
    <w:p>
      <w:pPr>
        <w:spacing w:after="60" w:before="60"/>
        <w:jc w:val="left"/>
      </w:pPr>
      <w:r>
        <w:rPr>
          <w:rFonts w:ascii="Arial" w:cs="Arial" w:eastAsia="Arial" w:hAnsi="Arial"/>
          <w:b w:val="false"/>
          <w:bCs w:val="false"/>
          <w:color w:val="000000"/>
          <w:sz w:val="20"/>
          <w:szCs w:val="20"/>
        </w:rPr>
        <w:t xml:space="preserve"/>
      </w:r>
    </w:p>
    <w:p>
      <w:pPr>
        <w:spacing w:after="60" w:before="100"/>
      </w:pPr>
      <w:r>
        <w:rPr>
          <w:rFonts w:ascii="Arial" w:cs="Arial" w:eastAsia="Arial" w:hAnsi="Arial"/>
          <w:b/>
          <w:bCs/>
          <w:sz w:val="20"/>
          <w:szCs w:val="20"/>
        </w:rPr>
        <w:t xml:space="preserve">Risk Statement:</w:t>
      </w:r>
    </w:p>
    <w:p>
      <w:pPr>
        <w:spacing w:after="60" w:before="60"/>
        <w:jc w:val="left"/>
      </w:pPr>
      <w:r>
        <w:rPr>
          <w:rFonts w:ascii="Arial" w:cs="Arial" w:eastAsia="Arial" w:hAnsi="Arial"/>
          <w:b w:val="false"/>
          <w:bCs w:val="false"/>
          <w:color w:val="000000"/>
          <w:sz w:val="18"/>
          <w:szCs w:val="18"/>
        </w:rPr>
        <w:t xml:space="preserve">The overall risk of this assessment is rated as Medium. The residual risk rating is assessed as Medium based on the completion of risk assessment activities, given that the system handles confidential data with valuable integrity, medium availability, and critical continuity requirements, which exposes the organization to risks in credential exposure through manual SFTP session handling and unauthorized or wrong file transmission to the BCRP, both of which could result in unauthorized access to sensitive credentials, inadvertent disclosure of confidential information, or submission of incorrect regulatory data.</w:t>
      </w:r>
    </w:p>
    <w:p>
      <w:pPr>
        <w:spacing w:after="60" w:before="60"/>
        <w:jc w:val="left"/>
      </w:pPr>
      <w:r>
        <w:rPr>
          <w:rFonts w:ascii="Arial" w:cs="Arial" w:eastAsia="Arial" w:hAnsi="Arial"/>
          <w:b w:val="false"/>
          <w:bCs w:val="false"/>
          <w:color w:val="000000"/>
          <w:sz w:val="20"/>
          <w:szCs w:val="20"/>
        </w:rPr>
        <w:t xml:space="preserve"/>
      </w:r>
    </w:p>
    <w:p>
      <w:pPr>
        <w:spacing w:after="80" w:before="160"/>
      </w:pPr>
      <w:r>
        <w:rPr>
          <w:rFonts w:ascii="Arial" w:cs="Arial" w:eastAsia="Arial" w:hAnsi="Arial"/>
          <w:b/>
          <w:bCs/>
          <w:color w:val="000000"/>
          <w:sz w:val="20"/>
          <w:szCs w:val="20"/>
        </w:rPr>
        <w:t xml:space="preserve">Assumptions</w:t>
      </w:r>
    </w:p>
    <w:p>
      <w:pPr>
        <w:spacing w:after="60" w:before="60"/>
        <w:jc w:val="left"/>
      </w:pPr>
      <w:r>
        <w:rPr>
          <w:rFonts w:ascii="Arial" w:cs="Arial" w:eastAsia="Arial" w:hAnsi="Arial"/>
          <w:b w:val="false"/>
          <w:bCs w:val="false"/>
          <w:color w:val="000000"/>
          <w:sz w:val="18"/>
          <w:szCs w:val="18"/>
        </w:rPr>
        <w:t xml:space="preserve">The computer that sends regulatory documents to the BCRP is on the Santander side. No other user can access that computer besides the accounting area user, who accesses it using their network credentials. The computer enabled for communication with the BCRP has the IP address “10.237.87.101”, is a physical device and is blocked for remote access.</w:t>
      </w:r>
    </w:p>
    <w:p>
      <w:pPr>
        <w:spacing w:after="60" w:before="60"/>
        <w:jc w:val="left"/>
      </w:pPr>
      <w:r>
        <w:rPr>
          <w:rFonts w:ascii="Arial" w:cs="Arial" w:eastAsia="Arial" w:hAnsi="Arial"/>
          <w:b w:val="false"/>
          <w:bCs w:val="false"/>
          <w:color w:val="000000"/>
          <w:sz w:val="20"/>
          <w:szCs w:val="20"/>
        </w:rPr>
        <w:t xml:space="preserve"/>
      </w:r>
    </w:p>
    <w:p>
      <w:pPr>
        <w:pBdr>
          <w:bottom w:val="single" w:color="000000" w:sz="6" w:space="1"/>
        </w:pBdr>
      </w:pPr>
      <w:r>
        <w:t xml:space="preserve"/>
      </w:r>
    </w:p>
    <w:p>
      <w:r>
        <w:br w:type="page"/>
      </w:r>
    </w:p>
    <w:p>
      <w:pPr>
        <w:spacing w:after="300" w:before="200"/>
        <w:jc w:val="center"/>
      </w:pPr>
      <w:r>
        <w:rPr>
          <w:rFonts w:ascii="Arial" w:cs="Arial" w:eastAsia="Arial" w:hAnsi="Arial"/>
          <w:b/>
          <w:bCs/>
          <w:sz w:val="32"/>
          <w:szCs w:val="32"/>
        </w:rPr>
        <w:t xml:space="preserve">Threat Risk Assessment (TRA) Template</w:t>
      </w:r>
    </w:p>
    <w:p>
      <w:pPr>
        <w:spacing w:after="100" w:before="200"/>
      </w:pPr>
      <w:r>
        <w:rPr>
          <w:rFonts w:ascii="Arial" w:cs="Arial" w:eastAsia="Arial" w:hAnsi="Arial"/>
          <w:b/>
          <w:bCs/>
          <w:color w:val="000000"/>
          <w:sz w:val="22"/>
          <w:szCs w:val="22"/>
        </w:rPr>
        <w:t xml:space="preserve">FOR MISSING OR DEFICIENT CONTROLS</w:t>
      </w:r>
    </w:p>
    <w:p>
      <w:pPr>
        <w:spacing w:after="60" w:before="60"/>
        <w:jc w:val="left"/>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Control Defect #</w:t>
            </w:r>
          </w:p>
        </w:tc>
        <w:tc>
          <w:tcPr>
            <w:tcW w:type="dxa" w:w="69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Control Defect #1: Manual Credential Management for WinSCP SFTP Transmission</w:t>
            </w:r>
          </w:p>
        </w:tc>
      </w:tr>
      <w:tr>
        <w:tc>
          <w:tcPr>
            <w:tcW w:type="dxa" w:w="24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Title</w:t>
            </w:r>
          </w:p>
        </w:tc>
        <w:tc>
          <w:tcPr>
            <w:tcW w:type="dxa" w:w="69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Credential Security</w:t>
            </w:r>
          </w:p>
        </w:tc>
      </w:tr>
      <w:tr>
        <w:tc>
          <w:tcPr>
            <w:tcW w:type="dxa" w:w="24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Threat Category</w:t>
            </w:r>
          </w:p>
        </w:tc>
        <w:tc>
          <w:tcPr>
            <w:tcW w:type="dxa" w:w="69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Spoofing Identity / Information Disclosure</w:t>
            </w:r>
          </w:p>
        </w:tc>
      </w:tr>
      <w:tr>
        <w:tc>
          <w:tcPr>
            <w:tcW w:type="dxa" w:w="24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Control Taxonomy</w:t>
            </w:r>
          </w:p>
        </w:tc>
        <w:tc>
          <w:tcPr>
            <w:tcW w:type="dxa" w:w="69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Identity &amp; Access Management</w:t>
            </w:r>
          </w:p>
        </w:tc>
      </w:tr>
      <w:tr>
        <w:tc>
          <w:tcPr>
            <w:tcW w:type="dxa" w:w="24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Standards Impacted</w:t>
            </w:r>
          </w:p>
        </w:tc>
        <w:tc>
          <w:tcPr>
            <w:tcW w:type="dxa" w:w="69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Information and System Classification; Application Security</w:t>
            </w:r>
          </w:p>
        </w:tc>
      </w:tr>
      <w:tr>
        <w:tc>
          <w:tcPr>
            <w:tcW w:type="dxa" w:w="24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Control Deficiency</w:t>
            </w:r>
          </w:p>
        </w:tc>
        <w:tc>
          <w:tcPr>
            <w:tcW w:type="dxa" w:w="69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WinSCP sessions require manual input of credentials, increasing the likelihood of exposure through shoulder surfing, keystroke logging, or inadvertent storage in insecure locations. Credentials are not managed through a centralized vault or automated solution, exposing the organization to risks of unauthorized access and credential compromise.</w:t>
            </w:r>
          </w:p>
        </w:tc>
      </w:tr>
      <w:tr>
        <w:tc>
          <w:tcPr>
            <w:tcW w:type="dxa" w:w="24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Inherent Risk:</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0"/>
                <w:szCs w:val="20"/>
              </w:rPr>
              <w:t xml:space="preserve">Impact: High</w:t>
            </w:r>
          </w:p>
          <w:p>
            <w:pPr>
              <w:spacing w:after="60" w:before="60"/>
              <w:jc w:val="left"/>
            </w:pPr>
            <w:r>
              <w:rPr>
                <w:rFonts w:ascii="Arial" w:cs="Arial" w:eastAsia="Arial" w:hAnsi="Arial"/>
                <w:b w:val="false"/>
                <w:bCs w:val="false"/>
                <w:color w:val="000000"/>
                <w:sz w:val="20"/>
                <w:szCs w:val="20"/>
              </w:rPr>
              <w:t xml:space="preserve">Likelihood: High</w:t>
            </w:r>
          </w:p>
          <w:p>
            <w:pPr>
              <w:spacing w:after="60" w:before="60"/>
              <w:jc w:val="left"/>
            </w:pPr>
            <w:r>
              <w:rPr>
                <w:rFonts w:ascii="Arial" w:cs="Arial" w:eastAsia="Arial" w:hAnsi="Arial"/>
                <w:b/>
                <w:bCs/>
                <w:color w:val="000000"/>
                <w:sz w:val="20"/>
                <w:szCs w:val="20"/>
              </w:rPr>
              <w:t xml:space="preserve">Inherent Rating: High</w:t>
            </w:r>
          </w:p>
        </w:tc>
      </w:tr>
      <w:tr>
        <w:tc>
          <w:tcPr>
            <w:tcW w:type="dxa" w:w="24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Risk Description</w:t>
            </w:r>
          </w:p>
        </w:tc>
        <w:tc>
          <w:tcPr>
            <w:tcW w:type="dxa" w:w="69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Manual handling of SFTP credentials outside controlled environments compromises confidentiality and integrity of access to the BCRP transmission channel. The absence of centralized credential management increases the risk of unauthorized access by non-authorized personnel.</w:t>
            </w:r>
          </w:p>
        </w:tc>
      </w:tr>
      <w:tr>
        <w:tc>
          <w:tcPr>
            <w:tcW w:type="dxa" w:w="24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Existing Mitigating / Compensating Controls</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0"/>
                <w:szCs w:val="20"/>
              </w:rPr>
              <w:t xml:space="preserve">• Access to WinSCP transmission is restricted to authorized personnel only.</w:t>
            </w:r>
          </w:p>
          <w:p>
            <w:pPr>
              <w:spacing w:after="60" w:before="60"/>
              <w:jc w:val="left"/>
            </w:pPr>
            <w:r>
              <w:rPr>
                <w:rFonts w:ascii="Arial" w:cs="Arial" w:eastAsia="Arial" w:hAnsi="Arial"/>
                <w:b w:val="false"/>
                <w:bCs w:val="false"/>
                <w:color w:val="000000"/>
                <w:sz w:val="20"/>
                <w:szCs w:val="20"/>
              </w:rPr>
              <w:t xml:space="preserve">• The file transfer is performed from a workstation with a fixed source IP (10.237.87.101), limiting the ability to initiate transmissions from unauthorized endpoints.</w:t>
            </w:r>
          </w:p>
          <w:p>
            <w:pPr>
              <w:spacing w:after="60" w:before="60"/>
              <w:jc w:val="left"/>
            </w:pPr>
            <w:r>
              <w:rPr>
                <w:rFonts w:ascii="Arial" w:cs="Arial" w:eastAsia="Arial" w:hAnsi="Arial"/>
                <w:b w:val="false"/>
                <w:bCs w:val="false"/>
                <w:color w:val="000000"/>
                <w:sz w:val="20"/>
                <w:szCs w:val="20"/>
              </w:rPr>
              <w:t xml:space="preserve">• Outbound connectivity is restricted to the registered BCRP IP on the approved port.</w:t>
            </w:r>
          </w:p>
        </w:tc>
      </w:tr>
      <w:tr>
        <w:tc>
          <w:tcPr>
            <w:tcW w:type="dxa" w:w="24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Residual Rating</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0"/>
                <w:szCs w:val="20"/>
              </w:rPr>
              <w:t xml:space="preserve">Impact: Medium</w:t>
            </w:r>
          </w:p>
          <w:p>
            <w:pPr>
              <w:spacing w:after="60" w:before="60"/>
              <w:jc w:val="left"/>
            </w:pPr>
            <w:r>
              <w:rPr>
                <w:rFonts w:ascii="Arial" w:cs="Arial" w:eastAsia="Arial" w:hAnsi="Arial"/>
                <w:b w:val="false"/>
                <w:bCs w:val="false"/>
                <w:color w:val="000000"/>
                <w:sz w:val="20"/>
                <w:szCs w:val="20"/>
              </w:rPr>
              <w:t xml:space="preserve">Likelihood: Medium</w:t>
            </w:r>
          </w:p>
          <w:p>
            <w:pPr>
              <w:spacing w:after="40" w:before="40"/>
            </w:pPr>
            <w:r>
              <w:rPr>
                <w:rFonts w:ascii="Arial" w:cs="Arial" w:eastAsia="Arial" w:hAnsi="Arial"/>
                <w:b/>
                <w:bCs/>
                <w:color w:val="FF0000"/>
                <w:sz w:val="18"/>
                <w:szCs w:val="18"/>
              </w:rPr>
              <w:t xml:space="preserve">Residual Rating: Medium</w:t>
            </w:r>
          </w:p>
        </w:tc>
      </w:tr>
      <w:tr>
        <w:tc>
          <w:tcPr>
            <w:tcW w:type="dxa" w:w="24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Is an Issue?</w:t>
            </w:r>
          </w:p>
        </w:tc>
        <w:tc>
          <w:tcPr>
            <w:tcW w:type="dxa" w:w="69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No</w:t>
            </w:r>
          </w:p>
        </w:tc>
      </w:tr>
      <w:tr>
        <w:tc>
          <w:tcPr>
            <w:tcW w:type="dxa" w:w="24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Action Plan</w:t>
            </w:r>
          </w:p>
        </w:tc>
        <w:tc>
          <w:tcPr>
            <w:tcW w:type="dxa" w:w="69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Transition file transfer operations to an automated transfer solution with good credential management through centralized authentication. Implement a password vault solution to ensure SFTP credentials are unique, non-shared, and stored securely.</w:t>
            </w:r>
          </w:p>
        </w:tc>
      </w:tr>
      <w:tr>
        <w:tc>
          <w:tcPr>
            <w:tcW w:type="dxa" w:w="24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Due date</w:t>
            </w:r>
          </w:p>
        </w:tc>
        <w:tc>
          <w:tcPr>
            <w:tcW w:type="dxa" w:w="69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March 1st, 2027</w:t>
            </w:r>
          </w:p>
        </w:tc>
      </w:tr>
      <w:tr>
        <w:tc>
          <w:tcPr>
            <w:tcW w:type="dxa" w:w="24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Required Evidence for Closure</w:t>
            </w:r>
          </w:p>
        </w:tc>
        <w:tc>
          <w:tcPr>
            <w:tcW w:type="dxa" w:w="69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Configuration screenshots of vault integration or automated credential management tool. Evidence of decommission of manual WinSCP process.</w:t>
            </w:r>
          </w:p>
        </w:tc>
      </w:tr>
      <w:tr>
        <w:tc>
          <w:tcPr>
            <w:tcW w:type="dxa" w:w="24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Remediation Owner</w:t>
            </w:r>
          </w:p>
        </w:tc>
        <w:tc>
          <w:tcPr>
            <w:tcW w:type="dxa" w:w="69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Eric Edwin Roques Lizarraga – IT Engineering Senior Manager</w:t>
            </w:r>
          </w:p>
        </w:tc>
      </w:tr>
      <w:tr>
        <w:tc>
          <w:tcPr>
            <w:tcW w:type="dxa" w:w="24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Target Rating</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Target Rating: Medium-Low</w:t>
            </w:r>
          </w:p>
          <w:p>
            <w:pPr>
              <w:spacing w:after="60" w:before="60"/>
              <w:jc w:val="left"/>
            </w:pPr>
            <w:r>
              <w:rPr>
                <w:rFonts w:ascii="Arial" w:cs="Arial" w:eastAsia="Arial" w:hAnsi="Arial"/>
                <w:b w:val="false"/>
                <w:bCs w:val="false"/>
                <w:color w:val="000000"/>
                <w:sz w:val="20"/>
                <w:szCs w:val="20"/>
              </w:rPr>
              <w:t xml:space="preserve">Target Impact: Medium</w:t>
            </w:r>
          </w:p>
          <w:p>
            <w:pPr>
              <w:spacing w:after="60" w:before="60"/>
              <w:jc w:val="left"/>
            </w:pPr>
            <w:r>
              <w:rPr>
                <w:rFonts w:ascii="Arial" w:cs="Arial" w:eastAsia="Arial" w:hAnsi="Arial"/>
                <w:b w:val="false"/>
                <w:bCs w:val="false"/>
                <w:color w:val="000000"/>
                <w:sz w:val="20"/>
                <w:szCs w:val="20"/>
              </w:rPr>
              <w:t xml:space="preserve">Target Likelihood: Low</w:t>
            </w:r>
          </w:p>
        </w:tc>
      </w:tr>
    </w:tbl>
    <w:p>
      <w:pPr>
        <w:spacing w:after="60" w:before="60"/>
        <w:jc w:val="left"/>
      </w:pPr>
      <w:r>
        <w:rPr>
          <w:rFonts w:ascii="Arial" w:cs="Arial" w:eastAsia="Arial" w:hAnsi="Arial"/>
          <w:b w:val="false"/>
          <w:bCs w:val="false"/>
          <w:color w:val="000000"/>
          <w:sz w:val="20"/>
          <w:szCs w:val="20"/>
        </w:rPr>
        <w:t xml:space="preserve"/>
      </w:r>
    </w:p>
    <w:p>
      <w:pPr>
        <w:spacing w:after="60" w:before="60"/>
        <w:jc w:val="left"/>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Control Defect #</w:t>
            </w:r>
          </w:p>
        </w:tc>
        <w:tc>
          <w:tcPr>
            <w:tcW w:type="dxa" w:w="69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Control Defect #2: Manual File Transfer Process Without Automated Validation Controls</w:t>
            </w:r>
          </w:p>
        </w:tc>
      </w:tr>
      <w:tr>
        <w:tc>
          <w:tcPr>
            <w:tcW w:type="dxa" w:w="24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Title</w:t>
            </w:r>
          </w:p>
        </w:tc>
        <w:tc>
          <w:tcPr>
            <w:tcW w:type="dxa" w:w="69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Data Integrity / Process Automation</w:t>
            </w:r>
          </w:p>
        </w:tc>
      </w:tr>
      <w:tr>
        <w:tc>
          <w:tcPr>
            <w:tcW w:type="dxa" w:w="24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Threat Category</w:t>
            </w:r>
          </w:p>
        </w:tc>
        <w:tc>
          <w:tcPr>
            <w:tcW w:type="dxa" w:w="69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Tampering with Data / Information Disclosure</w:t>
            </w:r>
          </w:p>
        </w:tc>
      </w:tr>
      <w:tr>
        <w:tc>
          <w:tcPr>
            <w:tcW w:type="dxa" w:w="24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Control Taxonomy</w:t>
            </w:r>
          </w:p>
        </w:tc>
        <w:tc>
          <w:tcPr>
            <w:tcW w:type="dxa" w:w="69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Data Protection</w:t>
            </w:r>
          </w:p>
        </w:tc>
      </w:tr>
      <w:tr>
        <w:tc>
          <w:tcPr>
            <w:tcW w:type="dxa" w:w="24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Standards Impacted</w:t>
            </w:r>
          </w:p>
        </w:tc>
        <w:tc>
          <w:tcPr>
            <w:tcW w:type="dxa" w:w="69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Data Protection Policy; Information and System Classification; Critical Information Asset Security</w:t>
            </w:r>
          </w:p>
        </w:tc>
      </w:tr>
      <w:tr>
        <w:tc>
          <w:tcPr>
            <w:tcW w:type="dxa" w:w="24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Control Deficiency</w:t>
            </w:r>
          </w:p>
        </w:tc>
        <w:tc>
          <w:tcPr>
            <w:tcW w:type="dxa" w:w="69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The manual nature of the file transfer process introduces the possibility of submitting incorrect or unauthorized confidential information to the BCRP, whether due to human error or lack of a validation control prior to submission. The absence of automated verification exposes the institution to potential breaches of data confidentiality and integrity.</w:t>
            </w:r>
          </w:p>
        </w:tc>
      </w:tr>
      <w:tr>
        <w:tc>
          <w:tcPr>
            <w:tcW w:type="dxa" w:w="24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Inherent Risk:</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0"/>
                <w:szCs w:val="20"/>
              </w:rPr>
              <w:t xml:space="preserve">Impact: High</w:t>
            </w:r>
          </w:p>
          <w:p>
            <w:pPr>
              <w:spacing w:after="60" w:before="60"/>
              <w:jc w:val="left"/>
            </w:pPr>
            <w:r>
              <w:rPr>
                <w:rFonts w:ascii="Arial" w:cs="Arial" w:eastAsia="Arial" w:hAnsi="Arial"/>
                <w:b w:val="false"/>
                <w:bCs w:val="false"/>
                <w:color w:val="000000"/>
                <w:sz w:val="20"/>
                <w:szCs w:val="20"/>
              </w:rPr>
              <w:t xml:space="preserve">Likelihood: High</w:t>
            </w:r>
          </w:p>
          <w:p>
            <w:pPr>
              <w:spacing w:after="60" w:before="60"/>
              <w:jc w:val="left"/>
            </w:pPr>
            <w:r>
              <w:rPr>
                <w:rFonts w:ascii="Arial" w:cs="Arial" w:eastAsia="Arial" w:hAnsi="Arial"/>
                <w:b/>
                <w:bCs/>
                <w:color w:val="000000"/>
                <w:sz w:val="20"/>
                <w:szCs w:val="20"/>
              </w:rPr>
              <w:t xml:space="preserve">Inherent Rating: High</w:t>
            </w:r>
          </w:p>
        </w:tc>
      </w:tr>
      <w:tr>
        <w:tc>
          <w:tcPr>
            <w:tcW w:type="dxa" w:w="24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Risk Description</w:t>
            </w:r>
          </w:p>
        </w:tc>
        <w:tc>
          <w:tcPr>
            <w:tcW w:type="dxa" w:w="69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The absence of automated file transfer mechanisms introduces the risk of wrong or unauthorized submissions. Without a validation control or audit trail, the organization cannot ensure data integrity or non-repudiation of the regulatory files transmitted to the BCRP.</w:t>
            </w:r>
          </w:p>
        </w:tc>
      </w:tr>
      <w:tr>
        <w:tc>
          <w:tcPr>
            <w:tcW w:type="dxa" w:w="24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Existing Mitigating / Compensating Controls</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0"/>
                <w:szCs w:val="20"/>
              </w:rPr>
              <w:t xml:space="preserve">• File transmission is restricted to the registered BCRP destination IP address; outbound data cannot be redirected to unauthorized endpoints regardless of user action.</w:t>
            </w:r>
          </w:p>
          <w:p>
            <w:pPr>
              <w:spacing w:after="60" w:before="60"/>
              <w:jc w:val="left"/>
            </w:pPr>
            <w:r>
              <w:rPr>
                <w:rFonts w:ascii="Arial" w:cs="Arial" w:eastAsia="Arial" w:hAnsi="Arial"/>
                <w:b w:val="false"/>
                <w:bCs w:val="false"/>
                <w:color w:val="000000"/>
                <w:sz w:val="20"/>
                <w:szCs w:val="20"/>
              </w:rPr>
              <w:t xml:space="preserve">• The submission process concludes with a final validation step consisting of an email confirmation evidencing the successful delivery of the communication to all corresponding parties (refer to Annex B).</w:t>
            </w:r>
          </w:p>
        </w:tc>
      </w:tr>
      <w:tr>
        <w:tc>
          <w:tcPr>
            <w:tcW w:type="dxa" w:w="24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Residual Rating</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0"/>
                <w:szCs w:val="20"/>
              </w:rPr>
              <w:t xml:space="preserve">Impact: Medium</w:t>
            </w:r>
          </w:p>
          <w:p>
            <w:pPr>
              <w:spacing w:after="60" w:before="60"/>
              <w:jc w:val="left"/>
            </w:pPr>
            <w:r>
              <w:rPr>
                <w:rFonts w:ascii="Arial" w:cs="Arial" w:eastAsia="Arial" w:hAnsi="Arial"/>
                <w:b w:val="false"/>
                <w:bCs w:val="false"/>
                <w:color w:val="000000"/>
                <w:sz w:val="20"/>
                <w:szCs w:val="20"/>
              </w:rPr>
              <w:t xml:space="preserve">Likelihood: Medium</w:t>
            </w:r>
          </w:p>
          <w:p>
            <w:pPr>
              <w:spacing w:after="40" w:before="40"/>
            </w:pPr>
            <w:r>
              <w:rPr>
                <w:rFonts w:ascii="Arial" w:cs="Arial" w:eastAsia="Arial" w:hAnsi="Arial"/>
                <w:b/>
                <w:bCs/>
                <w:color w:val="FF0000"/>
                <w:sz w:val="18"/>
                <w:szCs w:val="18"/>
              </w:rPr>
              <w:t xml:space="preserve">Residual Rating: Medium</w:t>
            </w:r>
          </w:p>
        </w:tc>
      </w:tr>
      <w:tr>
        <w:tc>
          <w:tcPr>
            <w:tcW w:type="dxa" w:w="24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Is an Issue?</w:t>
            </w:r>
          </w:p>
        </w:tc>
        <w:tc>
          <w:tcPr>
            <w:tcW w:type="dxa" w:w="69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No</w:t>
            </w:r>
          </w:p>
        </w:tc>
      </w:tr>
      <w:tr>
        <w:tc>
          <w:tcPr>
            <w:tcW w:type="dxa" w:w="24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Action Plan</w:t>
            </w:r>
          </w:p>
        </w:tc>
        <w:tc>
          <w:tcPr>
            <w:tcW w:type="dxa" w:w="69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Implement an automated file transfer mechanism that incorporates pre-submission validation controls for only authorized and verified files that are transmitted to the BCRP destination, reducing reliance on manual human intervention and minimizing the risk of wrong or unauthorized submissions. Use the Control M tool to transfer the RCD files to the BCRP.</w:t>
            </w:r>
          </w:p>
        </w:tc>
      </w:tr>
      <w:tr>
        <w:tc>
          <w:tcPr>
            <w:tcW w:type="dxa" w:w="24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Due date</w:t>
            </w:r>
          </w:p>
        </w:tc>
        <w:tc>
          <w:tcPr>
            <w:tcW w:type="dxa" w:w="69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March 1st, 2027</w:t>
            </w:r>
          </w:p>
        </w:tc>
      </w:tr>
      <w:tr>
        <w:tc>
          <w:tcPr>
            <w:tcW w:type="dxa" w:w="24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Required Evidence for Closure</w:t>
            </w:r>
          </w:p>
        </w:tc>
        <w:tc>
          <w:tcPr>
            <w:tcW w:type="dxa" w:w="69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Configuration screenshots of automated transfer tool. Evidence of pre-submission validation controls and audit log capturing file selection, transmission, and delivery confirmation.</w:t>
            </w:r>
          </w:p>
        </w:tc>
      </w:tr>
      <w:tr>
        <w:tc>
          <w:tcPr>
            <w:tcW w:type="dxa" w:w="24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Remediation Owner</w:t>
            </w:r>
          </w:p>
        </w:tc>
        <w:tc>
          <w:tcPr>
            <w:tcW w:type="dxa" w:w="69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Eric Edwin Roques Lizarraga – IT Engineering Senior Manager</w:t>
            </w:r>
          </w:p>
        </w:tc>
      </w:tr>
      <w:tr>
        <w:tc>
          <w:tcPr>
            <w:tcW w:type="dxa" w:w="24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Target Rating</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Target Rating: Medium-Low</w:t>
            </w:r>
          </w:p>
          <w:p>
            <w:pPr>
              <w:spacing w:after="60" w:before="60"/>
              <w:jc w:val="left"/>
            </w:pPr>
            <w:r>
              <w:rPr>
                <w:rFonts w:ascii="Arial" w:cs="Arial" w:eastAsia="Arial" w:hAnsi="Arial"/>
                <w:b w:val="false"/>
                <w:bCs w:val="false"/>
                <w:color w:val="000000"/>
                <w:sz w:val="20"/>
                <w:szCs w:val="20"/>
              </w:rPr>
              <w:t xml:space="preserve">Target Impact: Medium</w:t>
            </w:r>
          </w:p>
          <w:p>
            <w:pPr>
              <w:spacing w:after="60" w:before="60"/>
              <w:jc w:val="left"/>
            </w:pPr>
            <w:r>
              <w:rPr>
                <w:rFonts w:ascii="Arial" w:cs="Arial" w:eastAsia="Arial" w:hAnsi="Arial"/>
                <w:b w:val="false"/>
                <w:bCs w:val="false"/>
                <w:color w:val="000000"/>
                <w:sz w:val="20"/>
                <w:szCs w:val="20"/>
              </w:rPr>
              <w:t xml:space="preserve">Target Likelihood: Low</w:t>
            </w:r>
          </w:p>
        </w:tc>
      </w:tr>
    </w:tbl>
    <w:p>
      <w:pPr>
        <w:spacing w:after="60" w:before="60"/>
        <w:jc w:val="left"/>
      </w:pPr>
      <w:r>
        <w:rPr>
          <w:rFonts w:ascii="Arial" w:cs="Arial" w:eastAsia="Arial" w:hAnsi="Arial"/>
          <w:b w:val="false"/>
          <w:bCs w:val="false"/>
          <w:color w:val="000000"/>
          <w:sz w:val="20"/>
          <w:szCs w:val="20"/>
        </w:rPr>
        <w:t xml:space="preserve"/>
      </w:r>
    </w:p>
    <w:p>
      <w:r>
        <w:br w:type="page"/>
      </w:r>
    </w:p>
    <w:p>
      <w:pPr>
        <w:spacing w:after="300" w:before="200"/>
        <w:jc w:val="center"/>
      </w:pPr>
      <w:r>
        <w:rPr>
          <w:rFonts w:ascii="Arial" w:cs="Arial" w:eastAsia="Arial" w:hAnsi="Arial"/>
          <w:b/>
          <w:bCs/>
          <w:sz w:val="32"/>
          <w:szCs w:val="32"/>
        </w:rPr>
        <w:t xml:space="preserve">Threat Risk Assessment (TRA) Template</w:t>
      </w:r>
    </w:p>
    <w:p>
      <w:pPr>
        <w:spacing w:after="100" w:before="200"/>
      </w:pPr>
      <w:r>
        <w:rPr>
          <w:rFonts w:ascii="Arial" w:cs="Arial" w:eastAsia="Arial" w:hAnsi="Arial"/>
          <w:b/>
          <w:bCs/>
          <w:color w:val="000000"/>
          <w:sz w:val="22"/>
          <w:szCs w:val="22"/>
        </w:rPr>
        <w:t xml:space="preserve">Threat modelling</w:t>
      </w:r>
    </w:p>
    <w:p>
      <w:pPr>
        <w:spacing w:after="60" w:before="60"/>
        <w:jc w:val="left"/>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500"/>
        <w:gridCol w:w="2060"/>
      </w:tblGrid>
      <w:tr>
        <w:tc>
          <w:tcPr>
            <w:tcW w:type="dxa" w:w="2000"/>
            <w:gridSpan w:val="1"/>
            <w:tcBorders>
              <w:top w:val="single" w:color="999999" w:sz="4"/>
              <w:left w:val="single" w:color="999999" w:sz="4"/>
              <w:bottom w:val="single" w:color="999999" w:sz="4"/>
              <w:right w:val="single" w:color="999999" w:sz="4"/>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STRIDE Category</w:t>
            </w:r>
          </w:p>
        </w:tc>
        <w:tc>
          <w:tcPr>
            <w:tcW w:type="dxa" w:w="2800"/>
            <w:gridSpan w:val="1"/>
            <w:tcBorders>
              <w:top w:val="single" w:color="999999" w:sz="4"/>
              <w:left w:val="single" w:color="999999" w:sz="4"/>
              <w:bottom w:val="single" w:color="999999" w:sz="4"/>
              <w:right w:val="single" w:color="999999" w:sz="4"/>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Threat Category</w:t>
            </w:r>
          </w:p>
        </w:tc>
        <w:tc>
          <w:tcPr>
            <w:tcW w:type="dxa" w:w="2500"/>
            <w:gridSpan w:val="1"/>
            <w:tcBorders>
              <w:top w:val="single" w:color="999999" w:sz="4"/>
              <w:left w:val="single" w:color="999999" w:sz="4"/>
              <w:bottom w:val="single" w:color="999999" w:sz="4"/>
              <w:right w:val="single" w:color="999999" w:sz="4"/>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Existing Mitigating / compensating Controls</w:t>
            </w:r>
          </w:p>
        </w:tc>
        <w:tc>
          <w:tcPr>
            <w:tcW w:type="dxa" w:w="2060"/>
            <w:gridSpan w:val="1"/>
            <w:tcBorders>
              <w:top w:val="single" w:color="999999" w:sz="4"/>
              <w:left w:val="single" w:color="999999" w:sz="4"/>
              <w:bottom w:val="single" w:color="999999" w:sz="4"/>
              <w:right w:val="single" w:color="999999" w:sz="4"/>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Advisory Findings</w:t>
            </w:r>
          </w:p>
        </w:tc>
      </w:tr>
      <w:tr>
        <w:tc>
          <w:tcPr>
            <w:tcW w:type="dxa" w:w="20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Spoofing Identity</w:t>
            </w:r>
          </w:p>
        </w:tc>
        <w:tc>
          <w:tcPr>
            <w:tcW w:type="dxa" w:w="28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User authentication (IAM, SSO, federation)</w:t>
            </w:r>
          </w:p>
        </w:tc>
        <w:tc>
          <w:tcPr>
            <w:tcW w:type="dxa" w:w="25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Access restricted to a single designated accounting user with unique, non-shared SFTP credentials managed manually.</w:t>
            </w:r>
          </w:p>
        </w:tc>
        <w:tc>
          <w:tcPr>
            <w:tcW w:type="dxa" w:w="20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
            </w:r>
          </w:p>
        </w:tc>
      </w:tr>
      <w:tr>
        <w:tc>
          <w:tcPr>
            <w:tcW w:type="dxa" w:w="20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Spoofing Identity</w:t>
            </w:r>
          </w:p>
        </w:tc>
        <w:tc>
          <w:tcPr>
            <w:tcW w:type="dxa" w:w="28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Unauthorized access (API, service, workload identity)</w:t>
            </w:r>
          </w:p>
        </w:tc>
        <w:tc>
          <w:tcPr>
            <w:tcW w:type="dxa" w:w="25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Single authorized user; no API or service account involved in transmission.</w:t>
            </w:r>
          </w:p>
        </w:tc>
        <w:tc>
          <w:tcPr>
            <w:tcW w:type="dxa" w:w="20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
            </w:r>
          </w:p>
        </w:tc>
      </w:tr>
      <w:tr>
        <w:tc>
          <w:tcPr>
            <w:tcW w:type="dxa" w:w="20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Spoofing Identity</w:t>
            </w:r>
          </w:p>
        </w:tc>
        <w:tc>
          <w:tcPr>
            <w:tcW w:type="dxa" w:w="28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Privileged account protection (human + non-human identities)</w:t>
            </w:r>
          </w:p>
        </w:tc>
        <w:tc>
          <w:tcPr>
            <w:tcW w:type="dxa" w:w="25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Manual credential management without centralized authentication. Credentials stored outside secure vaults.</w:t>
            </w:r>
          </w:p>
        </w:tc>
        <w:tc>
          <w:tcPr>
            <w:tcW w:type="dxa" w:w="20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Control Defect #1</w:t>
            </w:r>
          </w:p>
        </w:tc>
      </w:tr>
      <w:tr>
        <w:tc>
          <w:tcPr>
            <w:tcW w:type="dxa" w:w="20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Spoofing Identity</w:t>
            </w:r>
          </w:p>
        </w:tc>
        <w:tc>
          <w:tcPr>
            <w:tcW w:type="dxa" w:w="28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Phishing / social engineering</w:t>
            </w:r>
          </w:p>
        </w:tc>
        <w:tc>
          <w:tcPr>
            <w:tcW w:type="dxa" w:w="25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No automated controls; reliance on individual user awareness.</w:t>
            </w:r>
          </w:p>
        </w:tc>
        <w:tc>
          <w:tcPr>
            <w:tcW w:type="dxa" w:w="20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
            </w:r>
          </w:p>
        </w:tc>
      </w:tr>
      <w:tr>
        <w:tc>
          <w:tcPr>
            <w:tcW w:type="dxa" w:w="20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Spoofing Identity</w:t>
            </w:r>
          </w:p>
        </w:tc>
        <w:tc>
          <w:tcPr>
            <w:tcW w:type="dxa" w:w="28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Certificate &amp; key validation (mTLS, cert lifecycle)</w:t>
            </w:r>
          </w:p>
        </w:tc>
        <w:tc>
          <w:tcPr>
            <w:tcW w:type="dxa" w:w="25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N/A – WinSCP uses SFTP with manually provided credentials.</w:t>
            </w:r>
          </w:p>
        </w:tc>
        <w:tc>
          <w:tcPr>
            <w:tcW w:type="dxa" w:w="20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
            </w:r>
          </w:p>
        </w:tc>
      </w:tr>
      <w:tr>
        <w:tc>
          <w:tcPr>
            <w:tcW w:type="dxa" w:w="20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Tampering with Data</w:t>
            </w:r>
          </w:p>
        </w:tc>
        <w:tc>
          <w:tcPr>
            <w:tcW w:type="dxa" w:w="28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Unauthorized modification of bank data</w:t>
            </w:r>
          </w:p>
        </w:tc>
        <w:tc>
          <w:tcPr>
            <w:tcW w:type="dxa" w:w="25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File transmission restricted to registered BCRP IP address on approved port.</w:t>
            </w:r>
          </w:p>
        </w:tc>
        <w:tc>
          <w:tcPr>
            <w:tcW w:type="dxa" w:w="20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
            </w:r>
          </w:p>
        </w:tc>
      </w:tr>
      <w:tr>
        <w:tc>
          <w:tcPr>
            <w:tcW w:type="dxa" w:w="20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Tampering with Data</w:t>
            </w:r>
          </w:p>
        </w:tc>
        <w:tc>
          <w:tcPr>
            <w:tcW w:type="dxa" w:w="28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Data leaving approved environments (egress risk)</w:t>
            </w:r>
          </w:p>
        </w:tc>
        <w:tc>
          <w:tcPr>
            <w:tcW w:type="dxa" w:w="25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Outbound connectivity scoped exclusively to BCRP registered IP address on port 9055.</w:t>
            </w:r>
          </w:p>
        </w:tc>
        <w:tc>
          <w:tcPr>
            <w:tcW w:type="dxa" w:w="20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Control Defect #2</w:t>
            </w:r>
          </w:p>
        </w:tc>
      </w:tr>
      <w:tr>
        <w:tc>
          <w:tcPr>
            <w:tcW w:type="dxa" w:w="20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Tampering with Data</w:t>
            </w:r>
          </w:p>
        </w:tc>
        <w:tc>
          <w:tcPr>
            <w:tcW w:type="dxa" w:w="28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Secret, password, and token protection</w:t>
            </w:r>
          </w:p>
        </w:tc>
        <w:tc>
          <w:tcPr>
            <w:tcW w:type="dxa" w:w="25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Manual credential storage; no vault or automated secret management in place.</w:t>
            </w:r>
          </w:p>
        </w:tc>
        <w:tc>
          <w:tcPr>
            <w:tcW w:type="dxa" w:w="20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Control Defect #1</w:t>
            </w:r>
          </w:p>
        </w:tc>
      </w:tr>
      <w:tr>
        <w:tc>
          <w:tcPr>
            <w:tcW w:type="dxa" w:w="20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Tampering with Data</w:t>
            </w:r>
          </w:p>
        </w:tc>
        <w:tc>
          <w:tcPr>
            <w:tcW w:type="dxa" w:w="28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Authorization enforcement (RBAC, ABAC, policy)</w:t>
            </w:r>
          </w:p>
        </w:tc>
        <w:tc>
          <w:tcPr>
            <w:tcW w:type="dxa" w:w="25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Single user with fixed source IP (10.237.87.101); no RBAC implemented.</w:t>
            </w:r>
          </w:p>
        </w:tc>
        <w:tc>
          <w:tcPr>
            <w:tcW w:type="dxa" w:w="20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
            </w:r>
          </w:p>
        </w:tc>
      </w:tr>
      <w:tr>
        <w:tc>
          <w:tcPr>
            <w:tcW w:type="dxa" w:w="20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Tampering with Data</w:t>
            </w:r>
          </w:p>
        </w:tc>
        <w:tc>
          <w:tcPr>
            <w:tcW w:type="dxa" w:w="28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Cryptographic integrity protections</w:t>
            </w:r>
          </w:p>
        </w:tc>
        <w:tc>
          <w:tcPr>
            <w:tcW w:type="dxa" w:w="25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SFTP protocol provides transport encryption.</w:t>
            </w:r>
          </w:p>
        </w:tc>
        <w:tc>
          <w:tcPr>
            <w:tcW w:type="dxa" w:w="20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
            </w:r>
          </w:p>
        </w:tc>
      </w:tr>
      <w:tr>
        <w:tc>
          <w:tcPr>
            <w:tcW w:type="dxa" w:w="20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Tampering with Data</w:t>
            </w:r>
          </w:p>
        </w:tc>
        <w:tc>
          <w:tcPr>
            <w:tcW w:type="dxa" w:w="28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Direct access to databases or storage</w:t>
            </w:r>
          </w:p>
        </w:tc>
        <w:tc>
          <w:tcPr>
            <w:tcW w:type="dxa" w:w="25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N/A – No direct database access; file-based transmission only.</w:t>
            </w:r>
          </w:p>
        </w:tc>
        <w:tc>
          <w:tcPr>
            <w:tcW w:type="dxa" w:w="20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
            </w:r>
          </w:p>
        </w:tc>
      </w:tr>
      <w:tr>
        <w:tc>
          <w:tcPr>
            <w:tcW w:type="dxa" w:w="20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Repudiation</w:t>
            </w:r>
          </w:p>
        </w:tc>
        <w:tc>
          <w:tcPr>
            <w:tcW w:type="dxa" w:w="28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Shared or non-attributable account usage</w:t>
            </w:r>
          </w:p>
        </w:tc>
        <w:tc>
          <w:tcPr>
            <w:tcW w:type="dxa" w:w="25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Single designated user per transmission session; no shared credentials.</w:t>
            </w:r>
          </w:p>
        </w:tc>
        <w:tc>
          <w:tcPr>
            <w:tcW w:type="dxa" w:w="20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
            </w:r>
          </w:p>
        </w:tc>
      </w:tr>
      <w:tr>
        <w:tc>
          <w:tcPr>
            <w:tcW w:type="dxa" w:w="20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Repudiation</w:t>
            </w:r>
          </w:p>
        </w:tc>
        <w:tc>
          <w:tcPr>
            <w:tcW w:type="dxa" w:w="28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Logging, auditability, and non-repudiation</w:t>
            </w:r>
          </w:p>
        </w:tc>
        <w:tc>
          <w:tcPr>
            <w:tcW w:type="dxa" w:w="25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No centralized logging or automated audit trail for WinSCP sessions.</w:t>
            </w:r>
          </w:p>
        </w:tc>
        <w:tc>
          <w:tcPr>
            <w:tcW w:type="dxa" w:w="20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Control Defect #2</w:t>
            </w:r>
          </w:p>
        </w:tc>
      </w:tr>
      <w:tr>
        <w:tc>
          <w:tcPr>
            <w:tcW w:type="dxa" w:w="20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Repudiation</w:t>
            </w:r>
          </w:p>
        </w:tc>
        <w:tc>
          <w:tcPr>
            <w:tcW w:type="dxa" w:w="28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Digital signatures and transaction integrity</w:t>
            </w:r>
          </w:p>
        </w:tc>
        <w:tc>
          <w:tcPr>
            <w:tcW w:type="dxa" w:w="25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No digital signature mechanism on transmitted files.</w:t>
            </w:r>
          </w:p>
        </w:tc>
        <w:tc>
          <w:tcPr>
            <w:tcW w:type="dxa" w:w="20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
            </w:r>
          </w:p>
        </w:tc>
      </w:tr>
      <w:tr>
        <w:tc>
          <w:tcPr>
            <w:tcW w:type="dxa" w:w="20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Repudiation</w:t>
            </w:r>
          </w:p>
        </w:tc>
        <w:tc>
          <w:tcPr>
            <w:tcW w:type="dxa" w:w="28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Functional, system, and service accounts</w:t>
            </w:r>
          </w:p>
        </w:tc>
        <w:tc>
          <w:tcPr>
            <w:tcW w:type="dxa" w:w="25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N/A – Single human user account.</w:t>
            </w:r>
          </w:p>
        </w:tc>
        <w:tc>
          <w:tcPr>
            <w:tcW w:type="dxa" w:w="20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
            </w:r>
          </w:p>
        </w:tc>
      </w:tr>
      <w:tr>
        <w:tc>
          <w:tcPr>
            <w:tcW w:type="dxa" w:w="20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Information Disclosure</w:t>
            </w:r>
          </w:p>
        </w:tc>
        <w:tc>
          <w:tcPr>
            <w:tcW w:type="dxa" w:w="28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Data exfiltration or bulk download</w:t>
            </w:r>
          </w:p>
        </w:tc>
        <w:tc>
          <w:tcPr>
            <w:tcW w:type="dxa" w:w="25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Firewall restricted to single BCRP IP and port; physical device blocked for remote access.</w:t>
            </w:r>
          </w:p>
        </w:tc>
        <w:tc>
          <w:tcPr>
            <w:tcW w:type="dxa" w:w="20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
            </w:r>
          </w:p>
        </w:tc>
      </w:tr>
      <w:tr>
        <w:tc>
          <w:tcPr>
            <w:tcW w:type="dxa" w:w="20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Information Disclosure</w:t>
            </w:r>
          </w:p>
        </w:tc>
        <w:tc>
          <w:tcPr>
            <w:tcW w:type="dxa" w:w="28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Data protection at rest</w:t>
            </w:r>
          </w:p>
        </w:tc>
        <w:tc>
          <w:tcPr>
            <w:tcW w:type="dxa" w:w="25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Credentials stored manually in configuration files; no encryption at rest enforced.</w:t>
            </w:r>
          </w:p>
        </w:tc>
        <w:tc>
          <w:tcPr>
            <w:tcW w:type="dxa" w:w="20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Control Defect #1</w:t>
            </w:r>
          </w:p>
        </w:tc>
      </w:tr>
      <w:tr>
        <w:tc>
          <w:tcPr>
            <w:tcW w:type="dxa" w:w="20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Information Disclosure</w:t>
            </w:r>
          </w:p>
        </w:tc>
        <w:tc>
          <w:tcPr>
            <w:tcW w:type="dxa" w:w="28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Data protection in transit</w:t>
            </w:r>
          </w:p>
        </w:tc>
        <w:tc>
          <w:tcPr>
            <w:tcW w:type="dxa" w:w="25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SFTP provides encrypted channel for file transmission.</w:t>
            </w:r>
          </w:p>
        </w:tc>
        <w:tc>
          <w:tcPr>
            <w:tcW w:type="dxa" w:w="20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
            </w:r>
          </w:p>
        </w:tc>
      </w:tr>
      <w:tr>
        <w:tc>
          <w:tcPr>
            <w:tcW w:type="dxa" w:w="20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Information Disclosure</w:t>
            </w:r>
          </w:p>
        </w:tc>
        <w:tc>
          <w:tcPr>
            <w:tcW w:type="dxa" w:w="28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Data lifecycle and records management</w:t>
            </w:r>
          </w:p>
        </w:tc>
        <w:tc>
          <w:tcPr>
            <w:tcW w:type="dxa" w:w="25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Regulatory reporting data (RCD) subject to BCRP retention requirements.</w:t>
            </w:r>
          </w:p>
        </w:tc>
        <w:tc>
          <w:tcPr>
            <w:tcW w:type="dxa" w:w="20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
            </w:r>
          </w:p>
        </w:tc>
      </w:tr>
      <w:tr>
        <w:tc>
          <w:tcPr>
            <w:tcW w:type="dxa" w:w="20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Denial of Service</w:t>
            </w:r>
          </w:p>
        </w:tc>
        <w:tc>
          <w:tcPr>
            <w:tcW w:type="dxa" w:w="28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Availability attacks (infra, app, API)</w:t>
            </w:r>
          </w:p>
        </w:tc>
        <w:tc>
          <w:tcPr>
            <w:tcW w:type="dxa" w:w="25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Physical device with fixed IP; limited attack surface.</w:t>
            </w:r>
          </w:p>
        </w:tc>
        <w:tc>
          <w:tcPr>
            <w:tcW w:type="dxa" w:w="20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
            </w:r>
          </w:p>
        </w:tc>
      </w:tr>
      <w:tr>
        <w:tc>
          <w:tcPr>
            <w:tcW w:type="dxa" w:w="20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Denial of Service</w:t>
            </w:r>
          </w:p>
        </w:tc>
        <w:tc>
          <w:tcPr>
            <w:tcW w:type="dxa" w:w="28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Internet-facing exposure</w:t>
            </w:r>
          </w:p>
        </w:tc>
        <w:tc>
          <w:tcPr>
            <w:tcW w:type="dxa" w:w="25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Server blocked for remote access; outbound only through firewall.</w:t>
            </w:r>
          </w:p>
        </w:tc>
        <w:tc>
          <w:tcPr>
            <w:tcW w:type="dxa" w:w="20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
            </w:r>
          </w:p>
        </w:tc>
      </w:tr>
      <w:tr>
        <w:tc>
          <w:tcPr>
            <w:tcW w:type="dxa" w:w="20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Denial of Service</w:t>
            </w:r>
          </w:p>
        </w:tc>
        <w:tc>
          <w:tcPr>
            <w:tcW w:type="dxa" w:w="28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Resilience, scaling, and failover</w:t>
            </w:r>
          </w:p>
        </w:tc>
        <w:tc>
          <w:tcPr>
            <w:tcW w:type="dxa" w:w="25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No automated failover; manual process dependency creates continuity risk.</w:t>
            </w:r>
          </w:p>
        </w:tc>
        <w:tc>
          <w:tcPr>
            <w:tcW w:type="dxa" w:w="20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
            </w:r>
          </w:p>
        </w:tc>
      </w:tr>
      <w:tr>
        <w:tc>
          <w:tcPr>
            <w:tcW w:type="dxa" w:w="20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Elevation of Privilege</w:t>
            </w:r>
          </w:p>
        </w:tc>
        <w:tc>
          <w:tcPr>
            <w:tcW w:type="dxa" w:w="28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Least privilege enforcement</w:t>
            </w:r>
          </w:p>
        </w:tc>
        <w:tc>
          <w:tcPr>
            <w:tcW w:type="dxa" w:w="25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Single user access scoped to transmission task only.</w:t>
            </w:r>
          </w:p>
        </w:tc>
        <w:tc>
          <w:tcPr>
            <w:tcW w:type="dxa" w:w="20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
            </w:r>
          </w:p>
        </w:tc>
      </w:tr>
      <w:tr>
        <w:tc>
          <w:tcPr>
            <w:tcW w:type="dxa" w:w="20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Elevation of Privilege</w:t>
            </w:r>
          </w:p>
        </w:tc>
        <w:tc>
          <w:tcPr>
            <w:tcW w:type="dxa" w:w="28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Role design and entitlement management</w:t>
            </w:r>
          </w:p>
        </w:tc>
        <w:tc>
          <w:tcPr>
            <w:tcW w:type="dxa" w:w="25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No formal entitlement management; manual assignment.</w:t>
            </w:r>
          </w:p>
        </w:tc>
        <w:tc>
          <w:tcPr>
            <w:tcW w:type="dxa" w:w="20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
            </w:r>
          </w:p>
        </w:tc>
      </w:tr>
      <w:tr>
        <w:tc>
          <w:tcPr>
            <w:tcW w:type="dxa" w:w="20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Elevation of Privilege</w:t>
            </w:r>
          </w:p>
        </w:tc>
        <w:tc>
          <w:tcPr>
            <w:tcW w:type="dxa" w:w="28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Lateral movement</w:t>
            </w:r>
          </w:p>
        </w:tc>
        <w:tc>
          <w:tcPr>
            <w:tcW w:type="dxa" w:w="25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Firewall port restricted to BCRP IP only; lateral movement risk mitigated by scope.</w:t>
            </w:r>
          </w:p>
        </w:tc>
        <w:tc>
          <w:tcPr>
            <w:tcW w:type="dxa" w:w="20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
            </w:r>
          </w:p>
        </w:tc>
      </w:tr>
      <w:tr>
        <w:tc>
          <w:tcPr>
            <w:tcW w:type="dxa" w:w="20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General</w:t>
            </w:r>
          </w:p>
        </w:tc>
        <w:tc>
          <w:tcPr>
            <w:tcW w:type="dxa" w:w="28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Security monitoring and detection</w:t>
            </w:r>
          </w:p>
        </w:tc>
        <w:tc>
          <w:tcPr>
            <w:tcW w:type="dxa" w:w="25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No automated monitoring of WinSCP sessions or alerts.</w:t>
            </w:r>
          </w:p>
        </w:tc>
        <w:tc>
          <w:tcPr>
            <w:tcW w:type="dxa" w:w="20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
            </w:r>
          </w:p>
        </w:tc>
      </w:tr>
      <w:tr>
        <w:tc>
          <w:tcPr>
            <w:tcW w:type="dxa" w:w="20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General</w:t>
            </w:r>
          </w:p>
        </w:tc>
        <w:tc>
          <w:tcPr>
            <w:tcW w:type="dxa" w:w="28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Data loss prevention</w:t>
            </w:r>
          </w:p>
        </w:tc>
        <w:tc>
          <w:tcPr>
            <w:tcW w:type="dxa" w:w="25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No DLP controls on outbound SFTP transmissions.</w:t>
            </w:r>
          </w:p>
        </w:tc>
        <w:tc>
          <w:tcPr>
            <w:tcW w:type="dxa" w:w="20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Control Defect #2</w:t>
            </w:r>
          </w:p>
        </w:tc>
      </w:tr>
      <w:tr>
        <w:tc>
          <w:tcPr>
            <w:tcW w:type="dxa" w:w="20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General</w:t>
            </w:r>
          </w:p>
        </w:tc>
        <w:tc>
          <w:tcPr>
            <w:tcW w:type="dxa" w:w="28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Artificial intelligence / model risk</w:t>
            </w:r>
          </w:p>
        </w:tc>
        <w:tc>
          <w:tcPr>
            <w:tcW w:type="dxa" w:w="25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N/A – No AI/ML components.</w:t>
            </w:r>
          </w:p>
        </w:tc>
        <w:tc>
          <w:tcPr>
            <w:tcW w:type="dxa" w:w="20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
            </w:r>
          </w:p>
        </w:tc>
      </w:tr>
      <w:tr>
        <w:tc>
          <w:tcPr>
            <w:tcW w:type="dxa" w:w="20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General</w:t>
            </w:r>
          </w:p>
        </w:tc>
        <w:tc>
          <w:tcPr>
            <w:tcW w:type="dxa" w:w="28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System and workload hardening</w:t>
            </w:r>
          </w:p>
        </w:tc>
        <w:tc>
          <w:tcPr>
            <w:tcW w:type="dxa" w:w="25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AS-400 generates regulatory files; physical workstation for transmission only.</w:t>
            </w:r>
          </w:p>
        </w:tc>
        <w:tc>
          <w:tcPr>
            <w:tcW w:type="dxa" w:w="20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
            </w:r>
          </w:p>
        </w:tc>
      </w:tr>
      <w:tr>
        <w:tc>
          <w:tcPr>
            <w:tcW w:type="dxa" w:w="20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General</w:t>
            </w:r>
          </w:p>
        </w:tc>
        <w:tc>
          <w:tcPr>
            <w:tcW w:type="dxa" w:w="28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Other</w:t>
            </w:r>
          </w:p>
        </w:tc>
        <w:tc>
          <w:tcPr>
            <w:tcW w:type="dxa" w:w="25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
            </w:r>
          </w:p>
        </w:tc>
        <w:tc>
          <w:tcPr>
            <w:tcW w:type="dxa" w:w="20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
            </w:r>
          </w:p>
        </w:tc>
      </w:tr>
    </w:tbl>
    <w:p>
      <w:pPr>
        <w:spacing w:after="60" w:before="60"/>
        <w:jc w:val="left"/>
      </w:pPr>
      <w:r>
        <w:rPr>
          <w:rFonts w:ascii="Arial" w:cs="Arial" w:eastAsia="Arial" w:hAnsi="Arial"/>
          <w:b w:val="false"/>
          <w:bCs w:val="false"/>
          <w:color w:val="000000"/>
          <w:sz w:val="20"/>
          <w:szCs w:val="20"/>
        </w:rPr>
        <w:t xml:space="preserve"/>
      </w:r>
    </w:p>
    <w:p>
      <w:r>
        <w:br w:type="page"/>
      </w:r>
    </w:p>
    <w:p>
      <w:pPr>
        <w:spacing w:after="300" w:before="200"/>
        <w:jc w:val="center"/>
      </w:pPr>
      <w:r>
        <w:rPr>
          <w:rFonts w:ascii="Arial" w:cs="Arial" w:eastAsia="Arial" w:hAnsi="Arial"/>
          <w:b/>
          <w:bCs/>
          <w:sz w:val="32"/>
          <w:szCs w:val="32"/>
        </w:rPr>
        <w:t xml:space="preserve">Threat Risk Assessment (TRA) Template</w:t>
      </w:r>
    </w:p>
    <w:p>
      <w:pPr>
        <w:spacing w:after="60" w:before="100"/>
      </w:pPr>
      <w:r>
        <w:rPr>
          <w:rFonts w:ascii="Arial" w:cs="Arial" w:eastAsia="Arial" w:hAnsi="Arial"/>
          <w:b/>
          <w:bCs/>
          <w:sz w:val="20"/>
          <w:szCs w:val="20"/>
        </w:rPr>
        <w:t xml:space="preserve">Peer Review Record</w:t>
      </w:r>
    </w:p>
    <w:p>
      <w:pPr>
        <w:spacing w:after="60" w:before="60"/>
        <w:jc w:val="left"/>
      </w:pPr>
      <w:r>
        <w:rPr>
          <w:rFonts w:ascii="Arial" w:cs="Arial" w:eastAsia="Arial" w:hAnsi="Arial"/>
          <w:b w:val="false"/>
          <w:bCs w:val="false"/>
          <w:color w:val="000000"/>
          <w:sz w:val="18"/>
          <w:szCs w:val="18"/>
        </w:rPr>
        <w:t xml:space="preserve">This section documents the key observations, questions, and recommendations identified during the Security Advisory peer review process. The table below identifies the reviewer, the issue or question raised, and the associated response or clarification, where applicable.</w:t>
      </w:r>
    </w:p>
    <w:p>
      <w:pPr>
        <w:spacing w:after="60" w:before="60"/>
        <w:jc w:val="left"/>
      </w:pPr>
      <w:r>
        <w:rPr>
          <w:rFonts w:ascii="Arial" w:cs="Arial" w:eastAsia="Arial" w:hAnsi="Arial"/>
          <w:b w:val="false"/>
          <w:bCs w:val="false"/>
          <w:color w:val="000000"/>
          <w:sz w:val="20"/>
          <w:szCs w:val="20"/>
        </w:rPr>
        <w:t xml:space="preserve"/>
      </w:r>
    </w:p>
    <w:p>
      <w:pPr>
        <w:spacing w:after="100" w:before="60"/>
      </w:pPr>
      <w:r>
        <w:rPr>
          <w:rFonts w:ascii="Arial" w:cs="Arial" w:eastAsia="Arial" w:hAnsi="Arial"/>
          <w:b/>
          <w:bCs/>
          <w:sz w:val="18"/>
          <w:szCs w:val="18"/>
        </w:rPr>
        <w:t xml:space="preserve">THIS SECTION TO BE COMPLETED BY ADVISORY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gridSpan w:val="1"/>
            <w:tcBorders>
              <w:top w:val="single" w:color="999999" w:sz="4"/>
              <w:left w:val="single" w:color="999999" w:sz="4"/>
              <w:bottom w:val="single" w:color="999999" w:sz="4"/>
              <w:right w:val="single" w:color="999999" w:sz="4"/>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Reviewer</w:t>
            </w:r>
          </w:p>
        </w:tc>
        <w:tc>
          <w:tcPr>
            <w:tcW w:type="dxa" w:w="4000"/>
            <w:gridSpan w:val="1"/>
            <w:tcBorders>
              <w:top w:val="single" w:color="999999" w:sz="4"/>
              <w:left w:val="single" w:color="999999" w:sz="4"/>
              <w:bottom w:val="single" w:color="999999" w:sz="4"/>
              <w:right w:val="single" w:color="999999" w:sz="4"/>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Question / Observation</w:t>
            </w:r>
          </w:p>
        </w:tc>
        <w:tc>
          <w:tcPr>
            <w:tcW w:type="dxa" w:w="2860"/>
            <w:gridSpan w:val="1"/>
            <w:tcBorders>
              <w:top w:val="single" w:color="999999" w:sz="4"/>
              <w:left w:val="single" w:color="999999" w:sz="4"/>
              <w:bottom w:val="single" w:color="999999" w:sz="4"/>
              <w:right w:val="single" w:color="999999" w:sz="4"/>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Response / Clarification (If Applicable)</w:t>
            </w:r>
          </w:p>
        </w:tc>
      </w:tr>
      <w:tr>
        <w:tc>
          <w:tcPr>
            <w:tcW w:type="dxa" w:w="25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
            </w:r>
          </w:p>
        </w:tc>
        <w:tc>
          <w:tcPr>
            <w:tcW w:type="dxa" w:w="40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
            </w:r>
          </w:p>
        </w:tc>
        <w:tc>
          <w:tcPr>
            <w:tcW w:type="dxa" w:w="28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
            </w:r>
          </w:p>
        </w:tc>
      </w:tr>
      <w:tr>
        <w:tc>
          <w:tcPr>
            <w:tcW w:type="dxa" w:w="25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
            </w:r>
          </w:p>
        </w:tc>
        <w:tc>
          <w:tcPr>
            <w:tcW w:type="dxa" w:w="40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
            </w:r>
          </w:p>
        </w:tc>
        <w:tc>
          <w:tcPr>
            <w:tcW w:type="dxa" w:w="28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
            </w:r>
          </w:p>
        </w:tc>
      </w:tr>
      <w:tr>
        <w:tc>
          <w:tcPr>
            <w:tcW w:type="dxa" w:w="25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
            </w:r>
          </w:p>
        </w:tc>
        <w:tc>
          <w:tcPr>
            <w:tcW w:type="dxa" w:w="40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
            </w:r>
          </w:p>
        </w:tc>
        <w:tc>
          <w:tcPr>
            <w:tcW w:type="dxa" w:w="286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
            </w:r>
          </w:p>
        </w:tc>
      </w:tr>
    </w:tbl>
    <w:p>
      <w:pPr>
        <w:spacing w:after="60" w:before="60"/>
        <w:jc w:val="left"/>
      </w:pPr>
      <w:r>
        <w:rPr>
          <w:rFonts w:ascii="Arial" w:cs="Arial" w:eastAsia="Arial" w:hAnsi="Arial"/>
          <w:b w:val="false"/>
          <w:bCs w:val="false"/>
          <w:color w:val="000000"/>
          <w:sz w:val="20"/>
          <w:szCs w:val="20"/>
        </w:rPr>
        <w:t xml:space="preserve"/>
      </w:r>
    </w:p>
    <w:p>
      <w:pPr>
        <w:spacing w:after="60" w:before="60"/>
        <w:jc w:val="left"/>
      </w:pPr>
      <w:r>
        <w:rPr>
          <w:rFonts w:ascii="Arial" w:cs="Arial" w:eastAsia="Arial" w:hAnsi="Arial"/>
          <w:b w:val="false"/>
          <w:bCs w:val="false"/>
          <w:color w:val="000000"/>
          <w:sz w:val="16"/>
          <w:szCs w:val="16"/>
        </w:rPr>
        <w:t xml:space="preserve">*Note: Items documented here are not required to result in risks or action plans unless formally captured elsewhere in this assessment</w:t>
      </w:r>
    </w:p>
    <w:p>
      <w:pPr>
        <w:spacing w:after="60" w:before="60"/>
        <w:jc w:val="left"/>
      </w:pPr>
      <w:r>
        <w:rPr>
          <w:rFonts w:ascii="Arial" w:cs="Arial" w:eastAsia="Arial" w:hAnsi="Arial"/>
          <w:b w:val="false"/>
          <w:bCs w:val="false"/>
          <w:color w:val="000000"/>
          <w:sz w:val="20"/>
          <w:szCs w:val="20"/>
        </w:rPr>
        <w:t xml:space="preserve"/>
      </w:r>
    </w:p>
    <w:p>
      <w:pPr>
        <w:spacing w:after="60" w:before="60"/>
        <w:jc w:val="left"/>
      </w:pPr>
      <w:r>
        <w:rPr>
          <w:rFonts w:ascii="Arial" w:cs="Arial" w:eastAsia="Arial" w:hAnsi="Arial"/>
          <w:b w:val="false"/>
          <w:bCs w:val="false"/>
          <w:color w:val="000000"/>
          <w:sz w:val="20"/>
          <w:szCs w:val="20"/>
        </w:rPr>
        <w:t xml:space="preserve"/>
      </w:r>
    </w:p>
    <w:p>
      <w:pPr>
        <w:spacing w:after="80" w:before="100"/>
      </w:pPr>
      <w:r>
        <w:rPr>
          <w:rFonts w:ascii="Arial" w:cs="Arial" w:eastAsia="Arial" w:hAnsi="Arial"/>
          <w:b/>
          <w:bCs/>
          <w:sz w:val="20"/>
          <w:szCs w:val="20"/>
          <w:u w:val="single"/>
        </w:rPr>
        <w:t xml:space="preserve">Closure Evidence Examples:</w:t>
      </w:r>
    </w:p>
    <w:p>
      <w:pPr>
        <w:pStyle w:val="ListParagraph"/>
        <w:numPr>
          <w:ilvl w:val="0"/>
          <w:numId w:val="2"/>
        </w:numPr>
        <w:spacing w:after="40" w:before="40"/>
      </w:pPr>
      <w:r>
        <w:rPr>
          <w:rFonts w:ascii="Arial" w:cs="Arial" w:eastAsia="Arial" w:hAnsi="Arial"/>
          <w:sz w:val="18"/>
          <w:szCs w:val="18"/>
        </w:rPr>
        <w:t xml:space="preserve">Officially approved documents such as procedures, guidelines and playbooks.</w:t>
      </w:r>
    </w:p>
    <w:p>
      <w:pPr>
        <w:pStyle w:val="ListParagraph"/>
        <w:numPr>
          <w:ilvl w:val="0"/>
          <w:numId w:val="2"/>
        </w:numPr>
        <w:spacing w:after="40" w:before="40"/>
      </w:pPr>
      <w:r>
        <w:rPr>
          <w:rFonts w:ascii="Arial" w:cs="Arial" w:eastAsia="Arial" w:hAnsi="Arial"/>
          <w:sz w:val="18"/>
          <w:szCs w:val="18"/>
        </w:rPr>
        <w:t xml:space="preserve">Configuration screenshots.</w:t>
      </w:r>
    </w:p>
    <w:p>
      <w:pPr>
        <w:pStyle w:val="ListParagraph"/>
        <w:numPr>
          <w:ilvl w:val="0"/>
          <w:numId w:val="2"/>
        </w:numPr>
        <w:spacing w:after="40" w:before="40"/>
      </w:pPr>
      <w:r>
        <w:rPr>
          <w:rFonts w:ascii="Arial" w:cs="Arial" w:eastAsia="Arial" w:hAnsi="Arial"/>
          <w:sz w:val="18"/>
          <w:szCs w:val="18"/>
        </w:rPr>
        <w:t xml:space="preserve">Scan reports.</w:t>
      </w:r>
    </w:p>
    <w:p>
      <w:pPr>
        <w:pStyle w:val="ListParagraph"/>
        <w:numPr>
          <w:ilvl w:val="0"/>
          <w:numId w:val="2"/>
        </w:numPr>
        <w:spacing w:after="40" w:before="40"/>
      </w:pPr>
      <w:r>
        <w:rPr>
          <w:rFonts w:ascii="Arial" w:cs="Arial" w:eastAsia="Arial" w:hAnsi="Arial"/>
          <w:sz w:val="18"/>
          <w:szCs w:val="18"/>
        </w:rPr>
        <w:t xml:space="preserve">APM profile screenshots confirming specific details of the evaluated application.</w:t>
      </w:r>
    </w:p>
    <w:p>
      <w:pPr>
        <w:pStyle w:val="ListParagraph"/>
        <w:numPr>
          <w:ilvl w:val="0"/>
          <w:numId w:val="2"/>
        </w:numPr>
        <w:spacing w:after="40" w:before="40"/>
      </w:pPr>
      <w:r>
        <w:rPr>
          <w:rFonts w:ascii="Arial" w:cs="Arial" w:eastAsia="Arial" w:hAnsi="Arial"/>
          <w:sz w:val="18"/>
          <w:szCs w:val="18"/>
        </w:rPr>
        <w:t xml:space="preserve">ESLM dashboard screenshots.</w:t>
      </w:r>
    </w:p>
    <w:p>
      <w:pPr>
        <w:pStyle w:val="ListParagraph"/>
        <w:numPr>
          <w:ilvl w:val="0"/>
          <w:numId w:val="2"/>
        </w:numPr>
        <w:spacing w:after="40" w:before="40"/>
      </w:pPr>
      <w:r>
        <w:rPr>
          <w:rFonts w:ascii="Arial" w:cs="Arial" w:eastAsia="Arial" w:hAnsi="Arial"/>
          <w:sz w:val="18"/>
          <w:szCs w:val="18"/>
        </w:rPr>
        <w:t xml:space="preserve">LAM intake numbers.</w:t>
      </w:r>
    </w:p>
    <w:p>
      <w:pPr>
        <w:pStyle w:val="ListParagraph"/>
        <w:numPr>
          <w:ilvl w:val="0"/>
          <w:numId w:val="2"/>
        </w:numPr>
        <w:spacing w:after="40" w:before="40"/>
      </w:pPr>
      <w:r>
        <w:rPr>
          <w:rFonts w:ascii="Arial" w:cs="Arial" w:eastAsia="Arial" w:hAnsi="Arial"/>
          <w:sz w:val="18"/>
          <w:szCs w:val="18"/>
        </w:rPr>
        <w:t xml:space="preserve">LAM dashboard screenshots.</w:t>
      </w:r>
    </w:p>
    <w:p>
      <w:pPr>
        <w:spacing w:after="60" w:before="60"/>
        <w:jc w:val="left"/>
      </w:pPr>
      <w:r>
        <w:rPr>
          <w:rFonts w:ascii="Arial" w:cs="Arial" w:eastAsia="Arial" w:hAnsi="Arial"/>
          <w:b w:val="false"/>
          <w:bCs w:val="false"/>
          <w:color w:val="000000"/>
          <w:sz w:val="20"/>
          <w:szCs w:val="20"/>
        </w:rPr>
        <w:t xml:space="preserve"/>
      </w:r>
    </w:p>
    <w:p>
      <w:pPr>
        <w:spacing w:after="60" w:before="100"/>
      </w:pPr>
      <w:r>
        <w:rPr>
          <w:rFonts w:ascii="Arial" w:cs="Arial" w:eastAsia="Arial" w:hAnsi="Arial"/>
          <w:b/>
          <w:bCs/>
          <w:sz w:val="20"/>
          <w:szCs w:val="20"/>
        </w:rPr>
        <w:t xml:space="preserve">The Sign-off of this assessment will be provided via SNOW</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Arial" w:cs="Arial" w:eastAsia="Arial" w:hAnsi="Arial"/>
        <w:sz w:val="16"/>
        <w:szCs w:val="16"/>
      </w:rPr>
      <w:t xml:space="preserve">Reporte Crediticio de Deudores (RCD) – Credi Scotia Financiera (CSF)</w:t>
    </w:r>
  </w:p>
  <w:p>
    <w:pPr>
      <w:jc w:val="left"/>
    </w:pPr>
    <w:r>
      <w:rPr>
        <w:rFonts w:ascii="Arial" w:cs="Arial" w:eastAsia="Arial" w:hAnsi="Arial"/>
        <w:sz w:val="16"/>
        <w:szCs w:val="16"/>
      </w:rPr>
      <w:t xml:space="preserve">Template Version 2.0 Date: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2026-06-16T19:46:13.532Z</dcterms:created>
  <dcterms:modified xsi:type="dcterms:W3CDTF">2026-06-16T19:46:13.532Z</dcterms:modified>
</cp:coreProperties>
</file>

<file path=docProps/custom.xml><?xml version="1.0" encoding="utf-8"?>
<Properties xmlns="http://schemas.openxmlformats.org/officeDocument/2006/custom-properties" xmlns:vt="http://schemas.openxmlformats.org/officeDocument/2006/docPropsVTypes"/>
</file>