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1400"/>
        <w:gridCol w:w="1400"/>
      </w:tblGrid>
      <w:tr>
        <w:tc>
          <w:tcPr>
            <w:tcW w:type="dxa" w:w="2800"/>
            <w:gridSpan w:val="1"/>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Application Name and Type:</w:t>
            </w:r>
          </w:p>
        </w:tc>
        <w:tc>
          <w:tcPr>
            <w:tcW w:type="dxa" w:w="376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sz w:val="18"/>
                <w:szCs w:val="18"/>
              </w:rPr>
              <w:t xml:space="preserve">Crediscotia Legacy Applications (CIAC, Payment, Registered Confidential)</w:t>
            </w:r>
          </w:p>
        </w:tc>
        <w:tc>
          <w:tcPr>
            <w:tcW w:type="dxa" w:w="1400"/>
            <w:gridSpan w:val="1"/>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Region/Country:</w:t>
            </w:r>
          </w:p>
        </w:tc>
        <w:tc>
          <w:tcPr>
            <w:tcW w:type="dxa" w:w="140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Perú / LATAM</w:t>
            </w:r>
          </w:p>
        </w:tc>
      </w:tr>
      <w:tr>
        <w:tc>
          <w:tcPr>
            <w:tcW w:type="dxa" w:w="2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TRA ID (SAMS Ticket):</w:t>
            </w:r>
          </w:p>
        </w:tc>
        <w:tc>
          <w:tcPr>
            <w:tcW w:type="dxa" w:w="376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Indicar</w:t>
            </w:r>
          </w:p>
        </w:tc>
        <w:tc>
          <w:tcPr>
            <w:tcW w:type="dxa" w:w="14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APM ID:</w:t>
            </w:r>
          </w:p>
        </w:tc>
        <w:tc>
          <w:tcPr>
            <w:tcW w:type="dxa" w:w="140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Indicar (BG6D, BBJ8, BG6F, BGCB, BBLF, BBHL, BGFY, BJVS, BHPD, BHPF, BBFG, BJHB)</w:t>
            </w:r>
          </w:p>
        </w:tc>
      </w:tr>
      <w:tr>
        <w:tc>
          <w:tcPr>
            <w:tcW w:type="dxa" w:w="2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Information System Owner:</w:t>
            </w:r>
          </w:p>
        </w:tc>
        <w:tc>
          <w:tcPr>
            <w:tcW w:type="dxa" w:w="376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Ballardo Urco, Abner, vicepresidente de Tecnología</w:t>
            </w:r>
          </w:p>
        </w:tc>
        <w:tc>
          <w:tcPr>
            <w:tcW w:type="dxa" w:w="14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Date:</w:t>
            </w:r>
          </w:p>
        </w:tc>
        <w:tc>
          <w:tcPr>
            <w:tcW w:type="dxa" w:w="140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June 17, 2026</w:t>
            </w:r>
          </w:p>
        </w:tc>
      </w:tr>
      <w:tr>
        <w:tc>
          <w:tcPr>
            <w:tcW w:type="dxa" w:w="2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Security Advisor:</w:t>
            </w:r>
          </w:p>
        </w:tc>
        <w:tc>
          <w:tcPr>
            <w:tcW w:type="dxa" w:w="376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Indicar</w:t>
            </w:r>
          </w:p>
        </w:tc>
        <w:tc>
          <w:tcPr>
            <w:tcW w:type="dxa" w:w="14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Advisory Team:</w:t>
            </w:r>
          </w:p>
        </w:tc>
        <w:tc>
          <w:tcPr>
            <w:tcW w:type="dxa" w:w="140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SAMS INTL LATAM</w:t>
            </w:r>
          </w:p>
        </w:tc>
      </w:tr>
      <w:tr>
        <w:tc>
          <w:tcPr>
            <w:tcW w:type="dxa" w:w="2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Asset Tier:</w:t>
            </w:r>
          </w:p>
        </w:tc>
        <w:tc>
          <w:tcPr>
            <w:tcW w:type="dxa" w:w="376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Tier 2</w:t>
            </w:r>
          </w:p>
        </w:tc>
        <w:tc>
          <w:tcPr>
            <w:tcW w:type="dxa" w:w="14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VSR #:</w:t>
            </w:r>
          </w:p>
        </w:tc>
        <w:tc>
          <w:tcPr>
            <w:tcW w:type="dxa" w:w="140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N/A</w:t>
            </w:r>
          </w:p>
        </w:tc>
      </w:tr>
    </w:tbl>
    <w:p>
      <w:pPr>
        <w:spacing w:after="80"/>
      </w:pPr>
      <w:r>
        <w:t xml:space="preserve"/>
      </w:r>
    </w:p>
    <w:p>
      <w:pPr>
        <w:spacing w:after="100" w:before="200"/>
      </w:pPr>
      <w:r>
        <w:rPr>
          <w:rFonts w:ascii="Arial" w:cs="Arial" w:eastAsia="Arial" w:hAnsi="Arial"/>
          <w:b/>
          <w:bCs/>
          <w:color w:val="404040"/>
          <w:sz w:val="20"/>
          <w:szCs w:val="20"/>
        </w:rPr>
        <w:t xml:space="preserve">Background</w:t>
      </w:r>
    </w:p>
    <w:p>
      <w:pPr>
        <w:spacing w:after="40" w:before="120"/>
      </w:pPr>
      <w:r>
        <w:rPr>
          <w:rFonts w:ascii="Arial" w:cs="Arial" w:eastAsia="Arial" w:hAnsi="Arial"/>
          <w:b/>
          <w:bCs/>
          <w:sz w:val="18"/>
          <w:szCs w:val="18"/>
        </w:rPr>
        <w:t xml:space="preserve">What does this system or service provide?</w:t>
      </w:r>
    </w:p>
    <w:p>
      <w:pPr>
        <w:spacing w:after="80"/>
      </w:pPr>
      <w:r>
        <w:rPr>
          <w:rFonts w:ascii="Arial" w:cs="Arial" w:eastAsia="Arial" w:hAnsi="Arial"/>
          <w:i w:val="false"/>
          <w:iCs w:val="false"/>
          <w:sz w:val="18"/>
          <w:szCs w:val="18"/>
        </w:rPr>
        <w:t xml:space="preserve">Currently, the financial institution Crediscotia has been sold to Santander Consumer, another banking entity, after ceasing to be part of the Scotiabank group. As part of this transition, the institution's requirements and projects focus exclusively on regulatory and cybersecurity matters. In this context, Santander Business Process (SBP) is adapting the solution to the infrastructure and architecture of Crediscotia, with the goal of aligning its technological capabilities to the group's standards. As part of this process, a set of legacy applications within Crediscotia has been identified.</w:t>
      </w:r>
    </w:p>
    <w:p>
      <w:pPr>
        <w:spacing w:after="80"/>
      </w:pPr>
      <w:r>
        <w:rPr>
          <w:rFonts w:ascii="Arial" w:cs="Arial" w:eastAsia="Arial" w:hAnsi="Arial"/>
          <w:i w:val="false"/>
          <w:iCs w:val="false"/>
          <w:sz w:val="18"/>
          <w:szCs w:val="18"/>
        </w:rPr>
        <w:t xml:space="preserve">Given that these applications manage critical business processes and handle sensitive client financial information, it is essential to conduct a security assessment to determine their current posture, identify possible vulnerabilities, and establish the necessary controls to guarantee their confidentiality, integrity, availability, and operational continuity within the new corporate ecosystem.</w:t>
      </w:r>
    </w:p>
    <w:p>
      <w:pPr>
        <w:spacing w:after="80"/>
      </w:pPr>
      <w:r>
        <w:t xml:space="preserve"/>
      </w:r>
    </w:p>
    <w:p>
      <w:pPr>
        <w:spacing w:after="40" w:before="120"/>
      </w:pPr>
      <w:r>
        <w:rPr>
          <w:rFonts w:ascii="Arial" w:cs="Arial" w:eastAsia="Arial" w:hAnsi="Arial"/>
          <w:b/>
          <w:bCs/>
          <w:sz w:val="18"/>
          <w:szCs w:val="18"/>
        </w:rPr>
        <w:t xml:space="preserve">Applications Assessments (In Scope):</w:t>
      </w:r>
    </w:p>
    <w:p>
      <w:pPr>
        <w:pStyle w:val="ListParagraph"/>
        <w:numPr>
          <w:ilvl w:val="0"/>
          <w:numId w:val="2"/>
        </w:numPr>
      </w:pPr>
      <w:r>
        <w:rPr>
          <w:rFonts w:ascii="Arial" w:cs="Arial" w:eastAsia="Arial" w:hAnsi="Arial"/>
          <w:sz w:val="18"/>
          <w:szCs w:val="18"/>
        </w:rPr>
        <w:t xml:space="preserve">BG6D - Clave Digital CSF: Afiliar clientes a la clave digital, gestionar los clientes afiliados a la clave digital, solicitar y validar OTP con CAMS.</w:t>
      </w:r>
    </w:p>
    <w:p>
      <w:pPr>
        <w:pStyle w:val="ListParagraph"/>
        <w:numPr>
          <w:ilvl w:val="0"/>
          <w:numId w:val="2"/>
        </w:numPr>
      </w:pPr>
      <w:r>
        <w:rPr>
          <w:rFonts w:ascii="Arial" w:cs="Arial" w:eastAsia="Arial" w:hAnsi="Arial"/>
          <w:sz w:val="18"/>
          <w:szCs w:val="18"/>
        </w:rPr>
        <w:t xml:space="preserve">BBJ8 - Intranet Portal CSF: Plataforma web que centraliza los sistemas de información y comunicación para los empleados.</w:t>
      </w:r>
    </w:p>
    <w:p>
      <w:pPr>
        <w:pStyle w:val="ListParagraph"/>
        <w:numPr>
          <w:ilvl w:val="0"/>
          <w:numId w:val="2"/>
        </w:numPr>
      </w:pPr>
      <w:r>
        <w:rPr>
          <w:rFonts w:ascii="Arial" w:cs="Arial" w:eastAsia="Arial" w:hAnsi="Arial"/>
          <w:sz w:val="18"/>
          <w:szCs w:val="18"/>
        </w:rPr>
        <w:t xml:space="preserve">BG6F - Inicio Relación (Onboarding) CSF: Procesos y procedimientos para permitir la incorporación de personas y empresas.</w:t>
      </w:r>
    </w:p>
    <w:p>
      <w:pPr>
        <w:pStyle w:val="ListParagraph"/>
        <w:numPr>
          <w:ilvl w:val="0"/>
          <w:numId w:val="2"/>
        </w:numPr>
      </w:pPr>
      <w:r>
        <w:rPr>
          <w:rFonts w:ascii="Arial" w:cs="Arial" w:eastAsia="Arial" w:hAnsi="Arial"/>
          <w:sz w:val="18"/>
          <w:szCs w:val="18"/>
        </w:rPr>
        <w:t xml:space="preserve">BGCB - CRS + FATCA (CSF) (L1): Procesos y procedimientos para cumplir con la legislación CRS y FATCA en Crediscotia.</w:t>
      </w:r>
    </w:p>
    <w:p>
      <w:pPr>
        <w:pStyle w:val="ListParagraph"/>
        <w:numPr>
          <w:ilvl w:val="0"/>
          <w:numId w:val="2"/>
        </w:numPr>
      </w:pPr>
      <w:r>
        <w:rPr>
          <w:rFonts w:ascii="Arial" w:cs="Arial" w:eastAsia="Arial" w:hAnsi="Arial"/>
          <w:sz w:val="18"/>
          <w:szCs w:val="18"/>
        </w:rPr>
        <w:t xml:space="preserve">BBLF - SPRING (Web, C/S) - Credi Scotia Financiera (CSF): Aplicación que permite registrar operaciones de facturación y pagos.</w:t>
      </w:r>
    </w:p>
    <w:p>
      <w:pPr>
        <w:pStyle w:val="ListParagraph"/>
        <w:numPr>
          <w:ilvl w:val="0"/>
          <w:numId w:val="2"/>
        </w:numPr>
      </w:pPr>
      <w:r>
        <w:rPr>
          <w:rFonts w:ascii="Arial" w:cs="Arial" w:eastAsia="Arial" w:hAnsi="Arial"/>
          <w:sz w:val="18"/>
          <w:szCs w:val="18"/>
        </w:rPr>
        <w:t xml:space="preserve">BBHL - Editran CSF: Aplicación que permite el registro de operaciones y pagos de facturas.</w:t>
      </w:r>
    </w:p>
    <w:p>
      <w:pPr>
        <w:pStyle w:val="ListParagraph"/>
        <w:numPr>
          <w:ilvl w:val="0"/>
          <w:numId w:val="2"/>
        </w:numPr>
      </w:pPr>
      <w:r>
        <w:rPr>
          <w:rFonts w:ascii="Arial" w:cs="Arial" w:eastAsia="Arial" w:hAnsi="Arial"/>
          <w:sz w:val="18"/>
          <w:szCs w:val="18"/>
        </w:rPr>
        <w:t xml:space="preserve">BGFY - Billetera Móvil (Mobile Wallet): Aplicación que permite procesar las transacciones realizadas por el canal de billetera móvil, recargas de celulares, cash in, cash out, transfer.</w:t>
      </w:r>
    </w:p>
    <w:p>
      <w:pPr>
        <w:pStyle w:val="ListParagraph"/>
        <w:numPr>
          <w:ilvl w:val="0"/>
          <w:numId w:val="2"/>
        </w:numPr>
      </w:pPr>
      <w:r>
        <w:rPr>
          <w:rFonts w:ascii="Arial" w:cs="Arial" w:eastAsia="Arial" w:hAnsi="Arial"/>
          <w:sz w:val="18"/>
          <w:szCs w:val="18"/>
        </w:rPr>
        <w:t xml:space="preserve">BJVS - Web de retenciones: Aplicación web que permite el registro de los beneficios de los clientes de tarjetas de crédito.</w:t>
      </w:r>
    </w:p>
    <w:p>
      <w:pPr>
        <w:pStyle w:val="ListParagraph"/>
        <w:numPr>
          <w:ilvl w:val="0"/>
          <w:numId w:val="2"/>
        </w:numPr>
      </w:pPr>
      <w:r>
        <w:rPr>
          <w:rFonts w:ascii="Arial" w:cs="Arial" w:eastAsia="Arial" w:hAnsi="Arial"/>
          <w:sz w:val="18"/>
          <w:szCs w:val="18"/>
        </w:rPr>
        <w:t xml:space="preserve">BHPD - Accesos Seguridad Física CSF: Sistema de Monitoreo de controladores de acceso.</w:t>
      </w:r>
    </w:p>
    <w:p>
      <w:pPr>
        <w:pStyle w:val="ListParagraph"/>
        <w:numPr>
          <w:ilvl w:val="0"/>
          <w:numId w:val="2"/>
        </w:numPr>
      </w:pPr>
      <w:r>
        <w:rPr>
          <w:rFonts w:ascii="Arial" w:cs="Arial" w:eastAsia="Arial" w:hAnsi="Arial"/>
          <w:sz w:val="18"/>
          <w:szCs w:val="18"/>
        </w:rPr>
        <w:t xml:space="preserve">BHPF - CCTV Seguridad Física CSF: Sistema de Monitoreo CCTV.</w:t>
      </w:r>
    </w:p>
    <w:p>
      <w:pPr>
        <w:pStyle w:val="ListParagraph"/>
        <w:numPr>
          <w:ilvl w:val="0"/>
          <w:numId w:val="2"/>
        </w:numPr>
      </w:pPr>
      <w:r>
        <w:rPr>
          <w:rFonts w:ascii="Arial" w:cs="Arial" w:eastAsia="Arial" w:hAnsi="Arial"/>
          <w:sz w:val="18"/>
          <w:szCs w:val="18"/>
        </w:rPr>
        <w:t xml:space="preserve">BBFG - Sistema de Gestión de Accesos (SGA) - CSF: Aplicación que permite la gestión y control de acceso para otras aplicaciones.</w:t>
      </w:r>
    </w:p>
    <w:p>
      <w:pPr>
        <w:pStyle w:val="ListParagraph"/>
        <w:numPr>
          <w:ilvl w:val="0"/>
          <w:numId w:val="2"/>
        </w:numPr>
      </w:pPr>
      <w:r>
        <w:rPr>
          <w:rFonts w:ascii="Arial" w:cs="Arial" w:eastAsia="Arial" w:hAnsi="Arial"/>
          <w:sz w:val="18"/>
          <w:szCs w:val="18"/>
        </w:rPr>
        <w:t xml:space="preserve">BJHB - Sistema de Información Gerencial (MIS) - Crediscotia: Management Information System que incluye módulos de negocio, variaciones, producción y rentabilidad.</w:t>
      </w:r>
    </w:p>
    <w:p>
      <w:pPr>
        <w:spacing w:after="80"/>
      </w:pPr>
      <w:r>
        <w:t xml:space="preserve"/>
      </w:r>
    </w:p>
    <w:p>
      <w:pPr>
        <w:spacing w:after="100" w:before="200"/>
      </w:pPr>
      <w:r>
        <w:rPr>
          <w:rFonts w:ascii="Arial" w:cs="Arial" w:eastAsia="Arial" w:hAnsi="Arial"/>
          <w:b/>
          <w:bCs/>
          <w:color w:val="404040"/>
          <w:sz w:val="20"/>
          <w:szCs w:val="20"/>
        </w:rPr>
        <w:t xml:space="preserve">Assessment(s) completed</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W w:type="dxa" w:w="2000"/>
            <w:gridSpan w:val="1"/>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LAST TRA</w:t>
            </w:r>
          </w:p>
        </w:tc>
        <w:tc>
          <w:tcPr>
            <w:tcW w:type="dxa" w:w="2000"/>
            <w:gridSpan w:val="1"/>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r>
      <w:tr>
        <w:tc>
          <w:tcPr>
            <w:tcW w:type="dxa" w:w="200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N/A (First Assessment)</w:t>
            </w:r>
          </w:p>
        </w:tc>
        <w:tc>
          <w:tcPr>
            <w:tcW w:type="dxa" w:w="200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N/A</w:t>
            </w:r>
          </w:p>
        </w:tc>
      </w:tr>
    </w:tbl>
    <w:p>
      <w:pPr>
        <w:spacing w:after="80"/>
      </w:pPr>
      <w:r>
        <w:t xml:space="preserve"/>
      </w:r>
    </w:p>
    <w:p>
      <w:pPr>
        <w:spacing w:after="100" w:before="200"/>
      </w:pPr>
      <w:r>
        <w:rPr>
          <w:rFonts w:ascii="Arial" w:cs="Arial" w:eastAsia="Arial" w:hAnsi="Arial"/>
          <w:b/>
          <w:bCs/>
          <w:color w:val="404040"/>
          <w:sz w:val="20"/>
          <w:szCs w:val="20"/>
        </w:rPr>
        <w:t xml:space="preserve">Executive Summary</w:t>
      </w:r>
    </w:p>
    <w:p>
      <w:pPr>
        <w:spacing w:after="80"/>
      </w:pPr>
      <w:r>
        <w:rPr>
          <w:rFonts w:ascii="Arial" w:cs="Arial" w:eastAsia="Arial" w:hAnsi="Arial"/>
          <w:i w:val="false"/>
          <w:iCs w:val="false"/>
          <w:sz w:val="18"/>
          <w:szCs w:val="18"/>
        </w:rPr>
        <w:t xml:space="preserve">This TRA evaluates the security risks associated with the set of legacy applications operated by Crediscotia, now under the corporate ecosystem of Santander Consumer. These applications manage critical business processes and sensitive client financial information, including confidential data with highly valuable integrity, high availability, and high continuity requirements. The primary control deficiency identified is the absence of a formal security assessment prior to the transition to the Santander Consumer corporate ecosystem, which exposes the organization to potential risks of unauthorized disclosure of sensitive financial information, interruption of critical business processes, and non-compliance with regulatory standards. Compensating controls include the deployment of applications on Scotiabank infrastructure during the TSA (Transition Services Agreement) period. The overall residual risk is rated as Medium.</w:t>
      </w:r>
    </w:p>
    <w:p>
      <w:pPr>
        <w:spacing w:after="80"/>
      </w:pPr>
      <w:r>
        <w:t xml:space="preserve"/>
      </w:r>
    </w:p>
    <w:p>
      <w:pPr>
        <w:spacing w:after="100" w:before="200"/>
      </w:pPr>
      <w:r>
        <w:rPr>
          <w:rFonts w:ascii="Arial" w:cs="Arial" w:eastAsia="Arial" w:hAnsi="Arial"/>
          <w:b/>
          <w:bCs/>
          <w:color w:val="404040"/>
          <w:sz w:val="20"/>
          <w:szCs w:val="20"/>
        </w:rPr>
        <w:t xml:space="preserve">Data Classification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W w:type="dxa" w:w="1500"/>
            <w:gridSpan w:val="1"/>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Confidentiality</w:t>
            </w:r>
          </w:p>
        </w:tc>
        <w:tc>
          <w:tcPr>
            <w:tcW w:type="dxa" w:w="1500"/>
            <w:gridSpan w:val="1"/>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Integrity</w:t>
            </w:r>
          </w:p>
        </w:tc>
        <w:tc>
          <w:tcPr>
            <w:tcW w:type="dxa" w:w="1500"/>
            <w:gridSpan w:val="1"/>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Availability</w:t>
            </w:r>
          </w:p>
        </w:tc>
        <w:tc>
          <w:tcPr>
            <w:tcW w:type="dxa" w:w="1500"/>
            <w:gridSpan w:val="1"/>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Continuity</w:t>
            </w:r>
          </w:p>
        </w:tc>
      </w:tr>
      <w:tr>
        <w:tc>
          <w:tcPr>
            <w:tcW w:type="dxa" w:w="150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Confidential</w:t>
            </w:r>
          </w:p>
        </w:tc>
        <w:tc>
          <w:tcPr>
            <w:tcW w:type="dxa" w:w="150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Highly Valuable</w:t>
            </w:r>
          </w:p>
        </w:tc>
        <w:tc>
          <w:tcPr>
            <w:tcW w:type="dxa" w:w="150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High</w:t>
            </w:r>
          </w:p>
        </w:tc>
        <w:tc>
          <w:tcPr>
            <w:tcW w:type="dxa" w:w="150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High</w:t>
            </w:r>
          </w:p>
        </w:tc>
      </w:tr>
    </w:tbl>
    <w:p>
      <w:pPr>
        <w:spacing w:after="80"/>
      </w:pPr>
      <w:r>
        <w:t xml:space="preserve"/>
      </w:r>
    </w:p>
    <w:p>
      <w:pPr>
        <w:spacing w:after="100" w:before="200"/>
      </w:pPr>
      <w:r>
        <w:rPr>
          <w:rFonts w:ascii="Arial" w:cs="Arial" w:eastAsia="Arial" w:hAnsi="Arial"/>
          <w:b/>
          <w:bCs/>
          <w:color w:val="404040"/>
          <w:sz w:val="20"/>
          <w:szCs w:val="20"/>
        </w:rPr>
        <w:t xml:space="preserve">Data Element</w:t>
      </w:r>
    </w:p>
    <w:p>
      <w:pPr>
        <w:spacing w:after="80"/>
      </w:pPr>
      <w:r>
        <w:rPr>
          <w:rFonts w:ascii="Arial" w:cs="Arial" w:eastAsia="Arial" w:hAnsi="Arial"/>
          <w:i w:val="false"/>
          <w:iCs w:val="false"/>
          <w:sz w:val="18"/>
          <w:szCs w:val="18"/>
        </w:rPr>
        <w:t xml:space="preserve">This system contains PII, SPII and/or SPIRSH data, including: client financial information, account data, client identification data, and sensitive business process data.</w:t>
      </w:r>
    </w:p>
    <w:p>
      <w:pPr>
        <w:spacing w:after="80"/>
      </w:pPr>
      <w:r>
        <w:t xml:space="preserve"/>
      </w:r>
    </w:p>
    <w:p>
      <w:pPr>
        <w:spacing w:after="100" w:before="200"/>
      </w:pPr>
      <w:r>
        <w:rPr>
          <w:rFonts w:ascii="Arial" w:cs="Arial" w:eastAsia="Arial" w:hAnsi="Arial"/>
          <w:b/>
          <w:bCs/>
          <w:color w:val="404040"/>
          <w:sz w:val="20"/>
          <w:szCs w:val="20"/>
        </w:rPr>
        <w:t xml:space="preserve">Overall Risk Rating</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gridSpan w:val="1"/>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Overall Risk Rating</w:t>
            </w:r>
          </w:p>
        </w:tc>
      </w:tr>
      <w:tr>
        <w:tc>
          <w:tcPr>
            <w:tcW w:type="dxa" w:w="3000"/>
            <w:tcBorders>
              <w:top w:val="single" w:color="999999" w:sz="4"/>
              <w:left w:val="single" w:color="999999" w:sz="4"/>
              <w:bottom w:val="single" w:color="999999" w:sz="4"/>
              <w:right w:val="single" w:color="999999" w:sz="4"/>
            </w:tcBorders>
            <w:shd w:fill="BDD7EE"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Medium</w:t>
            </w:r>
          </w:p>
        </w:tc>
      </w:tr>
    </w:tbl>
    <w:p>
      <w:pPr>
        <w:spacing w:after="80"/>
      </w:pPr>
      <w:r>
        <w:rPr>
          <w:rFonts w:ascii="Arial" w:cs="Arial" w:eastAsia="Arial" w:hAnsi="Arial"/>
          <w:i/>
          <w:iCs/>
          <w:sz w:val="18"/>
          <w:szCs w:val="18"/>
        </w:rPr>
        <w:t xml:space="preserve">*Overall risk rating must reflect the highest individual residual risk rating identified</w:t>
      </w:r>
    </w:p>
    <w:p>
      <w:pPr>
        <w:spacing w:after="80"/>
      </w:pPr>
      <w:r>
        <w:t xml:space="preserve"/>
      </w:r>
    </w:p>
    <w:p>
      <w:pPr>
        <w:spacing w:after="100" w:before="200"/>
      </w:pPr>
      <w:r>
        <w:rPr>
          <w:rFonts w:ascii="Arial" w:cs="Arial" w:eastAsia="Arial" w:hAnsi="Arial"/>
          <w:b/>
          <w:bCs/>
          <w:color w:val="404040"/>
          <w:sz w:val="20"/>
          <w:szCs w:val="20"/>
        </w:rPr>
        <w:t xml:space="preserve">Risk Statement:</w:t>
      </w:r>
    </w:p>
    <w:p>
      <w:pPr>
        <w:spacing w:after="80"/>
      </w:pPr>
      <w:r>
        <w:rPr>
          <w:rFonts w:ascii="Arial" w:cs="Arial" w:eastAsia="Arial" w:hAnsi="Arial"/>
          <w:i w:val="false"/>
          <w:iCs w:val="false"/>
          <w:sz w:val="18"/>
          <w:szCs w:val="18"/>
        </w:rPr>
        <w:t xml:space="preserve">The overall risk of this assessment is rated as Medium. The residual risk rating is assessed as Medium based on the completion of risk assessment activities, given that the legacy applications manage confidential data with highly valuable integrity, high availability, and high continuity requirements, which exposes the organization to possible risks due to the absence of a security assessment of the applications prior to the transition to the Santander Consumer corporate ecosystem. The lack of security controls over these applications could result in unauthorized exposure of sensitive client financial information, interruption of critical business processes, or non-compliance with regulatory standards.</w:t>
      </w:r>
    </w:p>
    <w:p>
      <w:pPr>
        <w:spacing w:after="80"/>
      </w:pPr>
      <w:r>
        <w:t xml:space="preserve"/>
      </w:r>
    </w:p>
    <w:p>
      <w:pPr>
        <w:spacing w:after="100" w:before="200"/>
      </w:pPr>
      <w:r>
        <w:rPr>
          <w:rFonts w:ascii="Arial" w:cs="Arial" w:eastAsia="Arial" w:hAnsi="Arial"/>
          <w:b/>
          <w:bCs/>
          <w:color w:val="404040"/>
          <w:sz w:val="20"/>
          <w:szCs w:val="20"/>
        </w:rPr>
        <w:t xml:space="preserve">Assumptions</w:t>
      </w:r>
    </w:p>
    <w:p>
      <w:pPr>
        <w:spacing w:after="80"/>
      </w:pPr>
      <w:r>
        <w:rPr>
          <w:rFonts w:ascii="Arial" w:cs="Arial" w:eastAsia="Arial" w:hAnsi="Arial"/>
          <w:i w:val="false"/>
          <w:iCs w:val="false"/>
          <w:sz w:val="18"/>
          <w:szCs w:val="18"/>
        </w:rPr>
        <w:t xml:space="preserve">Applications are currently deployed on Scotiabank infrastructure as part of the TSA (Transition Services Agreement). The evaluation is conducted in the context of the transition to the Santander Consumer ecosystem. The scope of the evaluation is based on the list of legacy applications provided by Crediscotia.</w:t>
      </w:r>
    </w:p>
    <w:p>
      <w:pPr>
        <w:spacing w:after="80"/>
      </w:pPr>
      <w:r>
        <w:t xml:space="preserve"/>
      </w:r>
    </w:p>
    <w:p>
      <w:pPr>
        <w:spacing w:after="80"/>
      </w:pPr>
      <w:r>
        <w:rPr>
          <w:rFonts w:ascii="Arial" w:cs="Arial" w:eastAsia="Arial" w:hAnsi="Arial"/>
          <w:i/>
          <w:iCs/>
          <w:sz w:val="18"/>
          <w:szCs w:val="18"/>
        </w:rPr>
        <w:t xml:space="preserve">Note: Should anything change relative to the data or mitigating controls impacting the residual risk, this threat/risk assessment must be revisited.</w:t>
      </w:r>
    </w:p>
    <w:p>
      <w:r>
        <w:br w:type="page"/>
      </w:r>
    </w:p>
    <w:p>
      <w:pPr>
        <w:spacing w:after="100" w:before="200"/>
      </w:pPr>
      <w:r>
        <w:rPr>
          <w:rFonts w:ascii="Arial" w:cs="Arial" w:eastAsia="Arial" w:hAnsi="Arial"/>
          <w:b/>
          <w:bCs/>
          <w:color w:val="404040"/>
          <w:sz w:val="20"/>
          <w:szCs w:val="20"/>
        </w:rPr>
        <w:t xml:space="preserve">FOR MISSING OR DEFICIENT CONTROLS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Control Defect #</w:t>
            </w:r>
          </w:p>
        </w:tc>
        <w:tc>
          <w:tcPr>
            <w:tcW w:type="dxa" w:w="716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CD-001</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Title</w:t>
            </w:r>
          </w:p>
        </w:tc>
        <w:tc>
          <w:tcPr>
            <w:tcW w:type="dxa" w:w="716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Absence of Formal Security Assessment for Legacy Applications Prior to Transition</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Threat Category</w:t>
            </w:r>
          </w:p>
        </w:tc>
        <w:tc>
          <w:tcPr>
            <w:tcW w:type="dxa" w:w="716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Information Disclosure / Denial of Service / Elevation of Privilege</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Control Taxonomy</w:t>
            </w:r>
          </w:p>
        </w:tc>
        <w:tc>
          <w:tcPr>
            <w:tcW w:type="dxa" w:w="716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General / Information Disclosure</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Standards Impacted</w:t>
            </w:r>
          </w:p>
        </w:tc>
        <w:tc>
          <w:tcPr>
            <w:tcW w:type="dxa" w:w="7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sz w:val="18"/>
                <w:szCs w:val="18"/>
              </w:rPr>
              <w:t xml:space="preserve">Application Security Standard</w:t>
            </w:r>
          </w:p>
          <w:p>
            <w:r>
              <w:rPr>
                <w:rFonts w:ascii="Arial" w:cs="Arial" w:eastAsia="Arial" w:hAnsi="Arial"/>
                <w:sz w:val="18"/>
                <w:szCs w:val="18"/>
              </w:rPr>
              <w:t xml:space="preserve">Information and Systems Classification Standard</w:t>
            </w:r>
          </w:p>
          <w:p>
            <w:r>
              <w:rPr>
                <w:rFonts w:ascii="Arial" w:cs="Arial" w:eastAsia="Arial" w:hAnsi="Arial"/>
                <w:sz w:val="18"/>
                <w:szCs w:val="18"/>
              </w:rPr>
              <w:t xml:space="preserve">Data Protection Policy</w:t>
            </w:r>
          </w:p>
          <w:p>
            <w:r>
              <w:rPr>
                <w:rFonts w:ascii="Arial" w:cs="Arial" w:eastAsia="Arial" w:hAnsi="Arial"/>
                <w:sz w:val="18"/>
                <w:szCs w:val="18"/>
              </w:rPr>
              <w:t xml:space="preserve">Santander Consumer Cybersecurity Framework</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Control Deficiency</w:t>
            </w:r>
          </w:p>
        </w:tc>
        <w:tc>
          <w:tcPr>
            <w:tcW w:type="dxa" w:w="7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sz w:val="18"/>
                <w:szCs w:val="18"/>
              </w:rPr>
              <w:t xml:space="preserve">The legacy applications of Crediscotia (now part of Santander Consumer) have not undergone a formal security assessment prior to the transition. This represents a missing control, as the confidentiality, integrity, availability, and operational continuity of the applications are being evaluated without a prior security baseline. As part of this regularization process, a review of possible vulnerabilities is being conducted to determine if these applications present exposures that must be mitigated.</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Inherent Risk:</w:t>
            </w:r>
          </w:p>
        </w:tc>
        <w:tc>
          <w:tcPr>
            <w:tcW w:type="dxa" w:w="7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sz w:val="18"/>
                <w:szCs w:val="18"/>
              </w:rPr>
              <w:t xml:space="preserve">Impact: High</w:t>
            </w:r>
          </w:p>
          <w:p>
            <w:r>
              <w:rPr>
                <w:rFonts w:ascii="Arial" w:cs="Arial" w:eastAsia="Arial" w:hAnsi="Arial"/>
                <w:sz w:val="18"/>
                <w:szCs w:val="18"/>
              </w:rPr>
              <w:t xml:space="preserve">Likelihood: High</w:t>
            </w:r>
          </w:p>
          <w:p>
            <w:r>
              <w:rPr>
                <w:rFonts w:ascii="Arial" w:cs="Arial" w:eastAsia="Arial" w:hAnsi="Arial"/>
                <w:sz w:val="18"/>
                <w:szCs w:val="18"/>
              </w:rPr>
              <w:t xml:space="preserve">Inherent Rating: </w:t>
            </w:r>
            <w:r>
              <w:rPr>
                <w:rFonts w:ascii="Arial" w:cs="Arial" w:eastAsia="Arial" w:hAnsi="Arial"/>
                <w:b/>
                <w:bCs/>
                <w:sz w:val="18"/>
                <w:szCs w:val="18"/>
              </w:rPr>
              <w:t xml:space="preserve">High</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Risk Description</w:t>
            </w:r>
          </w:p>
        </w:tc>
        <w:tc>
          <w:tcPr>
            <w:tcW w:type="dxa" w:w="716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A potential risk of unauthorized disclosure of sensitive financial information, interruption of critical business processes (Telebanking, Collections, Electronic Factoring), or regulatory non-compliance is identified due to the absence of a formal security assessment of the legacy applications prior to the transition to the Santander Consumer corporate ecosystem.</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Existing Mitigating / Compensating Controls</w:t>
            </w:r>
          </w:p>
        </w:tc>
        <w:tc>
          <w:tcPr>
            <w:tcW w:type="dxa" w:w="7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sz w:val="18"/>
                <w:szCs w:val="18"/>
              </w:rPr>
              <w:t xml:space="preserve">The applications are currently deployed on Scotiabank infrastructure as part of the TSA (Transition Services Agreement), which provides a baseline of existing security controls from the Scotiabank environment.</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Residual Rating</w:t>
            </w:r>
          </w:p>
        </w:tc>
        <w:tc>
          <w:tcPr>
            <w:tcW w:type="dxa" w:w="7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sz w:val="18"/>
                <w:szCs w:val="18"/>
              </w:rPr>
              <w:t xml:space="preserve">Impact: High</w:t>
            </w:r>
          </w:p>
          <w:p>
            <w:r>
              <w:rPr>
                <w:rFonts w:ascii="Arial" w:cs="Arial" w:eastAsia="Arial" w:hAnsi="Arial"/>
                <w:sz w:val="18"/>
                <w:szCs w:val="18"/>
              </w:rPr>
              <w:t xml:space="preserve">Likelihood: Medium-Low</w:t>
            </w:r>
          </w:p>
          <w:p>
            <w:r>
              <w:rPr>
                <w:rFonts w:ascii="Arial" w:cs="Arial" w:eastAsia="Arial" w:hAnsi="Arial"/>
                <w:sz w:val="18"/>
                <w:szCs w:val="18"/>
              </w:rPr>
              <w:t xml:space="preserve">Residual Rating: </w:t>
            </w:r>
            <w:r>
              <w:rPr>
                <w:rFonts w:ascii="Arial" w:cs="Arial" w:eastAsia="Arial" w:hAnsi="Arial"/>
                <w:b/>
                <w:bCs/>
                <w:color w:val="C00000"/>
                <w:sz w:val="18"/>
                <w:szCs w:val="18"/>
              </w:rPr>
              <w:t xml:space="preserve">Medium</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Is an Issue?</w:t>
            </w:r>
          </w:p>
        </w:tc>
        <w:tc>
          <w:tcPr>
            <w:tcW w:type="dxa" w:w="716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No</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Action Plan</w:t>
            </w:r>
          </w:p>
        </w:tc>
        <w:tc>
          <w:tcPr>
            <w:tcW w:type="dxa" w:w="716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As part of the TSA support and guidelines, all legacy applications will be formally assessed and either remediated or decommissioned upon the conclusion of the TSA period. The IS&amp;C team will conduct individual TRAs per application to identify specific control gaps and define remediation action plans aligned with Santander Consumer's cybersecurity standards.</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Due date</w:t>
            </w:r>
          </w:p>
        </w:tc>
        <w:tc>
          <w:tcPr>
            <w:tcW w:type="dxa" w:w="716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Indicar</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Required Evidence for Closure</w:t>
            </w:r>
          </w:p>
        </w:tc>
        <w:tc>
          <w:tcPr>
            <w:tcW w:type="dxa" w:w="716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Individual TRA completion per application. Remediation evidence or decommissioning confirmation per application. APM profile screenshots. Scan reports.</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Remediation Owner</w:t>
            </w:r>
          </w:p>
        </w:tc>
        <w:tc>
          <w:tcPr>
            <w:tcW w:type="dxa" w:w="716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Abner Ballardo Urco - Vicepresidente de Tecnología</w:t>
            </w:r>
          </w:p>
        </w:tc>
      </w:tr>
      <w:tr>
        <w:tc>
          <w:tcPr>
            <w:tcW w:type="dxa" w:w="2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tcPr>
          <w:p>
            <w:r>
              <w:rPr>
                <w:rFonts w:ascii="Arial" w:cs="Arial" w:eastAsia="Arial" w:hAnsi="Arial"/>
                <w:b/>
                <w:bCs/>
                <w:sz w:val="18"/>
                <w:szCs w:val="18"/>
              </w:rPr>
              <w:t xml:space="preserve">Target Rating</w:t>
            </w:r>
          </w:p>
        </w:tc>
        <w:tc>
          <w:tcPr>
            <w:tcW w:type="dxa" w:w="716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sz w:val="18"/>
                <w:szCs w:val="18"/>
              </w:rPr>
              <w:t xml:space="preserve">Target Rating: Medium-Low</w:t>
            </w:r>
          </w:p>
          <w:p>
            <w:r>
              <w:rPr>
                <w:rFonts w:ascii="Arial" w:cs="Arial" w:eastAsia="Arial" w:hAnsi="Arial"/>
                <w:sz w:val="18"/>
                <w:szCs w:val="18"/>
              </w:rPr>
              <w:t xml:space="preserve">Target Impact: High</w:t>
            </w:r>
          </w:p>
          <w:p>
            <w:r>
              <w:rPr>
                <w:rFonts w:ascii="Arial" w:cs="Arial" w:eastAsia="Arial" w:hAnsi="Arial"/>
                <w:sz w:val="18"/>
                <w:szCs w:val="18"/>
              </w:rPr>
              <w:t xml:space="preserve">Target Likelihood: Low</w:t>
            </w:r>
          </w:p>
        </w:tc>
      </w:tr>
    </w:tbl>
    <w:p>
      <w:r>
        <w:br w:type="page"/>
      </w:r>
    </w:p>
    <w:p>
      <w:pPr>
        <w:spacing w:after="100" w:before="200"/>
      </w:pPr>
      <w:r>
        <w:rPr>
          <w:rFonts w:ascii="Arial" w:cs="Arial" w:eastAsia="Arial" w:hAnsi="Arial"/>
          <w:b/>
          <w:bCs/>
          <w:color w:val="404040"/>
          <w:sz w:val="20"/>
          <w:szCs w:val="20"/>
        </w:rPr>
        <w:t xml:space="preserve">Threat Modeling - STRIDE Analysis</w:t>
      </w:r>
    </w:p>
    <w:p>
      <w:pPr>
        <w:spacing w:after="80"/>
      </w:pPr>
      <w:r>
        <w:rPr>
          <w:rFonts w:ascii="Arial" w:cs="Arial" w:eastAsia="Arial" w:hAnsi="Arial"/>
          <w:i/>
          <w:iCs/>
          <w:sz w:val="18"/>
          <w:szCs w:val="18"/>
        </w:rPr>
        <w:t xml:space="preserve">The following table identifies applicable threat categories for the Crediscotia legacy applications. Advisory findings are documented where relevant controls have been assessed as missing or deficient.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80"/>
        <w:gridCol w:w="2280"/>
      </w:tblGrid>
      <w:tr>
        <w:tc>
          <w:tcPr>
            <w:tcW w:type="dxa" w:w="1800"/>
            <w:gridSpan w:val="1"/>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STRIDE Category</w:t>
            </w:r>
          </w:p>
        </w:tc>
        <w:tc>
          <w:tcPr>
            <w:tcW w:type="dxa" w:w="2400"/>
            <w:gridSpan w:val="1"/>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Threat Category</w:t>
            </w:r>
          </w:p>
        </w:tc>
        <w:tc>
          <w:tcPr>
            <w:tcW w:type="dxa" w:w="2880"/>
            <w:gridSpan w:val="1"/>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Existing Mitigating / Compensating Controls</w:t>
            </w:r>
          </w:p>
        </w:tc>
        <w:tc>
          <w:tcPr>
            <w:tcW w:type="dxa" w:w="2280"/>
            <w:gridSpan w:val="1"/>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Advisory Findings</w:t>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Spoofing Identity</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User authentication (IAM, SSO, federation)</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Legacy apps use local authentication. No SSO/IAM integration with Santander Consumer yet.</w:t>
            </w:r>
          </w:p>
        </w:tc>
        <w:tc>
          <w:tcPr>
            <w:tcW w:type="dxa" w:w="2280"/>
            <w:tcBorders>
              <w:top w:val="single" w:color="999999" w:sz="4"/>
              <w:left w:val="single" w:color="999999" w:sz="4"/>
              <w:bottom w:val="single" w:color="999999" w:sz="4"/>
              <w:right w:val="single" w:color="999999" w:sz="4"/>
            </w:tcBorders>
            <w:shd w:fill="FFF2CC" w:val="clear"/>
            <w:tcMar>
              <w:top w:type="dxa" w:w="40"/>
              <w:left w:type="dxa" w:w="80"/>
              <w:bottom w:type="dxa" w:w="40"/>
              <w:right w:type="dxa" w:w="80"/>
            </w:tcMar>
          </w:tcPr>
          <w:p>
            <w:r>
              <w:rPr>
                <w:rFonts w:ascii="Arial" w:cs="Arial" w:eastAsia="Arial" w:hAnsi="Arial"/>
                <w:color w:val="7F4F00"/>
                <w:sz w:val="16"/>
                <w:szCs w:val="16"/>
              </w:rPr>
              <w:t xml:space="preserve">CD-001 – Lack of IAM integration increases risk of unauthorized access.</w:t>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Spoofing Identity</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Unauthorized access (API, service, workload identity)</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API access controls exist at the Scotiabank infrastructure level.</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r>
              <w:rPr>
                <w:rFonts w:ascii="Arial" w:cs="Arial" w:eastAsia="Arial" w:hAnsi="Arial"/>
                <w:color w:val="000000"/>
                <w:sz w:val="16"/>
                <w:szCs w:val="16"/>
              </w:rPr>
              <w:t xml:space="preserve"/>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Spoofing Identity</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Privileged account protection (human + non-human identities)</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Privileged accounts managed under Scotiabank controls during TSA.</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r>
              <w:rPr>
                <w:rFonts w:ascii="Arial" w:cs="Arial" w:eastAsia="Arial" w:hAnsi="Arial"/>
                <w:color w:val="000000"/>
                <w:sz w:val="16"/>
                <w:szCs w:val="16"/>
              </w:rPr>
              <w:t xml:space="preserve"/>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Spoofing Identity</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Phishing / social engineering</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Scotiabank security awareness training applies during TSA period.</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r>
              <w:rPr>
                <w:rFonts w:ascii="Arial" w:cs="Arial" w:eastAsia="Arial" w:hAnsi="Arial"/>
                <w:color w:val="000000"/>
                <w:sz w:val="16"/>
                <w:szCs w:val="16"/>
              </w:rPr>
              <w:t xml:space="preserve"/>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Spoofing Identity</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Certificate &amp; key validation (mTLS, cert lifecycle)</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Certificates managed under Scotiabank PKI infrastructure.</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r>
              <w:rPr>
                <w:rFonts w:ascii="Arial" w:cs="Arial" w:eastAsia="Arial" w:hAnsi="Arial"/>
                <w:color w:val="000000"/>
                <w:sz w:val="16"/>
                <w:szCs w:val="16"/>
              </w:rPr>
              <w:t xml:space="preserve"/>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Tampering with Data</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Unauthorized modification of bank data</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Database access restricted to authorized application users.</w:t>
            </w:r>
          </w:p>
        </w:tc>
        <w:tc>
          <w:tcPr>
            <w:tcW w:type="dxa" w:w="2280"/>
            <w:tcBorders>
              <w:top w:val="single" w:color="999999" w:sz="4"/>
              <w:left w:val="single" w:color="999999" w:sz="4"/>
              <w:bottom w:val="single" w:color="999999" w:sz="4"/>
              <w:right w:val="single" w:color="999999" w:sz="4"/>
            </w:tcBorders>
            <w:shd w:fill="FFF2CC" w:val="clear"/>
            <w:tcMar>
              <w:top w:type="dxa" w:w="40"/>
              <w:left w:type="dxa" w:w="80"/>
              <w:bottom w:type="dxa" w:w="40"/>
              <w:right w:type="dxa" w:w="80"/>
            </w:tcMar>
          </w:tcPr>
          <w:p>
            <w:r>
              <w:rPr>
                <w:rFonts w:ascii="Arial" w:cs="Arial" w:eastAsia="Arial" w:hAnsi="Arial"/>
                <w:color w:val="7F4F00"/>
                <w:sz w:val="16"/>
                <w:szCs w:val="16"/>
              </w:rPr>
              <w:t xml:space="preserve">CD-001 – No formal validation of data integrity controls in legacy apps.</w:t>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Tampering with Data</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Data leaving approved environments (egress risk)</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DLP controls applied at network perimeter by Scotiabank.</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r>
              <w:rPr>
                <w:rFonts w:ascii="Arial" w:cs="Arial" w:eastAsia="Arial" w:hAnsi="Arial"/>
                <w:color w:val="000000"/>
                <w:sz w:val="16"/>
                <w:szCs w:val="16"/>
              </w:rPr>
              <w:t xml:space="preserve"/>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Tampering with Data</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Secret, password, and token protection</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Password policies enforced at infrastructure level.</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r>
              <w:rPr>
                <w:rFonts w:ascii="Arial" w:cs="Arial" w:eastAsia="Arial" w:hAnsi="Arial"/>
                <w:color w:val="000000"/>
                <w:sz w:val="16"/>
                <w:szCs w:val="16"/>
              </w:rPr>
              <w:t xml:space="preserve"/>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Tampering with Data</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Authorization enforcement (RBAC, ABAC, policy)</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Role-based access exists; not yet validated against Santander standards.</w:t>
            </w:r>
          </w:p>
        </w:tc>
        <w:tc>
          <w:tcPr>
            <w:tcW w:type="dxa" w:w="2280"/>
            <w:tcBorders>
              <w:top w:val="single" w:color="999999" w:sz="4"/>
              <w:left w:val="single" w:color="999999" w:sz="4"/>
              <w:bottom w:val="single" w:color="999999" w:sz="4"/>
              <w:right w:val="single" w:color="999999" w:sz="4"/>
            </w:tcBorders>
            <w:shd w:fill="FFF2CC" w:val="clear"/>
            <w:tcMar>
              <w:top w:type="dxa" w:w="40"/>
              <w:left w:type="dxa" w:w="80"/>
              <w:bottom w:type="dxa" w:w="40"/>
              <w:right w:type="dxa" w:w="80"/>
            </w:tcMar>
          </w:tcPr>
          <w:p>
            <w:r>
              <w:rPr>
                <w:rFonts w:ascii="Arial" w:cs="Arial" w:eastAsia="Arial" w:hAnsi="Arial"/>
                <w:color w:val="7F4F00"/>
                <w:sz w:val="16"/>
                <w:szCs w:val="16"/>
              </w:rPr>
              <w:t xml:space="preserve">CD-001 – Authorization controls not yet validated under new framework.</w:t>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Tampering with Data</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Cryptographic integrity protections</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Encryption in transit via TLS. Encryption at rest not validated for all apps.</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r>
              <w:rPr>
                <w:rFonts w:ascii="Arial" w:cs="Arial" w:eastAsia="Arial" w:hAnsi="Arial"/>
                <w:color w:val="000000"/>
                <w:sz w:val="16"/>
                <w:szCs w:val="16"/>
              </w:rPr>
              <w:t xml:space="preserve"/>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Tampering with Data</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Direct access to databases or storage</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Database access restricted to application service accounts.</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r>
              <w:rPr>
                <w:rFonts w:ascii="Arial" w:cs="Arial" w:eastAsia="Arial" w:hAnsi="Arial"/>
                <w:color w:val="000000"/>
                <w:sz w:val="16"/>
                <w:szCs w:val="16"/>
              </w:rPr>
              <w:t xml:space="preserve"/>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Repudiation</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Shared or non-attributable account usage</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Shared accounts identified as a potential risk in some legacy apps.</w:t>
            </w:r>
          </w:p>
        </w:tc>
        <w:tc>
          <w:tcPr>
            <w:tcW w:type="dxa" w:w="2280"/>
            <w:tcBorders>
              <w:top w:val="single" w:color="999999" w:sz="4"/>
              <w:left w:val="single" w:color="999999" w:sz="4"/>
              <w:bottom w:val="single" w:color="999999" w:sz="4"/>
              <w:right w:val="single" w:color="999999" w:sz="4"/>
            </w:tcBorders>
            <w:shd w:fill="FFF2CC" w:val="clear"/>
            <w:tcMar>
              <w:top w:type="dxa" w:w="40"/>
              <w:left w:type="dxa" w:w="80"/>
              <w:bottom w:type="dxa" w:w="40"/>
              <w:right w:type="dxa" w:w="80"/>
            </w:tcMar>
          </w:tcPr>
          <w:p>
            <w:r>
              <w:rPr>
                <w:rFonts w:ascii="Arial" w:cs="Arial" w:eastAsia="Arial" w:hAnsi="Arial"/>
                <w:color w:val="7F4F00"/>
                <w:sz w:val="16"/>
                <w:szCs w:val="16"/>
              </w:rPr>
              <w:t xml:space="preserve">CD-001 – Shared accounts may exist in legacy apps; requires individual TRA.</w:t>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Repudiation</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Logging, auditability, and non-repudiation</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Logging managed at infrastructure level by Scotiabank.</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r>
              <w:rPr>
                <w:rFonts w:ascii="Arial" w:cs="Arial" w:eastAsia="Arial" w:hAnsi="Arial"/>
                <w:color w:val="000000"/>
                <w:sz w:val="16"/>
                <w:szCs w:val="16"/>
              </w:rPr>
              <w:t xml:space="preserve"/>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Repudiation</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Digital signatures and transaction integrity</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Transaction integrity validated at application level.</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r>
              <w:rPr>
                <w:rFonts w:ascii="Arial" w:cs="Arial" w:eastAsia="Arial" w:hAnsi="Arial"/>
                <w:color w:val="000000"/>
                <w:sz w:val="16"/>
                <w:szCs w:val="16"/>
              </w:rPr>
              <w:t xml:space="preserve"/>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Repudiation</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Functional, system, and service accounts</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Service accounts exist; not yet fully inventoried under Santander standards.</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r>
              <w:rPr>
                <w:rFonts w:ascii="Arial" w:cs="Arial" w:eastAsia="Arial" w:hAnsi="Arial"/>
                <w:color w:val="000000"/>
                <w:sz w:val="16"/>
                <w:szCs w:val="16"/>
              </w:rPr>
              <w:t xml:space="preserve"/>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Information Disclosure</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Data exfiltration or bulk download</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DLP controls at network level. Application-level DLP not confirmed.</w:t>
            </w:r>
          </w:p>
        </w:tc>
        <w:tc>
          <w:tcPr>
            <w:tcW w:type="dxa" w:w="2280"/>
            <w:tcBorders>
              <w:top w:val="single" w:color="999999" w:sz="4"/>
              <w:left w:val="single" w:color="999999" w:sz="4"/>
              <w:bottom w:val="single" w:color="999999" w:sz="4"/>
              <w:right w:val="single" w:color="999999" w:sz="4"/>
            </w:tcBorders>
            <w:shd w:fill="FFF2CC" w:val="clear"/>
            <w:tcMar>
              <w:top w:type="dxa" w:w="40"/>
              <w:left w:type="dxa" w:w="80"/>
              <w:bottom w:type="dxa" w:w="40"/>
              <w:right w:type="dxa" w:w="80"/>
            </w:tcMar>
          </w:tcPr>
          <w:p>
            <w:r>
              <w:rPr>
                <w:rFonts w:ascii="Arial" w:cs="Arial" w:eastAsia="Arial" w:hAnsi="Arial"/>
                <w:color w:val="7F4F00"/>
                <w:sz w:val="16"/>
                <w:szCs w:val="16"/>
              </w:rPr>
              <w:t xml:space="preserve">CD-001</w:t>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Information Disclosure</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Data protection at rest</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Encryption at rest not uniformly validated across all legacy apps.</w:t>
            </w:r>
          </w:p>
        </w:tc>
        <w:tc>
          <w:tcPr>
            <w:tcW w:type="dxa" w:w="2280"/>
            <w:tcBorders>
              <w:top w:val="single" w:color="999999" w:sz="4"/>
              <w:left w:val="single" w:color="999999" w:sz="4"/>
              <w:bottom w:val="single" w:color="999999" w:sz="4"/>
              <w:right w:val="single" w:color="999999" w:sz="4"/>
            </w:tcBorders>
            <w:shd w:fill="FFF2CC" w:val="clear"/>
            <w:tcMar>
              <w:top w:type="dxa" w:w="40"/>
              <w:left w:type="dxa" w:w="80"/>
              <w:bottom w:type="dxa" w:w="40"/>
              <w:right w:type="dxa" w:w="80"/>
            </w:tcMar>
          </w:tcPr>
          <w:p>
            <w:r>
              <w:rPr>
                <w:rFonts w:ascii="Arial" w:cs="Arial" w:eastAsia="Arial" w:hAnsi="Arial"/>
                <w:color w:val="7F4F00"/>
                <w:sz w:val="16"/>
                <w:szCs w:val="16"/>
              </w:rPr>
              <w:t xml:space="preserve">CD-001 – Data at rest protection not confirmed for all applications.</w:t>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Information Disclosure</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Data protection in transit</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TLS enforced at infrastructure level.</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r>
              <w:rPr>
                <w:rFonts w:ascii="Arial" w:cs="Arial" w:eastAsia="Arial" w:hAnsi="Arial"/>
                <w:color w:val="000000"/>
                <w:sz w:val="16"/>
                <w:szCs w:val="16"/>
              </w:rPr>
              <w:t xml:space="preserve"/>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Information Disclosure</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Data lifecycle and records management</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Records management policies apply; legacy app compliance not validated.</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r>
              <w:rPr>
                <w:rFonts w:ascii="Arial" w:cs="Arial" w:eastAsia="Arial" w:hAnsi="Arial"/>
                <w:color w:val="000000"/>
                <w:sz w:val="16"/>
                <w:szCs w:val="16"/>
              </w:rPr>
              <w:t xml:space="preserve"/>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Denial of Service</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Availability attacks (infra, app, API)</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Scotiabank infrastructure provides baseline availability protections.</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r>
              <w:rPr>
                <w:rFonts w:ascii="Arial" w:cs="Arial" w:eastAsia="Arial" w:hAnsi="Arial"/>
                <w:color w:val="000000"/>
                <w:sz w:val="16"/>
                <w:szCs w:val="16"/>
              </w:rPr>
              <w:t xml:space="preserve"/>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Denial of Service</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Internet-facing exposure</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Limited internet exposure; most apps are internal.</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r>
              <w:rPr>
                <w:rFonts w:ascii="Arial" w:cs="Arial" w:eastAsia="Arial" w:hAnsi="Arial"/>
                <w:color w:val="000000"/>
                <w:sz w:val="16"/>
                <w:szCs w:val="16"/>
              </w:rPr>
              <w:t xml:space="preserve"/>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Denial of Service</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Resilience, scaling, and failover</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Scotiabank infrastructure provides redundancy during TSA.</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r>
              <w:rPr>
                <w:rFonts w:ascii="Arial" w:cs="Arial" w:eastAsia="Arial" w:hAnsi="Arial"/>
                <w:color w:val="000000"/>
                <w:sz w:val="16"/>
                <w:szCs w:val="16"/>
              </w:rPr>
              <w:t xml:space="preserve"/>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Elevation of Privilege</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Least privilege enforcement</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Least privilege not formally validated for legacy app roles.</w:t>
            </w:r>
          </w:p>
        </w:tc>
        <w:tc>
          <w:tcPr>
            <w:tcW w:type="dxa" w:w="2280"/>
            <w:tcBorders>
              <w:top w:val="single" w:color="999999" w:sz="4"/>
              <w:left w:val="single" w:color="999999" w:sz="4"/>
              <w:bottom w:val="single" w:color="999999" w:sz="4"/>
              <w:right w:val="single" w:color="999999" w:sz="4"/>
            </w:tcBorders>
            <w:shd w:fill="FFF2CC" w:val="clear"/>
            <w:tcMar>
              <w:top w:type="dxa" w:w="40"/>
              <w:left w:type="dxa" w:w="80"/>
              <w:bottom w:type="dxa" w:w="40"/>
              <w:right w:type="dxa" w:w="80"/>
            </w:tcMar>
          </w:tcPr>
          <w:p>
            <w:r>
              <w:rPr>
                <w:rFonts w:ascii="Arial" w:cs="Arial" w:eastAsia="Arial" w:hAnsi="Arial"/>
                <w:color w:val="7F4F00"/>
                <w:sz w:val="16"/>
                <w:szCs w:val="16"/>
              </w:rPr>
              <w:t xml:space="preserve">CD-001 – Privilege validation pending individual TRA per application.</w:t>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Elevation of Privilege</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Role design and entitlement management</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Role management exists; not validated against new corporate standards.</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r>
              <w:rPr>
                <w:rFonts w:ascii="Arial" w:cs="Arial" w:eastAsia="Arial" w:hAnsi="Arial"/>
                <w:color w:val="000000"/>
                <w:sz w:val="16"/>
                <w:szCs w:val="16"/>
              </w:rPr>
              <w:t xml:space="preserve"/>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Elevation of Privilege</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Lateral movement</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Network segmentation exists at Scotiabank infrastructure level.</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r>
              <w:rPr>
                <w:rFonts w:ascii="Arial" w:cs="Arial" w:eastAsia="Arial" w:hAnsi="Arial"/>
                <w:color w:val="000000"/>
                <w:sz w:val="16"/>
                <w:szCs w:val="16"/>
              </w:rPr>
              <w:t xml:space="preserve"/>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General</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Security monitoring and detection</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SIEM monitoring at infrastructure level by Scotiabank.</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r>
              <w:rPr>
                <w:rFonts w:ascii="Arial" w:cs="Arial" w:eastAsia="Arial" w:hAnsi="Arial"/>
                <w:color w:val="000000"/>
                <w:sz w:val="16"/>
                <w:szCs w:val="16"/>
              </w:rPr>
              <w:t xml:space="preserve"/>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General</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Data loss prevention</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Network DLP in place; application-level DLP not confirmed.</w:t>
            </w:r>
          </w:p>
        </w:tc>
        <w:tc>
          <w:tcPr>
            <w:tcW w:type="dxa" w:w="2280"/>
            <w:tcBorders>
              <w:top w:val="single" w:color="999999" w:sz="4"/>
              <w:left w:val="single" w:color="999999" w:sz="4"/>
              <w:bottom w:val="single" w:color="999999" w:sz="4"/>
              <w:right w:val="single" w:color="999999" w:sz="4"/>
            </w:tcBorders>
            <w:shd w:fill="FFF2CC" w:val="clear"/>
            <w:tcMar>
              <w:top w:type="dxa" w:w="40"/>
              <w:left w:type="dxa" w:w="80"/>
              <w:bottom w:type="dxa" w:w="40"/>
              <w:right w:type="dxa" w:w="80"/>
            </w:tcMar>
          </w:tcPr>
          <w:p>
            <w:r>
              <w:rPr>
                <w:rFonts w:ascii="Arial" w:cs="Arial" w:eastAsia="Arial" w:hAnsi="Arial"/>
                <w:color w:val="7F4F00"/>
                <w:sz w:val="16"/>
                <w:szCs w:val="16"/>
              </w:rPr>
              <w:t xml:space="preserve">CD-001</w:t>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General</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Artificial intelligence / model risk</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N/A – No AI/ML components identified in legacy applications.</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r>
              <w:rPr>
                <w:rFonts w:ascii="Arial" w:cs="Arial" w:eastAsia="Arial" w:hAnsi="Arial"/>
                <w:color w:val="000000"/>
                <w:sz w:val="16"/>
                <w:szCs w:val="16"/>
              </w:rPr>
              <w:t xml:space="preserve"/>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General</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System and workload hardening</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Hardening managed under Scotiabank standards during TSA period.</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r>
              <w:rPr>
                <w:rFonts w:ascii="Arial" w:cs="Arial" w:eastAsia="Arial" w:hAnsi="Arial"/>
                <w:color w:val="000000"/>
                <w:sz w:val="16"/>
                <w:szCs w:val="16"/>
              </w:rPr>
              <w:t xml:space="preserve"/>
            </w:r>
          </w:p>
        </w:tc>
      </w:tr>
      <w:tr>
        <w:tc>
          <w:tcPr>
            <w:tcW w:type="dxa" w:w="1800"/>
            <w:tcBorders>
              <w:top w:val="single" w:color="999999" w:sz="4"/>
              <w:left w:val="single" w:color="999999" w:sz="4"/>
              <w:bottom w:val="single" w:color="999999" w:sz="4"/>
              <w:right w:val="single" w:color="999999" w:sz="4"/>
            </w:tcBorders>
            <w:shd w:fill="F2F2F2" w:val="clear"/>
            <w:tcMar>
              <w:top w:type="dxa" w:w="40"/>
              <w:left w:type="dxa" w:w="80"/>
              <w:bottom w:type="dxa" w:w="40"/>
              <w:right w:type="dxa" w:w="80"/>
            </w:tcMar>
          </w:tcPr>
          <w:p>
            <w:r>
              <w:rPr>
                <w:rFonts w:ascii="Arial" w:cs="Arial" w:eastAsia="Arial" w:hAnsi="Arial"/>
                <w:b/>
                <w:bCs/>
                <w:sz w:val="16"/>
                <w:szCs w:val="16"/>
              </w:rPr>
              <w:t xml:space="preserve">General</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Other</w:t>
            </w:r>
          </w:p>
        </w:tc>
        <w:tc>
          <w:tcPr>
            <w:tcW w:type="dxa" w:w="28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6"/>
                <w:szCs w:val="16"/>
              </w:rPr>
              <w:t xml:space="preserve">N/A</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tcPr>
          <w:p>
            <w:r>
              <w:rPr>
                <w:rFonts w:ascii="Arial" w:cs="Arial" w:eastAsia="Arial" w:hAnsi="Arial"/>
                <w:color w:val="000000"/>
                <w:sz w:val="16"/>
                <w:szCs w:val="16"/>
              </w:rPr>
              <w:t xml:space="preserve"/>
            </w:r>
          </w:p>
        </w:tc>
      </w:tr>
    </w:tbl>
    <w:p>
      <w:r>
        <w:br w:type="page"/>
      </w:r>
    </w:p>
    <w:p>
      <w:pPr>
        <w:spacing w:after="100" w:before="200"/>
      </w:pPr>
      <w:r>
        <w:rPr>
          <w:rFonts w:ascii="Arial" w:cs="Arial" w:eastAsia="Arial" w:hAnsi="Arial"/>
          <w:b/>
          <w:bCs/>
          <w:color w:val="404040"/>
          <w:sz w:val="20"/>
          <w:szCs w:val="20"/>
        </w:rPr>
        <w:t xml:space="preserve">Peer Review Record</w:t>
      </w:r>
    </w:p>
    <w:p>
      <w:pPr>
        <w:spacing w:after="80"/>
      </w:pPr>
      <w:r>
        <w:rPr>
          <w:rFonts w:ascii="Arial" w:cs="Arial" w:eastAsia="Arial" w:hAnsi="Arial"/>
          <w:i w:val="false"/>
          <w:iCs w:val="false"/>
          <w:sz w:val="18"/>
          <w:szCs w:val="18"/>
        </w:rPr>
        <w:t xml:space="preserve">This section documents the key observations, questions, and recommendations identified during the Security Advisory peer review process. The table below identifies the reviewer, the issue or question raised, and the associated response or clarification, where applicable.</w:t>
      </w:r>
    </w:p>
    <w:p>
      <w:pPr>
        <w:spacing w:after="80"/>
      </w:pPr>
      <w:r>
        <w:rPr>
          <w:rFonts w:ascii="Arial" w:cs="Arial" w:eastAsia="Arial" w:hAnsi="Arial"/>
          <w:i/>
          <w:iCs/>
          <w:sz w:val="18"/>
          <w:szCs w:val="18"/>
        </w:rPr>
        <w:t xml:space="preserve">THIS SECTION TO BE COMPLETED BY ADVISORY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Reviewer</w:t>
            </w:r>
          </w:p>
        </w:tc>
        <w:tc>
          <w:tcPr>
            <w:tcW w:type="dxa" w:w="3120"/>
            <w:gridSpan w:val="1"/>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Question / Observation</w:t>
            </w:r>
          </w:p>
        </w:tc>
        <w:tc>
          <w:tcPr>
            <w:tcW w:type="dxa" w:w="3120"/>
            <w:gridSpan w:val="1"/>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Response / Clarification (If Applicable)</w:t>
            </w:r>
          </w:p>
        </w:tc>
      </w:tr>
      <w:tr>
        <w:tc>
          <w:tcPr>
            <w:tcW w:type="dxa" w:w="312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
            </w:r>
          </w:p>
        </w:tc>
        <w:tc>
          <w:tcPr>
            <w:tcW w:type="dxa" w:w="312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
            </w:r>
          </w:p>
        </w:tc>
        <w:tc>
          <w:tcPr>
            <w:tcW w:type="dxa" w:w="312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
            </w:r>
          </w:p>
        </w:tc>
      </w:tr>
      <w:tr>
        <w:tc>
          <w:tcPr>
            <w:tcW w:type="dxa" w:w="312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
            </w:r>
          </w:p>
        </w:tc>
        <w:tc>
          <w:tcPr>
            <w:tcW w:type="dxa" w:w="312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
            </w:r>
          </w:p>
        </w:tc>
        <w:tc>
          <w:tcPr>
            <w:tcW w:type="dxa" w:w="3120"/>
            <w:gridSpan w:val="1"/>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Arial" w:cs="Arial" w:eastAsia="Arial" w:hAnsi="Arial"/>
                <w:i w:val="false"/>
                <w:iCs w:val="false"/>
                <w:sz w:val="18"/>
                <w:szCs w:val="18"/>
              </w:rPr>
              <w:t xml:space="preserve"/>
            </w:r>
          </w:p>
        </w:tc>
      </w:tr>
    </w:tbl>
    <w:p>
      <w:pPr>
        <w:spacing w:after="80"/>
      </w:pPr>
      <w:r>
        <w:t xml:space="preserve"/>
      </w:r>
    </w:p>
    <w:p>
      <w:pPr>
        <w:spacing w:after="80"/>
      </w:pPr>
      <w:r>
        <w:rPr>
          <w:rFonts w:ascii="Arial" w:cs="Arial" w:eastAsia="Arial" w:hAnsi="Arial"/>
          <w:i/>
          <w:iCs/>
          <w:sz w:val="18"/>
          <w:szCs w:val="18"/>
        </w:rPr>
        <w:t xml:space="preserve">*Note: Items documented here are not required to result in risks or action plans unless formally captured elsewhere in this assessment</w:t>
      </w:r>
    </w:p>
    <w:p>
      <w:pPr>
        <w:spacing w:after="80"/>
      </w:pPr>
      <w:r>
        <w:t xml:space="preserve"/>
      </w:r>
    </w:p>
    <w:p>
      <w:pPr>
        <w:spacing w:after="100" w:before="200"/>
      </w:pPr>
      <w:r>
        <w:rPr>
          <w:rFonts w:ascii="Arial" w:cs="Arial" w:eastAsia="Arial" w:hAnsi="Arial"/>
          <w:b/>
          <w:bCs/>
          <w:color w:val="404040"/>
          <w:sz w:val="20"/>
          <w:szCs w:val="20"/>
        </w:rPr>
        <w:t xml:space="preserve">Closure Evidence Examples:</w:t>
      </w:r>
    </w:p>
    <w:p>
      <w:pPr>
        <w:pStyle w:val="ListParagraph"/>
        <w:numPr>
          <w:ilvl w:val="0"/>
          <w:numId w:val="2"/>
        </w:numPr>
      </w:pPr>
      <w:r>
        <w:rPr>
          <w:rFonts w:ascii="Arial" w:cs="Arial" w:eastAsia="Arial" w:hAnsi="Arial"/>
          <w:sz w:val="18"/>
          <w:szCs w:val="18"/>
        </w:rPr>
        <w:t xml:space="preserve">Officially approved documents such as procedures, guidelines and playbooks.</w:t>
      </w:r>
    </w:p>
    <w:p>
      <w:pPr>
        <w:pStyle w:val="ListParagraph"/>
        <w:numPr>
          <w:ilvl w:val="0"/>
          <w:numId w:val="2"/>
        </w:numPr>
      </w:pPr>
      <w:r>
        <w:rPr>
          <w:rFonts w:ascii="Arial" w:cs="Arial" w:eastAsia="Arial" w:hAnsi="Arial"/>
          <w:sz w:val="18"/>
          <w:szCs w:val="18"/>
        </w:rPr>
        <w:t xml:space="preserve">Configuration screenshots.</w:t>
      </w:r>
    </w:p>
    <w:p>
      <w:pPr>
        <w:pStyle w:val="ListParagraph"/>
        <w:numPr>
          <w:ilvl w:val="0"/>
          <w:numId w:val="2"/>
        </w:numPr>
      </w:pPr>
      <w:r>
        <w:rPr>
          <w:rFonts w:ascii="Arial" w:cs="Arial" w:eastAsia="Arial" w:hAnsi="Arial"/>
          <w:sz w:val="18"/>
          <w:szCs w:val="18"/>
        </w:rPr>
        <w:t xml:space="preserve">Scan reports.</w:t>
      </w:r>
    </w:p>
    <w:p>
      <w:pPr>
        <w:pStyle w:val="ListParagraph"/>
        <w:numPr>
          <w:ilvl w:val="0"/>
          <w:numId w:val="2"/>
        </w:numPr>
      </w:pPr>
      <w:r>
        <w:rPr>
          <w:rFonts w:ascii="Arial" w:cs="Arial" w:eastAsia="Arial" w:hAnsi="Arial"/>
          <w:sz w:val="18"/>
          <w:szCs w:val="18"/>
        </w:rPr>
        <w:t xml:space="preserve">APM profile screenshots confirming specific details of the evaluated applications.</w:t>
      </w:r>
    </w:p>
    <w:p>
      <w:pPr>
        <w:pStyle w:val="ListParagraph"/>
        <w:numPr>
          <w:ilvl w:val="0"/>
          <w:numId w:val="2"/>
        </w:numPr>
      </w:pPr>
      <w:r>
        <w:rPr>
          <w:rFonts w:ascii="Arial" w:cs="Arial" w:eastAsia="Arial" w:hAnsi="Arial"/>
          <w:sz w:val="18"/>
          <w:szCs w:val="18"/>
        </w:rPr>
        <w:t xml:space="preserve">ESLM dashboard screenshots.</w:t>
      </w:r>
    </w:p>
    <w:p>
      <w:pPr>
        <w:pStyle w:val="ListParagraph"/>
        <w:numPr>
          <w:ilvl w:val="0"/>
          <w:numId w:val="2"/>
        </w:numPr>
      </w:pPr>
      <w:r>
        <w:rPr>
          <w:rFonts w:ascii="Arial" w:cs="Arial" w:eastAsia="Arial" w:hAnsi="Arial"/>
          <w:sz w:val="18"/>
          <w:szCs w:val="18"/>
        </w:rPr>
        <w:t xml:space="preserve">LAM intake numbers.</w:t>
      </w:r>
    </w:p>
    <w:p>
      <w:pPr>
        <w:pStyle w:val="ListParagraph"/>
        <w:numPr>
          <w:ilvl w:val="0"/>
          <w:numId w:val="2"/>
        </w:numPr>
      </w:pPr>
      <w:r>
        <w:rPr>
          <w:rFonts w:ascii="Arial" w:cs="Arial" w:eastAsia="Arial" w:hAnsi="Arial"/>
          <w:sz w:val="18"/>
          <w:szCs w:val="18"/>
        </w:rPr>
        <w:t xml:space="preserve">LAM dashboard screenshots.</w:t>
      </w:r>
    </w:p>
    <w:p>
      <w:pPr>
        <w:spacing w:after="80"/>
      </w:pPr>
      <w:r>
        <w:t xml:space="preserve"/>
      </w:r>
    </w:p>
    <w:p>
      <w:r>
        <w:rPr>
          <w:rFonts w:ascii="Arial" w:cs="Arial" w:eastAsia="Arial" w:hAnsi="Arial"/>
          <w:b/>
          <w:bCs/>
          <w:sz w:val="18"/>
          <w:szCs w:val="18"/>
        </w:rPr>
        <w:t xml:space="preserve">The Sign-off of this assessment will be provided via SNOW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left"/>
    </w:pPr>
    <w:r>
      <w:rPr>
        <w:rFonts w:ascii="Arial" w:cs="Arial" w:eastAsia="Arial" w:hAnsi="Arial"/>
        <w:color w:val="666666"/>
        <w:sz w:val="16"/>
        <w:szCs w:val="16"/>
      </w:rPr>
      <w:t xml:space="preserve">Crediscotia Legacy Applications (Santander Consumer)     Template Version 2.0 Date: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jc w:val="center"/>
    </w:pPr>
    <w:r>
      <w:rPr>
        <w:rFonts w:ascii="Arial" w:cs="Arial" w:eastAsia="Arial" w:hAnsi="Arial"/>
        <w:b/>
        <w:bCs/>
        <w:color w:val="2E75B6"/>
        <w:sz w:val="24"/>
        <w:szCs w:val="24"/>
      </w:rPr>
      <w:t xml:space="preserve">Threat Risk Assessment (TRA)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2026-06-17T19:07:12.368Z</dcterms:created>
  <dcterms:modified xsi:type="dcterms:W3CDTF">2026-06-17T19:07:12.368Z</dcterms:modified>
</cp:coreProperties>
</file>

<file path=docProps/custom.xml><?xml version="1.0" encoding="utf-8"?>
<Properties xmlns="http://schemas.openxmlformats.org/officeDocument/2006/custom-properties" xmlns:vt="http://schemas.openxmlformats.org/officeDocument/2006/docPropsVTypes"/>
</file>