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1F3864"/>
          <w:sz w:val="32"/>
          <w:szCs w:val="32"/>
        </w:rPr>
        <w:t xml:space="preserve">Threat Risk Assessment (TRA)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1500"/>
        <w:gridCol w:w="1680"/>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Application Name and Type:</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Scotia Correo - CSF (Email/FTP/SFTP Application)</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Region/Country:</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Peru</w:t>
            </w:r>
          </w:p>
        </w:tc>
      </w:tr>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TRA ID (SAMS Ticket):</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SAMS0024991</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APM ID:</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BBF3</w:t>
            </w:r>
          </w:p>
        </w:tc>
      </w:tr>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Information System Owner:</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&lt;ISO Name&gt;, &lt;ISO Title&gt;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Date:</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June 2026</w:t>
            </w:r>
          </w:p>
        </w:tc>
      </w:tr>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Security Advisor:</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&lt;Name of Advisor&gt;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Advisory Team:</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&lt;Team&gt;</w:t>
            </w:r>
          </w:p>
        </w:tc>
      </w:tr>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Asset Tier:</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&lt;Asset Tier&gt;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VSR #:</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&lt;VSR&gt;</w:t>
            </w:r>
          </w:p>
        </w:tc>
      </w:tr>
    </w:tbl>
    <w:p>
      <w:pPr>
        <w:spacing w:after="0" w:before="200"/>
      </w:pPr>
    </w:p>
    <w:p>
      <w:pPr>
        <w:spacing w:after="40" w:before="160"/>
      </w:pPr>
      <w:r>
        <w:rPr>
          <w:rFonts w:ascii="Arial" w:cs="Arial" w:eastAsia="Arial" w:hAnsi="Arial"/>
          <w:b/>
          <w:bCs/>
          <w:color w:val="000000"/>
          <w:sz w:val="20"/>
          <w:szCs w:val="20"/>
        </w:rPr>
        <w:t xml:space="preserve">Background</w:t>
      </w:r>
    </w:p>
    <w:p>
      <w:pPr>
        <w:spacing w:after="40" w:before="0"/>
      </w:pPr>
      <w:r>
        <w:rPr>
          <w:rFonts w:ascii="Arial" w:cs="Arial" w:eastAsia="Arial" w:hAnsi="Arial"/>
          <w:b/>
          <w:bCs/>
          <w:color w:val="000000"/>
          <w:sz w:val="20"/>
          <w:szCs w:val="20"/>
        </w:rPr>
        <w:t xml:space="preserve">What does this system or service provide?</w:t>
      </w:r>
    </w:p>
    <w:p>
      <w:pPr>
        <w:spacing w:after="40" w:before="0"/>
      </w:pPr>
      <w:r>
        <w:rPr>
          <w:rFonts w:ascii="Arial" w:cs="Arial" w:eastAsia="Arial" w:hAnsi="Arial"/>
          <w:i/>
          <w:iCs/>
          <w:color w:val="404040"/>
          <w:sz w:val="18"/>
          <w:szCs w:val="18"/>
        </w:rPr>
        <w:t xml:space="preserve">(To be described should be one small paragraph).</w:t>
      </w:r>
    </w:p>
    <w:p>
      <w:pPr>
        <w:spacing w:after="160" w:before="0"/>
      </w:pPr>
      <w:r>
        <w:rPr>
          <w:rFonts w:ascii="Arial" w:cs="Arial" w:eastAsia="Arial" w:hAnsi="Arial"/>
          <w:color w:val="000000"/>
          <w:sz w:val="20"/>
          <w:szCs w:val="20"/>
        </w:rPr>
        <w:t xml:space="preserve">The Scotia Correo - CSF system is an application that enables the automated sending of files via email, FTP, and SFTP to both internal and external clients. It operates through the mailbox crediscotiacorreo@crediscotia.com.pe, which holds an active DLP exemption for sending attachments. The system serves critical business processes including Telebanking (B3QW), Collections/Recaudaciones (BBKY), and Electronic Factoring (B3TD). As part of the Transition Service Agreement (TSA), this mailbox has been identified for decommissioning upon conclusion of the transition period.</w:t>
      </w:r>
    </w:p>
    <w:p>
      <w:pPr>
        <w:spacing w:after="80" w:before="160"/>
      </w:pPr>
      <w:r>
        <w:rPr>
          <w:rFonts w:ascii="Arial" w:cs="Arial" w:eastAsia="Arial" w:hAnsi="Arial"/>
          <w:b/>
          <w:bCs/>
          <w:color w:val="000000"/>
          <w:sz w:val="20"/>
          <w:szCs w:val="20"/>
        </w:rPr>
        <w:t xml:space="preserve">Assessment(s) completed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LAST TRA</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DATE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TRA-####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&lt;Date&gt;</w:t>
            </w:r>
          </w:p>
        </w:tc>
      </w:tr>
    </w:tbl>
    <w:p>
      <w:pPr>
        <w:spacing w:after="0" w:before="160"/>
      </w:pPr>
    </w:p>
    <w:p>
      <w:pPr>
        <w:spacing w:after="40" w:before="160"/>
      </w:pPr>
      <w:r>
        <w:rPr>
          <w:rFonts w:ascii="Arial" w:cs="Arial" w:eastAsia="Arial" w:hAnsi="Arial"/>
          <w:b/>
          <w:bCs/>
          <w:color w:val="000000"/>
          <w:sz w:val="20"/>
          <w:szCs w:val="20"/>
        </w:rPr>
        <w:t xml:space="preserve">Executive Summary</w:t>
      </w:r>
    </w:p>
    <w:p>
      <w:pPr>
        <w:spacing w:after="40" w:before="0"/>
      </w:pPr>
      <w:r>
        <w:rPr>
          <w:rFonts w:ascii="Arial" w:cs="Arial" w:eastAsia="Arial" w:hAnsi="Arial"/>
          <w:i/>
          <w:iCs/>
          <w:color w:val="404040"/>
          <w:sz w:val="18"/>
          <w:szCs w:val="18"/>
        </w:rPr>
        <w:t xml:space="preserve">&lt;Purpose of the TRA and summary of the Control Deficiencies. This should be no longer than 5 sentences.&gt;</w:t>
      </w:r>
    </w:p>
    <w:p>
      <w:pPr>
        <w:spacing w:after="200" w:before="0"/>
      </w:pPr>
      <w:r>
        <w:rPr>
          <w:rFonts w:ascii="Arial" w:cs="Arial" w:eastAsia="Arial" w:hAnsi="Arial"/>
          <w:color w:val="000000"/>
          <w:sz w:val="20"/>
          <w:szCs w:val="20"/>
        </w:rPr>
        <w:t xml:space="preserve">This TRA evaluates the security risks associated with the planned decommissioning of the Scotia Correo - CSF (BBF3) automated mailbox crediscotiacorreo@crediscotia.com.pe upon conclusion of the Transition Service Agreement (TSA). The mailbox currently operates with an active DLP exemption and serves as the central dispatch point for file delivery to clients across Telebanking, Collections, and Electronic Factoring. The primary control deficiency identified is the absence of DLP security validation over outbound transmissions, combined with the risk of service disruption if the decommissioning is not properly coordinated. The overall residual risk is rated Medium, pending execution of the action plan tied to TSA closure.</w:t>
      </w:r>
    </w:p>
    <w:p>
      <w:pPr>
        <w:spacing w:after="80" w:before="160"/>
      </w:pPr>
      <w:r>
        <w:rPr>
          <w:rFonts w:ascii="Arial" w:cs="Arial" w:eastAsia="Arial" w:hAnsi="Arial"/>
          <w:b/>
          <w:bCs/>
          <w:color w:val="000000"/>
          <w:sz w:val="20"/>
          <w:szCs w:val="20"/>
        </w:rPr>
        <w:t xml:space="preserve">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Confidentiality</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Integrity</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Availability</w:t>
            </w:r>
          </w:p>
        </w:tc>
        <w:tc>
          <w:tcPr>
            <w:tcW w:type="dxa" w:w="2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Continuity</w:t>
            </w:r>
          </w:p>
        </w:tc>
      </w:tr>
      <w:tr>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18"/>
                <w:szCs w:val="18"/>
              </w:rPr>
              <w:t xml:space="preserve">Confidential</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18"/>
                <w:szCs w:val="18"/>
              </w:rPr>
              <w:t xml:space="preserve">Highly Valuable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18"/>
                <w:szCs w:val="18"/>
              </w:rPr>
              <w:t xml:space="preserve">High</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18"/>
                <w:szCs w:val="18"/>
              </w:rPr>
              <w:t xml:space="preserve">High</w:t>
            </w:r>
          </w:p>
        </w:tc>
      </w:tr>
    </w:tbl>
    <w:p>
      <w:pPr>
        <w:spacing w:after="0" w:before="160"/>
      </w:pPr>
    </w:p>
    <w:p>
      <w:pPr>
        <w:spacing w:after="40" w:before="160"/>
      </w:pPr>
      <w:r>
        <w:rPr>
          <w:rFonts w:ascii="Arial" w:cs="Arial" w:eastAsia="Arial" w:hAnsi="Arial"/>
          <w:b/>
          <w:bCs/>
          <w:color w:val="000000"/>
          <w:sz w:val="20"/>
          <w:szCs w:val="20"/>
        </w:rPr>
        <w:t xml:space="preserve">Data Element</w:t>
      </w:r>
    </w:p>
    <w:p>
      <w:pPr>
        <w:spacing w:after="120" w:before="0"/>
      </w:pPr>
      <w:r>
        <w:rPr>
          <w:rFonts w:ascii="Arial" w:cs="Arial" w:eastAsia="Arial" w:hAnsi="Arial"/>
          <w:color w:val="000000"/>
          <w:sz w:val="20"/>
          <w:szCs w:val="20"/>
        </w:rPr>
        <w:t xml:space="preserve">This system contains SPIRSH data, including: Company name / Client name, Account number, Client email, and Payment schedule.</w:t>
      </w:r>
    </w:p>
    <w:p>
      <w:pPr>
        <w:spacing w:after="40" w:before="120"/>
      </w:pPr>
      <w:r>
        <w:rPr>
          <w:rFonts w:ascii="Arial" w:cs="Arial" w:eastAsia="Arial" w:hAnsi="Arial"/>
          <w:b/>
          <w:bCs/>
          <w:color w:val="000000"/>
          <w:sz w:val="20"/>
          <w:szCs w:val="20"/>
        </w:rPr>
        <w:t xml:space="preserve">In Scope</w:t>
      </w:r>
    </w:p>
    <w:p>
      <w:pPr>
        <w:spacing w:after="40" w:before="0"/>
      </w:pPr>
      <w:r>
        <w:rPr>
          <w:rFonts w:ascii="Arial" w:cs="Arial" w:eastAsia="Arial" w:hAnsi="Arial"/>
          <w:i/>
          <w:iCs/>
          <w:color w:val="404040"/>
          <w:sz w:val="18"/>
          <w:szCs w:val="18"/>
        </w:rPr>
        <w:t xml:space="preserve">(Briefly describe what is in the scope of this assessment)</w:t>
      </w:r>
    </w:p>
    <w:p>
      <w:pPr>
        <w:spacing w:after="200" w:before="0"/>
      </w:pPr>
      <w:r>
        <w:rPr>
          <w:rFonts w:ascii="Arial" w:cs="Arial" w:eastAsia="Arial" w:hAnsi="Arial"/>
          <w:color w:val="000000"/>
          <w:sz w:val="20"/>
          <w:szCs w:val="20"/>
        </w:rPr>
        <w:t xml:space="preserve">This assessment covers the decommissioning of the automated mailbox crediscotiacorreo@crediscotia.com.pe used by the Scotia Correo - CSF application (BBF3), including the revocation of its active DLP exemption, the preservation of historical OUTBOX and LOG records, and the coordination of mailbox closure with the TSA transition timeline and the ongoing Software Currency migration of associated servers (SPLA-WFTP2, SPLA-WCFS3).</w:t>
      </w:r>
    </w:p>
    <w:p>
      <w:r>
        <w:br w:type="page"/>
      </w:r>
    </w:p>
    <w:p>
      <w:pPr>
        <w:spacing w:after="300" w:before="0"/>
        <w:jc w:val="center"/>
      </w:pPr>
      <w:r>
        <w:rPr>
          <w:rFonts w:ascii="Arial" w:cs="Arial" w:eastAsia="Arial" w:hAnsi="Arial"/>
          <w:b/>
          <w:bCs/>
          <w:color w:val="1F3864"/>
          <w:sz w:val="32"/>
          <w:szCs w:val="32"/>
        </w:rPr>
        <w:t xml:space="preserve">Threat Risk Assessment (TRA) Template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000000" w:sz="4"/>
              <w:left w:val="single" w:color="000000" w:sz="4"/>
              <w:bottom w:val="single" w:color="000000" w:sz="4"/>
              <w:right w:val="single" w:color="000000" w:sz="4"/>
            </w:tcBorders>
            <w:shd w:fill="2E75B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Overall Risk Rating</w:t>
            </w:r>
          </w:p>
        </w:tc>
      </w:tr>
      <w:tr>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3 - Medium</w:t>
            </w:r>
          </w:p>
        </w:tc>
      </w:tr>
    </w:tbl>
    <w:p>
      <w:pPr>
        <w:spacing w:after="160" w:before="80"/>
      </w:pPr>
      <w:r>
        <w:rPr>
          <w:rFonts w:ascii="Arial" w:cs="Arial" w:eastAsia="Arial" w:hAnsi="Arial"/>
          <w:i/>
          <w:iCs/>
          <w:color w:val="404040"/>
          <w:sz w:val="18"/>
          <w:szCs w:val="18"/>
        </w:rPr>
        <w:t xml:space="preserve">*Overall risk rating must reflect the highest individual residual risk rating identified</w:t>
      </w:r>
    </w:p>
    <w:p>
      <w:pPr>
        <w:spacing w:after="40" w:before="120"/>
      </w:pPr>
      <w:r>
        <w:rPr>
          <w:rFonts w:ascii="Arial" w:cs="Arial" w:eastAsia="Arial" w:hAnsi="Arial"/>
          <w:b/>
          <w:bCs/>
          <w:color w:val="000000"/>
          <w:sz w:val="20"/>
          <w:szCs w:val="20"/>
        </w:rPr>
        <w:t xml:space="preserve">Risk Statement:</w:t>
      </w:r>
    </w:p>
    <w:p>
      <w:pPr>
        <w:spacing w:after="200" w:before="0"/>
      </w:pPr>
      <w:r>
        <w:rPr>
          <w:rFonts w:ascii="Arial" w:cs="Arial" w:eastAsia="Arial" w:hAnsi="Arial"/>
          <w:color w:val="000000"/>
          <w:sz w:val="20"/>
          <w:szCs w:val="20"/>
        </w:rPr>
        <w:t xml:space="preserve">The overall risk of this assessment is rated as Medium. The residual risk rating is assessed as Medium based on the completion of risk assessment activities, given that the system handles confidential data with highly valuable integrity, high availability, and high continuity requirements, which exposes the organization to risks related to the lack of DLP security controls over outbound transmissions through the crediscotiacorreo@crediscotia.com.pe mailbox and potential service disruption for critical business processes (Telebanking, Collections, and Electronic Factoring) if the mailbox decommissioning at the conclusion of the TSA period is not properly coordinated, both of which could result in unauthorized disclosure of confidential financial information, uncontrolled data leakage prior to closure, or interruption of automated file delivery to internal and external clients.</w:t>
      </w:r>
    </w:p>
    <w:p>
      <w:pPr>
        <w:spacing w:after="40" w:before="160"/>
      </w:pPr>
      <w:r>
        <w:rPr>
          <w:rFonts w:ascii="Arial" w:cs="Arial" w:eastAsia="Arial" w:hAnsi="Arial"/>
          <w:b/>
          <w:bCs/>
          <w:color w:val="000000"/>
          <w:sz w:val="20"/>
          <w:szCs w:val="20"/>
        </w:rPr>
        <w:t xml:space="preserve">Assumptions</w:t>
      </w:r>
    </w:p>
    <w:p>
      <w:pPr>
        <w:spacing w:after="40" w:before="0"/>
      </w:pPr>
      <w:r>
        <w:rPr>
          <w:rFonts w:ascii="Arial" w:cs="Arial" w:eastAsia="Arial" w:hAnsi="Arial"/>
          <w:i/>
          <w:iCs/>
          <w:color w:val="404040"/>
          <w:sz w:val="18"/>
          <w:szCs w:val="18"/>
        </w:rPr>
        <w:t xml:space="preserve">(Describe as necessary.)</w:t>
      </w:r>
    </w:p>
    <w:p>
      <w:pPr>
        <w:spacing w:after="200" w:before="0"/>
      </w:pPr>
      <w:r>
        <w:rPr>
          <w:rFonts w:ascii="Arial" w:cs="Arial" w:eastAsia="Arial" w:hAnsi="Arial"/>
          <w:color w:val="000000"/>
          <w:sz w:val="20"/>
          <w:szCs w:val="20"/>
        </w:rPr>
        <w:t xml:space="preserve">The mailbox decommissioning will be executed upon formal conclusion of the TSA period. The DLP exemption currently active on this mailbox will be formally revoked as part of the closure process. Historical records in the OUTBOX and LOG folders will be preserved or migrated prior to decommissioning. The associated servers (SPLA-WFTP2, SPLA-WCFS3) will complete their Software Currency migration in alignment with the TSA closure timeline.</w:t>
      </w:r>
    </w:p>
    <w:p>
      <w:pPr>
        <w:pBdr>
          <w:bottom w:val="single" w:color="000000" w:sz="6" w:space="1"/>
        </w:pBdr>
        <w:spacing w:after="0" w:before="160"/>
      </w:pPr>
      <w:r>
        <w:rPr>
          <w:rFonts w:ascii="Arial" w:cs="Arial" w:eastAsia="Arial" w:hAnsi="Arial"/>
          <w:color w:val="000000"/>
          <w:sz w:val="18"/>
          <w:szCs w:val="18"/>
        </w:rPr>
        <w:t xml:space="preserve">Note: Should anything change relative to the data or mitigating controls impacting the residual risk, this threat/risk assessment must be revisited.</w:t>
      </w:r>
    </w:p>
    <w:p>
      <w:r>
        <w:br w:type="page"/>
      </w:r>
    </w:p>
    <w:p>
      <w:pPr>
        <w:spacing w:after="200" w:before="0"/>
        <w:jc w:val="center"/>
      </w:pPr>
      <w:r>
        <w:rPr>
          <w:rFonts w:ascii="Arial" w:cs="Arial" w:eastAsia="Arial" w:hAnsi="Arial"/>
          <w:b/>
          <w:bCs/>
          <w:color w:val="1F3864"/>
          <w:sz w:val="32"/>
          <w:szCs w:val="32"/>
        </w:rPr>
        <w:t xml:space="preserve">Threat Risk Assessment (TRA) Template</w:t>
      </w:r>
    </w:p>
    <w:p>
      <w:pPr>
        <w:spacing w:after="200" w:before="0"/>
      </w:pPr>
      <w:r>
        <w:rPr>
          <w:rFonts w:ascii="Arial" w:cs="Arial" w:eastAsia="Arial" w:hAnsi="Arial"/>
          <w:b/>
          <w:bCs/>
          <w:color w:val="000000"/>
          <w:sz w:val="20"/>
          <w:szCs w:val="20"/>
        </w:rPr>
        <w:t xml:space="preserve">MISSING OR DEFICIENT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Control Defect #</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1</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Title</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Lack of DLP Controls on Scotia Correo - CSF Automated Mailbox Pending TSA Decommissioning</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Threat Category</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Information Disclosure / Data Loss Prevention</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Control Taxonomy</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Data Loss Prevention</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Standards Impacted</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Data Protection Policy, DLP Standard, Email Security Standard</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Control Deficiency</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The automated mailbox crediscotiacorreo@crediscotia.com.pe currently operates with an active DLP exemption, meaning the bank's security tools do not validate or review data before transmission. This results in a lack of control over confidential information being sent to external clients. The mailbox is dedicated to a third-party entity (Crediscotia) and does not interact with Scotiabank systems directly; however, the absence of DLP monitoring represents a deficient control posture that must be formally closed upon TSA decommissioning.</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Inherent Risk:</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8"/>
                <w:szCs w:val="18"/>
              </w:rPr>
              <w:t xml:space="preserve">Impact: </w:t>
            </w:r>
            <w:r>
              <w:rPr>
                <w:rFonts w:ascii="Arial" w:cs="Arial" w:eastAsia="Arial" w:hAnsi="Arial"/>
                <w:color w:val="000000"/>
                <w:sz w:val="18"/>
                <w:szCs w:val="18"/>
              </w:rPr>
              <w:t xml:space="preserve">High</w:t>
            </w:r>
          </w:p>
          <w:p>
            <w:r>
              <w:rPr>
                <w:rFonts w:ascii="Arial" w:cs="Arial" w:eastAsia="Arial" w:hAnsi="Arial"/>
                <w:b/>
                <w:bCs/>
                <w:color w:val="000000"/>
                <w:sz w:val="18"/>
                <w:szCs w:val="18"/>
              </w:rPr>
              <w:t xml:space="preserve">Likelihood: </w:t>
            </w:r>
            <w:r>
              <w:rPr>
                <w:rFonts w:ascii="Arial" w:cs="Arial" w:eastAsia="Arial" w:hAnsi="Arial"/>
                <w:color w:val="000000"/>
                <w:sz w:val="18"/>
                <w:szCs w:val="18"/>
              </w:rPr>
              <w:t xml:space="preserve">High</w:t>
            </w:r>
          </w:p>
          <w:p>
            <w:r>
              <w:rPr>
                <w:rFonts w:ascii="Arial" w:cs="Arial" w:eastAsia="Arial" w:hAnsi="Arial"/>
                <w:b/>
                <w:bCs/>
                <w:color w:val="000000"/>
                <w:sz w:val="18"/>
                <w:szCs w:val="18"/>
              </w:rPr>
              <w:t xml:space="preserve">Inherent Rating: </w:t>
            </w:r>
            <w:r>
              <w:rPr>
                <w:rFonts w:ascii="Arial" w:cs="Arial" w:eastAsia="Arial" w:hAnsi="Arial"/>
                <w:b/>
                <w:bCs/>
                <w:color w:val="000000"/>
                <w:sz w:val="18"/>
                <w:szCs w:val="18"/>
              </w:rPr>
              <w:t xml:space="preserve">High</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Risk Description</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A potential data leak or loss is suspected due to a lack of DLP security controls on the crediscotiacorreo@crediscotia.com.pe mailbox. The bank's security tools do not validate or review data before it is sent, resulting in a lack of control over confidential financial information being transmitted to external clients.</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Existing Mitigating / Compensating Controls</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 The mailbox is for the dedicated use of a third-party entity and does not impact or involve Scotiabank bank information.</w:t>
            </w:r>
          </w:p>
          <w:p>
            <w:r>
              <w:rPr>
                <w:rFonts w:ascii="Arial" w:cs="Arial" w:eastAsia="Arial" w:hAnsi="Arial"/>
                <w:color w:val="000000"/>
                <w:sz w:val="18"/>
                <w:szCs w:val="18"/>
              </w:rPr>
              <w:t xml:space="preserve">- Mailbox with restricted access for authorized users only.</w:t>
            </w:r>
          </w:p>
          <w:p>
            <w:r>
              <w:rPr>
                <w:rFonts w:ascii="Arial" w:cs="Arial" w:eastAsia="Arial" w:hAnsi="Arial"/>
                <w:color w:val="000000"/>
                <w:sz w:val="18"/>
                <w:szCs w:val="18"/>
              </w:rPr>
              <w:t xml:space="preserve">- Exclusive mailbox for use with the Scotia Correo - CSF application.</w:t>
            </w:r>
          </w:p>
          <w:p>
            <w:r>
              <w:rPr>
                <w:rFonts w:ascii="Arial" w:cs="Arial" w:eastAsia="Arial" w:hAnsi="Arial"/>
                <w:color w:val="000000"/>
                <w:sz w:val="18"/>
                <w:szCs w:val="18"/>
              </w:rPr>
              <w:t xml:space="preserve">- LOG folder on file server records all submission operations for auditability.</w:t>
            </w:r>
          </w:p>
        </w:tc>
      </w:tr>
      <w:tr>
        <w:tc>
          <w:tcPr>
            <w:tcW w:type="dxa" w:w="2500"/>
            <w:tcBorders>
              <w:top w:val="single" w:color="000000" w:sz="4"/>
              <w:left w:val="single" w:color="000000" w:sz="4"/>
              <w:bottom w:val="single" w:color="000000" w:sz="4"/>
              <w:right w:val="single" w:color="000000" w:sz="4"/>
            </w:tcBorders>
            <w:shd w:fill="FF0000" w:val="clear"/>
            <w:tcMar>
              <w:top w:type="dxa" w:w="60"/>
              <w:left w:type="dxa" w:w="100"/>
              <w:bottom w:type="dxa" w:w="60"/>
              <w:right w:type="dxa" w:w="100"/>
            </w:tcMar>
          </w:tcPr>
          <w:p>
            <w:r>
              <w:rPr>
                <w:rFonts w:ascii="Arial" w:cs="Arial" w:eastAsia="Arial" w:hAnsi="Arial"/>
                <w:b/>
                <w:bCs/>
                <w:color w:val="FFFFFF"/>
                <w:sz w:val="18"/>
                <w:szCs w:val="18"/>
              </w:rPr>
              <w:t xml:space="preserve">Residual Rating</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8"/>
                <w:szCs w:val="18"/>
              </w:rPr>
              <w:t xml:space="preserve">Impact: </w:t>
            </w:r>
            <w:r>
              <w:rPr>
                <w:rFonts w:ascii="Arial" w:cs="Arial" w:eastAsia="Arial" w:hAnsi="Arial"/>
                <w:color w:val="000000"/>
                <w:sz w:val="18"/>
                <w:szCs w:val="18"/>
              </w:rPr>
              <w:t xml:space="preserve">High</w:t>
            </w:r>
          </w:p>
          <w:p>
            <w:r>
              <w:rPr>
                <w:rFonts w:ascii="Arial" w:cs="Arial" w:eastAsia="Arial" w:hAnsi="Arial"/>
                <w:b/>
                <w:bCs/>
                <w:color w:val="000000"/>
                <w:sz w:val="18"/>
                <w:szCs w:val="18"/>
              </w:rPr>
              <w:t xml:space="preserve">Likelihood: </w:t>
            </w:r>
            <w:r>
              <w:rPr>
                <w:rFonts w:ascii="Arial" w:cs="Arial" w:eastAsia="Arial" w:hAnsi="Arial"/>
                <w:color w:val="000000"/>
                <w:sz w:val="18"/>
                <w:szCs w:val="18"/>
              </w:rPr>
              <w:t xml:space="preserve">Medium - Low</w:t>
            </w:r>
          </w:p>
          <w:p>
            <w:r>
              <w:rPr>
                <w:rFonts w:ascii="Arial" w:cs="Arial" w:eastAsia="Arial" w:hAnsi="Arial"/>
                <w:b/>
                <w:bCs/>
                <w:color w:val="000000"/>
                <w:sz w:val="18"/>
                <w:szCs w:val="18"/>
              </w:rPr>
              <w:t xml:space="preserve">Residual Rating: </w:t>
            </w:r>
            <w:r>
              <w:rPr>
                <w:rFonts w:ascii="Arial" w:cs="Arial" w:eastAsia="Arial" w:hAnsi="Arial"/>
                <w:b/>
                <w:bCs/>
                <w:color w:val="FF0000"/>
                <w:sz w:val="18"/>
                <w:szCs w:val="18"/>
              </w:rPr>
              <w:t xml:space="preserve">Medium</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Is an Issue?</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No</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Action Plan</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The mailbox will be formally decommissioned upon conclusion of the TSA period. As part of the closure process: (1) the active DLP exemption will be formally revoked, (2) historical OUTBOX and LOG records will be preserved or migrated, and (3) decommissioning will be coordinated with the Software Currency migration of servers SPLA-WFTP2 and SPLA-WCFS3. The action plan completion date will be reviewed prior to TSA end to assess whether an extension is required.</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Due Date</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Aligned to TSA conclusion date</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Required Evidence for Closure</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 Confirmation of mailbox decommissioning (screenshot or IT ticket closure).</w:t>
            </w:r>
          </w:p>
          <w:p>
            <w:r>
              <w:rPr>
                <w:rFonts w:ascii="Arial" w:cs="Arial" w:eastAsia="Arial" w:hAnsi="Arial"/>
                <w:color w:val="000000"/>
                <w:sz w:val="18"/>
                <w:szCs w:val="18"/>
              </w:rPr>
              <w:t xml:space="preserve">- Evidence of DLP exemption revocation.</w:t>
            </w:r>
          </w:p>
          <w:p>
            <w:r>
              <w:rPr>
                <w:rFonts w:ascii="Arial" w:cs="Arial" w:eastAsia="Arial" w:hAnsi="Arial"/>
                <w:color w:val="000000"/>
                <w:sz w:val="18"/>
                <w:szCs w:val="18"/>
              </w:rPr>
              <w:t xml:space="preserve">- Evidence of OUTBOX/LOG data preservation or migration.</w:t>
            </w:r>
          </w:p>
          <w:p>
            <w:r>
              <w:rPr>
                <w:rFonts w:ascii="Arial" w:cs="Arial" w:eastAsia="Arial" w:hAnsi="Arial"/>
                <w:color w:val="000000"/>
                <w:sz w:val="18"/>
                <w:szCs w:val="18"/>
              </w:rPr>
              <w:t xml:space="preserve">- TSA formal closure documentation.</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Remediation Owner</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8"/>
                <w:szCs w:val="18"/>
              </w:rPr>
              <w:t xml:space="preserve">&lt;Remediation Owner Name&gt;</w:t>
            </w:r>
          </w:p>
        </w:tc>
      </w:tr>
      <w:tr>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rFonts w:ascii="Arial" w:cs="Arial" w:eastAsia="Arial" w:hAnsi="Arial"/>
                <w:b/>
                <w:bCs/>
                <w:color w:val="000000"/>
                <w:sz w:val="18"/>
                <w:szCs w:val="18"/>
              </w:rPr>
              <w:t xml:space="preserve">Target Rating</w:t>
            </w:r>
          </w:p>
        </w:tc>
        <w:tc>
          <w:tcPr>
            <w:tcW w:type="dxa" w:w="6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18"/>
                <w:szCs w:val="18"/>
              </w:rPr>
              <w:t xml:space="preserve">Target Rating: </w:t>
            </w:r>
            <w:r>
              <w:rPr>
                <w:rFonts w:ascii="Arial" w:cs="Arial" w:eastAsia="Arial" w:hAnsi="Arial"/>
                <w:color w:val="000000"/>
                <w:sz w:val="18"/>
                <w:szCs w:val="18"/>
              </w:rPr>
              <w:t xml:space="preserve">Low</w:t>
            </w:r>
          </w:p>
          <w:p>
            <w:r>
              <w:rPr>
                <w:rFonts w:ascii="Arial" w:cs="Arial" w:eastAsia="Arial" w:hAnsi="Arial"/>
                <w:b/>
                <w:bCs/>
                <w:color w:val="000000"/>
                <w:sz w:val="18"/>
                <w:szCs w:val="18"/>
              </w:rPr>
              <w:t xml:space="preserve">Target Impact: </w:t>
            </w:r>
            <w:r>
              <w:rPr>
                <w:rFonts w:ascii="Arial" w:cs="Arial" w:eastAsia="Arial" w:hAnsi="Arial"/>
                <w:color w:val="000000"/>
                <w:sz w:val="18"/>
                <w:szCs w:val="18"/>
              </w:rPr>
              <w:t xml:space="preserve">Low</w:t>
            </w:r>
          </w:p>
          <w:p>
            <w:r>
              <w:rPr>
                <w:rFonts w:ascii="Arial" w:cs="Arial" w:eastAsia="Arial" w:hAnsi="Arial"/>
                <w:b/>
                <w:bCs/>
                <w:color w:val="000000"/>
                <w:sz w:val="18"/>
                <w:szCs w:val="18"/>
              </w:rPr>
              <w:t xml:space="preserve">Target Likelihood: </w:t>
            </w:r>
            <w:r>
              <w:rPr>
                <w:rFonts w:ascii="Arial" w:cs="Arial" w:eastAsia="Arial" w:hAnsi="Arial"/>
                <w:color w:val="000000"/>
                <w:sz w:val="18"/>
                <w:szCs w:val="18"/>
              </w:rPr>
              <w:t xml:space="preserve">Low</w:t>
            </w:r>
          </w:p>
        </w:tc>
      </w:tr>
    </w:tbl>
    <w:p>
      <w:r>
        <w:br w:type="page"/>
      </w:r>
    </w:p>
    <w:p>
      <w:pPr>
        <w:spacing w:after="200" w:before="0"/>
        <w:jc w:val="center"/>
      </w:pPr>
      <w:r>
        <w:rPr>
          <w:rFonts w:ascii="Arial" w:cs="Arial" w:eastAsia="Arial" w:hAnsi="Arial"/>
          <w:b/>
          <w:bCs/>
          <w:color w:val="1F3864"/>
          <w:sz w:val="32"/>
          <w:szCs w:val="32"/>
        </w:rPr>
        <w:t xml:space="preserve">Threat Risk Assessment (TRA) Template</w:t>
      </w:r>
    </w:p>
    <w:p>
      <w:pPr>
        <w:spacing w:after="120" w:before="0"/>
      </w:pPr>
      <w:r>
        <w:rPr>
          <w:rFonts w:ascii="Arial" w:cs="Arial" w:eastAsia="Arial" w:hAnsi="Arial"/>
          <w:b/>
          <w:bCs/>
          <w:color w:val="000000"/>
          <w:sz w:val="20"/>
          <w:szCs w:val="20"/>
        </w:rPr>
        <w:t xml:space="preserve">Threat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80"/>
        <w:gridCol w:w="2180"/>
      </w:tblGrid>
      <w:tr>
        <w:tc>
          <w:tcPr>
            <w:tcW w:type="dxa" w:w="2200"/>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STRIDE Category</w:t>
            </w:r>
          </w:p>
        </w:tc>
        <w:tc>
          <w:tcPr>
            <w:tcW w:type="dxa" w:w="2800"/>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Threat Category</w:t>
            </w:r>
          </w:p>
        </w:tc>
        <w:tc>
          <w:tcPr>
            <w:tcW w:type="dxa" w:w="2180"/>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Existing Mitigating / Compensating Controls</w:t>
            </w:r>
          </w:p>
        </w:tc>
        <w:tc>
          <w:tcPr>
            <w:tcW w:type="dxa" w:w="2180"/>
            <w:tcBorders>
              <w:top w:val="single" w:color="000000" w:sz="4"/>
              <w:left w:val="single" w:color="000000" w:sz="4"/>
              <w:bottom w:val="single" w:color="000000" w:sz="4"/>
              <w:right w:val="single" w:color="000000"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Advisory Findings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Spoofing Identity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User authentication (IAM, SSO, federation)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Restricted mailbox access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Spoofing Identity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Unauthorized access (API, service, workload identity)</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Exclusive use by CSF application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Spoofing Identity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Privileged account protection (human + non-human identities)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Spoofing Identity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Phishing / social engineering</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Automated process - no human interaction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Spoofing Identity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Certificate &amp; key validation (mTLS, cert lifecycle)</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Tampering with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Unauthorized modification of bank data</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File validation against DB before sending</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Tampering with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Data leaving approved environments (egress risk)</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DLP exemption in place (pending revocation at TSA end)</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C00000"/>
                <w:sz w:val="17"/>
                <w:szCs w:val="17"/>
              </w:rPr>
              <w:t xml:space="preserve">Control Defect #1</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Tampering with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Secret, password, and token protection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Tampering with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Authorization enforcement (RBAC, ABAC, policy)</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Restricted access for authorized users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Tampering with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Cryptographic integrity protections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Tampering with Data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Direct access to databases or storage</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File configuration validated in DB</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Repudiation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Shared or non-attributable account usage</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Dedicated mailbox for CSF only</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Repudiation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Logging, auditability, and non-repudiation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LOG folder records all operations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Repudiation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Digital signatures and transaction integrity</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Repudiation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Functional, system, and service accounts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Information Disclosure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Data exfiltration or bulk download</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OUTBOX folder retains copies of all sent files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C00000"/>
                <w:sz w:val="17"/>
                <w:szCs w:val="17"/>
              </w:rPr>
              <w:t xml:space="preserve">Control Defect #1</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Information Disclosure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Data protection at rest</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Files stored on SPLA-WCFS3 file server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Information Disclosure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Data protection in transit</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SFTP/FTP protocols used for file transfer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Information Disclosure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Data lifecycle and records management</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LOG and OUTBOX preservation required at closure</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Denial of Service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Availability attacks (infra, app, API)</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Denial of Service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Internet-facing exposure</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Internal SMTP relay - not internet-facing</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Denial of Service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Resilience, scaling, and failover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Software Currency migration in progress</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Elevation of Privilege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Least privilege enforcement</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Restricted access controls in place</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Elevation of Privilege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Role design and entitlement management</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Elevation of Privilege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Lateral movement</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General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Security monitoring and detection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LOG folder on file server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General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Data loss prevention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DLP exemption active - pending formal revocation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C00000"/>
                <w:sz w:val="17"/>
                <w:szCs w:val="17"/>
              </w:rPr>
              <w:t xml:space="preserve">Control Defect #1</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General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Artificial intelligence / model risk</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N/A</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General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System and workload hardening</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Software Currency migration addresses server hardening</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General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Other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color w:val="000000"/>
                <w:sz w:val="17"/>
                <w:szCs w:val="17"/>
              </w:rPr>
              <w:t xml:space="preserve"/>
            </w:r>
          </w:p>
        </w:tc>
      </w:tr>
    </w:tbl>
    <w:p>
      <w:r>
        <w:br w:type="page"/>
      </w:r>
    </w:p>
    <w:p>
      <w:pPr>
        <w:spacing w:after="200" w:before="0"/>
        <w:jc w:val="center"/>
      </w:pPr>
      <w:r>
        <w:rPr>
          <w:rFonts w:ascii="Arial" w:cs="Arial" w:eastAsia="Arial" w:hAnsi="Arial"/>
          <w:b/>
          <w:bCs/>
          <w:color w:val="1F3864"/>
          <w:sz w:val="32"/>
          <w:szCs w:val="32"/>
        </w:rPr>
        <w:t xml:space="preserve">Threat Risk Assessment (TRA) Template</w:t>
      </w:r>
    </w:p>
    <w:p>
      <w:pPr>
        <w:spacing w:after="80" w:before="0"/>
      </w:pPr>
      <w:r>
        <w:rPr>
          <w:rFonts w:ascii="Arial" w:cs="Arial" w:eastAsia="Arial" w:hAnsi="Arial"/>
          <w:b/>
          <w:bCs/>
          <w:color w:val="000000"/>
          <w:sz w:val="20"/>
          <w:szCs w:val="20"/>
        </w:rPr>
        <w:t xml:space="preserve">Peer Review Record</w:t>
      </w:r>
    </w:p>
    <w:p>
      <w:pPr>
        <w:spacing w:after="80" w:before="0"/>
      </w:pPr>
      <w:r>
        <w:rPr>
          <w:rFonts w:ascii="Arial" w:cs="Arial" w:eastAsia="Arial" w:hAnsi="Arial"/>
          <w:color w:val="000000"/>
          <w:sz w:val="18"/>
          <w:szCs w:val="18"/>
        </w:rPr>
        <w:t xml:space="preserve">This section documents the key observations, questions, and recommendations identified during the Security Advisory peer review process. The table below identifies the reviewer, the issue or question raised, and the associated response or clarification, where applicable.</w:t>
      </w:r>
    </w:p>
    <w:p>
      <w:pPr>
        <w:spacing w:after="120" w:before="0"/>
      </w:pPr>
      <w:r>
        <w:rPr>
          <w:rFonts w:ascii="Arial" w:cs="Arial" w:eastAsia="Arial" w:hAnsi="Arial"/>
          <w:b/>
          <w:bCs/>
          <w:color w:val="000000"/>
          <w:sz w:val="18"/>
          <w:szCs w:val="18"/>
        </w:rPr>
        <w:t xml:space="preserve">THIS SECTION TO BE COMPLETED BY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000000" w:sz="4"/>
              <w:left w:val="single" w:color="000000" w:sz="4"/>
              <w:bottom w:val="single" w:color="000000" w:sz="4"/>
              <w:right w:val="single" w:color="000000" w:sz="4"/>
            </w:tcBorders>
            <w:shd w:fill="595959" w:val="clear"/>
            <w:tcMar>
              <w:top w:type="dxa" w:w="80"/>
              <w:left w:type="dxa" w:w="100"/>
              <w:bottom w:type="dxa" w:w="80"/>
              <w:right w:type="dxa" w:w="100"/>
            </w:tcMar>
          </w:tcPr>
          <w:p>
            <w:r>
              <w:rPr>
                <w:rFonts w:ascii="Arial" w:cs="Arial" w:eastAsia="Arial" w:hAnsi="Arial"/>
                <w:b/>
                <w:bCs/>
                <w:color w:val="FFFFFF"/>
                <w:sz w:val="18"/>
                <w:szCs w:val="18"/>
              </w:rPr>
              <w:t xml:space="preserve">Reviewer</w:t>
            </w:r>
          </w:p>
        </w:tc>
        <w:tc>
          <w:tcPr>
            <w:tcW w:type="dxa" w:w="3500"/>
            <w:tcBorders>
              <w:top w:val="single" w:color="000000" w:sz="4"/>
              <w:left w:val="single" w:color="000000" w:sz="4"/>
              <w:bottom w:val="single" w:color="000000" w:sz="4"/>
              <w:right w:val="single" w:color="000000" w:sz="4"/>
            </w:tcBorders>
            <w:shd w:fill="595959" w:val="clear"/>
            <w:tcMar>
              <w:top w:type="dxa" w:w="80"/>
              <w:left w:type="dxa" w:w="100"/>
              <w:bottom w:type="dxa" w:w="80"/>
              <w:right w:type="dxa" w:w="100"/>
            </w:tcMar>
          </w:tcPr>
          <w:p>
            <w:r>
              <w:rPr>
                <w:rFonts w:ascii="Arial" w:cs="Arial" w:eastAsia="Arial" w:hAnsi="Arial"/>
                <w:b/>
                <w:bCs/>
                <w:color w:val="FFFFFF"/>
                <w:sz w:val="18"/>
                <w:szCs w:val="18"/>
              </w:rPr>
              <w:t xml:space="preserve">Question / Observation</w:t>
            </w:r>
          </w:p>
        </w:tc>
        <w:tc>
          <w:tcPr>
            <w:tcW w:type="dxa" w:w="3360"/>
            <w:tcBorders>
              <w:top w:val="single" w:color="000000" w:sz="4"/>
              <w:left w:val="single" w:color="000000" w:sz="4"/>
              <w:bottom w:val="single" w:color="000000" w:sz="4"/>
              <w:right w:val="single" w:color="000000" w:sz="4"/>
            </w:tcBorders>
            <w:shd w:fill="595959" w:val="clear"/>
            <w:tcMar>
              <w:top w:type="dxa" w:w="80"/>
              <w:left w:type="dxa" w:w="100"/>
              <w:bottom w:type="dxa" w:w="80"/>
              <w:right w:type="dxa" w:w="100"/>
            </w:tcMar>
          </w:tcPr>
          <w:p>
            <w:r>
              <w:rPr>
                <w:rFonts w:ascii="Arial" w:cs="Arial" w:eastAsia="Arial" w:hAnsi="Arial"/>
                <w:b/>
                <w:bCs/>
                <w:color w:val="FFFFFF"/>
                <w:sz w:val="18"/>
                <w:szCs w:val="18"/>
              </w:rPr>
              <w:t xml:space="preserve">Response / Clarification
(If Applicable)</w:t>
            </w:r>
          </w:p>
        </w:tc>
      </w:tr>
      <w:tr>
        <w:tc>
          <w:tcPr>
            <w:tcW w:type="dxa" w:w="250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c>
          <w:tcPr>
            <w:tcW w:type="dxa" w:w="350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c>
          <w:tcPr>
            <w:tcW w:type="dxa" w:w="336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r>
      <w:tr>
        <w:tc>
          <w:tcPr>
            <w:tcW w:type="dxa" w:w="250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c>
          <w:tcPr>
            <w:tcW w:type="dxa" w:w="350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c>
          <w:tcPr>
            <w:tcW w:type="dxa" w:w="336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r>
      <w:tr>
        <w:tc>
          <w:tcPr>
            <w:tcW w:type="dxa" w:w="250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c>
          <w:tcPr>
            <w:tcW w:type="dxa" w:w="350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c>
          <w:tcPr>
            <w:tcW w:type="dxa" w:w="3360"/>
            <w:tcBorders>
              <w:top w:val="single" w:color="000000" w:sz="4"/>
              <w:left w:val="single" w:color="000000" w:sz="4"/>
              <w:bottom w:val="single" w:color="000000" w:sz="4"/>
              <w:right w:val="single" w:color="000000" w:sz="4"/>
            </w:tcBorders>
            <w:tcMar>
              <w:top w:type="dxa" w:w="200"/>
              <w:left w:type="dxa" w:w="100"/>
              <w:bottom w:type="dxa" w:w="200"/>
              <w:right w:type="dxa" w:w="100"/>
            </w:tcMar>
          </w:tcPr>
          <w:p/>
        </w:tc>
      </w:tr>
    </w:tbl>
    <w:p>
      <w:pPr>
        <w:spacing w:after="200" w:before="120"/>
      </w:pPr>
      <w:r>
        <w:rPr>
          <w:rFonts w:ascii="Arial" w:cs="Arial" w:eastAsia="Arial" w:hAnsi="Arial"/>
          <w:i/>
          <w:iCs/>
          <w:color w:val="404040"/>
          <w:sz w:val="17"/>
          <w:szCs w:val="17"/>
        </w:rPr>
        <w:t xml:space="preserve">*Note: Items documented here are not required to result in risks or action plans unless formally captured elsewhere in this assessment</w:t>
      </w:r>
    </w:p>
    <w:p>
      <w:pPr>
        <w:spacing w:after="80" w:before="160"/>
      </w:pPr>
      <w:r>
        <w:rPr>
          <w:rFonts w:ascii="Arial" w:cs="Arial" w:eastAsia="Arial" w:hAnsi="Arial"/>
          <w:b/>
          <w:bCs/>
          <w:color w:val="000000"/>
          <w:sz w:val="20"/>
          <w:szCs w:val="20"/>
        </w:rPr>
        <w:t xml:space="preserve">Closure Evidence Examples:</w:t>
      </w:r>
    </w:p>
    <w:p>
      <w:pPr>
        <w:pStyle w:val="ListParagraph"/>
        <w:numPr>
          <w:ilvl w:val="0"/>
          <w:numId w:val="2"/>
        </w:numPr>
        <w:spacing w:after="40" w:before="40"/>
      </w:pPr>
      <w:r>
        <w:rPr>
          <w:rFonts w:ascii="Arial" w:cs="Arial" w:eastAsia="Arial" w:hAnsi="Arial"/>
          <w:color w:val="000000"/>
          <w:sz w:val="18"/>
          <w:szCs w:val="18"/>
        </w:rPr>
        <w:t xml:space="preserve">Officially approved documents such as procedures, guidelines and playbooks.</w:t>
      </w:r>
    </w:p>
    <w:p>
      <w:pPr>
        <w:pStyle w:val="ListParagraph"/>
        <w:numPr>
          <w:ilvl w:val="0"/>
          <w:numId w:val="2"/>
        </w:numPr>
        <w:spacing w:after="40" w:before="40"/>
      </w:pPr>
      <w:r>
        <w:rPr>
          <w:rFonts w:ascii="Arial" w:cs="Arial" w:eastAsia="Arial" w:hAnsi="Arial"/>
          <w:color w:val="000000"/>
          <w:sz w:val="18"/>
          <w:szCs w:val="18"/>
        </w:rPr>
        <w:t xml:space="preserve">Configuration screenshots.</w:t>
      </w:r>
    </w:p>
    <w:p>
      <w:pPr>
        <w:pStyle w:val="ListParagraph"/>
        <w:numPr>
          <w:ilvl w:val="0"/>
          <w:numId w:val="2"/>
        </w:numPr>
        <w:spacing w:after="40" w:before="40"/>
      </w:pPr>
      <w:r>
        <w:rPr>
          <w:rFonts w:ascii="Arial" w:cs="Arial" w:eastAsia="Arial" w:hAnsi="Arial"/>
          <w:color w:val="000000"/>
          <w:sz w:val="18"/>
          <w:szCs w:val="18"/>
        </w:rPr>
        <w:t xml:space="preserve">Scan reports.</w:t>
      </w:r>
    </w:p>
    <w:p>
      <w:pPr>
        <w:pStyle w:val="ListParagraph"/>
        <w:numPr>
          <w:ilvl w:val="0"/>
          <w:numId w:val="2"/>
        </w:numPr>
        <w:spacing w:after="40" w:before="40"/>
      </w:pPr>
      <w:r>
        <w:rPr>
          <w:rFonts w:ascii="Arial" w:cs="Arial" w:eastAsia="Arial" w:hAnsi="Arial"/>
          <w:color w:val="000000"/>
          <w:sz w:val="18"/>
          <w:szCs w:val="18"/>
        </w:rPr>
        <w:t xml:space="preserve">APM profile screenshots confirming specific details of the evaluated application.</w:t>
      </w:r>
    </w:p>
    <w:p>
      <w:pPr>
        <w:pStyle w:val="ListParagraph"/>
        <w:numPr>
          <w:ilvl w:val="0"/>
          <w:numId w:val="2"/>
        </w:numPr>
        <w:spacing w:after="40" w:before="40"/>
      </w:pPr>
      <w:r>
        <w:rPr>
          <w:rFonts w:ascii="Arial" w:cs="Arial" w:eastAsia="Arial" w:hAnsi="Arial"/>
          <w:color w:val="000000"/>
          <w:sz w:val="18"/>
          <w:szCs w:val="18"/>
        </w:rPr>
        <w:t xml:space="preserve">ESLM dashboard screenshots.</w:t>
      </w:r>
    </w:p>
    <w:p>
      <w:pPr>
        <w:pStyle w:val="ListParagraph"/>
        <w:numPr>
          <w:ilvl w:val="0"/>
          <w:numId w:val="2"/>
        </w:numPr>
        <w:spacing w:after="40" w:before="40"/>
      </w:pPr>
      <w:r>
        <w:rPr>
          <w:rFonts w:ascii="Arial" w:cs="Arial" w:eastAsia="Arial" w:hAnsi="Arial"/>
          <w:color w:val="000000"/>
          <w:sz w:val="18"/>
          <w:szCs w:val="18"/>
        </w:rPr>
        <w:t xml:space="preserve">LAM intake numbers.</w:t>
      </w:r>
    </w:p>
    <w:p>
      <w:pPr>
        <w:pStyle w:val="ListParagraph"/>
        <w:numPr>
          <w:ilvl w:val="0"/>
          <w:numId w:val="2"/>
        </w:numPr>
        <w:spacing w:after="40" w:before="40"/>
      </w:pPr>
      <w:r>
        <w:rPr>
          <w:rFonts w:ascii="Arial" w:cs="Arial" w:eastAsia="Arial" w:hAnsi="Arial"/>
          <w:color w:val="000000"/>
          <w:sz w:val="18"/>
          <w:szCs w:val="18"/>
        </w:rPr>
        <w:t xml:space="preserve">LAM dashboard screenshots.</w:t>
      </w:r>
    </w:p>
    <w:p>
      <w:pPr>
        <w:spacing w:after="0" w:before="200"/>
      </w:pPr>
      <w:r>
        <w:rPr>
          <w:rFonts w:ascii="Arial" w:cs="Arial" w:eastAsia="Arial" w:hAnsi="Arial"/>
          <w:b/>
          <w:bCs/>
          <w:color w:val="000000"/>
          <w:sz w:val="18"/>
          <w:szCs w:val="18"/>
        </w:rPr>
        <w:t xml:space="preserve">The Sign-off of this assessment will be provided via SNOW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Title">
    <w:name w:val="TRA Title"/>
    <w:basedOn w:val="Normal"/>
    <w:pPr>
      <w:spacing w:after="200" w:before="200"/>
      <w:jc w:val="center"/>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2026-06-01T19:27:53.587Z</dcterms:created>
  <dcterms:modified xsi:type="dcterms:W3CDTF">2026-06-01T19:27:53.587Z</dcterms:modified>
</cp:coreProperties>
</file>

<file path=docProps/custom.xml><?xml version="1.0" encoding="utf-8"?>
<Properties xmlns="http://schemas.openxmlformats.org/officeDocument/2006/custom-properties" xmlns:vt="http://schemas.openxmlformats.org/officeDocument/2006/docPropsVTypes"/>
</file>