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jc w:val="center"/>
      </w:pPr>
      <w:r>
        <w:rPr>
          <w:b/>
          <w:bCs/>
          <w:sz w:val="40"/>
          <w:szCs w:val="40"/>
        </w:rPr>
        <w:t xml:space="preserve">Threat Risk Assessment (TRA)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1600"/>
        <w:gridCol w:w="3000"/>
      </w:tblGrid>
      <w:tr>
        <w:tc>
          <w:tcPr>
            <w:tcW w:type="dxa" w:w="2200"/>
            <w:shd w:fill="D9D9D9" w:val="clear"/>
            <w:tcMar>
              <w:top w:type="dxa" w:w="80"/>
              <w:left w:type="dxa" w:w="100"/>
              <w:bottom w:type="dxa" w:w="80"/>
              <w:right w:type="dxa" w:w="100"/>
            </w:tcMar>
            <w:vAlign w:val="center"/>
          </w:tcPr>
          <w:p>
            <w:pPr>
              <w:jc w:val="left"/>
            </w:pPr>
            <w:r>
              <w:rPr>
                <w:b/>
                <w:bCs/>
                <w:sz w:val="20"/>
                <w:szCs w:val="20"/>
              </w:rPr>
              <w:t xml:space="preserve">Application Name and Type:</w:t>
            </w:r>
          </w:p>
        </w:tc>
        <w:tc>
          <w:tcPr>
            <w:tcW w:type="dxa" w:w="2800"/>
            <w:tcMar>
              <w:top w:type="dxa" w:w="80"/>
              <w:left w:type="dxa" w:w="100"/>
              <w:bottom w:type="dxa" w:w="80"/>
              <w:right w:type="dxa" w:w="100"/>
            </w:tcMar>
            <w:vAlign w:val="center"/>
          </w:tcPr>
          <w:p>
            <w:pPr>
              <w:jc w:val="left"/>
            </w:pPr>
            <w:r>
              <w:rPr>
                <w:b w:val="false"/>
                <w:bCs w:val="false"/>
                <w:sz w:val="20"/>
                <w:szCs w:val="20"/>
              </w:rPr>
              <w:t xml:space="preserve">Migración de EDITRAN – Transferencias Interbancarias Diferidas (Santander Consumer Bank / Scotiabank Perú)</w:t>
            </w:r>
          </w:p>
        </w:tc>
        <w:tc>
          <w:tcPr>
            <w:tcW w:type="dxa" w:w="1600"/>
            <w:shd w:fill="D9D9D9" w:val="clear"/>
            <w:tcMar>
              <w:top w:type="dxa" w:w="80"/>
              <w:left w:type="dxa" w:w="100"/>
              <w:bottom w:type="dxa" w:w="80"/>
              <w:right w:type="dxa" w:w="100"/>
            </w:tcMar>
            <w:vAlign w:val="center"/>
          </w:tcPr>
          <w:p>
            <w:pPr>
              <w:jc w:val="left"/>
            </w:pPr>
            <w:r>
              <w:rPr>
                <w:b/>
                <w:bCs/>
                <w:sz w:val="20"/>
                <w:szCs w:val="20"/>
              </w:rPr>
              <w:t xml:space="preserve">Region/Country:</w:t>
            </w:r>
          </w:p>
        </w:tc>
        <w:tc>
          <w:tcPr>
            <w:tcW w:type="dxa" w:w="3000"/>
            <w:tcMar>
              <w:top w:type="dxa" w:w="80"/>
              <w:left w:type="dxa" w:w="100"/>
              <w:bottom w:type="dxa" w:w="80"/>
              <w:right w:type="dxa" w:w="100"/>
            </w:tcMar>
            <w:vAlign w:val="center"/>
          </w:tcPr>
          <w:p>
            <w:pPr>
              <w:jc w:val="left"/>
            </w:pPr>
            <w:r>
              <w:rPr>
                <w:b w:val="false"/>
                <w:bCs w:val="false"/>
                <w:sz w:val="20"/>
                <w:szCs w:val="20"/>
              </w:rPr>
              <w:t xml:space="preserve">Perú / LATAM</w:t>
            </w:r>
          </w:p>
        </w:tc>
      </w:tr>
      <w:tr>
        <w:tc>
          <w:tcPr>
            <w:tcW w:type="dxa" w:w="2200"/>
            <w:shd w:fill="D9D9D9" w:val="clear"/>
            <w:tcMar>
              <w:top w:type="dxa" w:w="80"/>
              <w:left w:type="dxa" w:w="100"/>
              <w:bottom w:type="dxa" w:w="80"/>
              <w:right w:type="dxa" w:w="100"/>
            </w:tcMar>
            <w:vAlign w:val="center"/>
          </w:tcPr>
          <w:p>
            <w:pPr>
              <w:jc w:val="left"/>
            </w:pPr>
            <w:r>
              <w:rPr>
                <w:b/>
                <w:bCs/>
                <w:sz w:val="20"/>
                <w:szCs w:val="20"/>
              </w:rPr>
              <w:t xml:space="preserve">TRA ID (SAMS Ticket):</w:t>
            </w:r>
          </w:p>
        </w:tc>
        <w:tc>
          <w:tcPr>
            <w:tcW w:type="dxa" w:w="2800"/>
            <w:tcMar>
              <w:top w:type="dxa" w:w="80"/>
              <w:left w:type="dxa" w:w="100"/>
              <w:bottom w:type="dxa" w:w="80"/>
              <w:right w:type="dxa" w:w="100"/>
            </w:tcMar>
            <w:vAlign w:val="center"/>
          </w:tcPr>
          <w:p>
            <w:pPr>
              <w:jc w:val="left"/>
            </w:pPr>
            <w:r>
              <w:rPr>
                <w:b w:val="false"/>
                <w:bCs w:val="false"/>
                <w:sz w:val="20"/>
                <w:szCs w:val="20"/>
              </w:rPr>
              <w:t xml:space="preserve">SAMS0XXXXXX</w:t>
            </w:r>
          </w:p>
        </w:tc>
        <w:tc>
          <w:tcPr>
            <w:tcW w:type="dxa" w:w="1600"/>
            <w:shd w:fill="D9D9D9" w:val="clear"/>
            <w:tcMar>
              <w:top w:type="dxa" w:w="80"/>
              <w:left w:type="dxa" w:w="100"/>
              <w:bottom w:type="dxa" w:w="80"/>
              <w:right w:type="dxa" w:w="100"/>
            </w:tcMar>
            <w:vAlign w:val="center"/>
          </w:tcPr>
          <w:p>
            <w:pPr>
              <w:jc w:val="left"/>
            </w:pPr>
            <w:r>
              <w:rPr>
                <w:b/>
                <w:bCs/>
                <w:sz w:val="20"/>
                <w:szCs w:val="20"/>
              </w:rPr>
              <w:t xml:space="preserve">APM ID:</w:t>
            </w:r>
          </w:p>
        </w:tc>
        <w:tc>
          <w:tcPr>
            <w:tcW w:type="dxa" w:w="3000"/>
            <w:tcMar>
              <w:top w:type="dxa" w:w="80"/>
              <w:left w:type="dxa" w:w="100"/>
              <w:bottom w:type="dxa" w:w="80"/>
              <w:right w:type="dxa" w:w="100"/>
            </w:tcMar>
            <w:vAlign w:val="center"/>
          </w:tcPr>
          <w:p>
            <w:pPr>
              <w:jc w:val="left"/>
            </w:pPr>
            <w:r>
              <w:rPr>
                <w:b w:val="false"/>
                <w:bCs w:val="false"/>
                <w:sz w:val="20"/>
                <w:szCs w:val="20"/>
              </w:rPr>
              <w:t xml:space="preserve">BBHM / BBHL</w:t>
            </w:r>
          </w:p>
        </w:tc>
      </w:tr>
      <w:tr>
        <w:tc>
          <w:tcPr>
            <w:tcW w:type="dxa" w:w="2200"/>
            <w:shd w:fill="D9D9D9" w:val="clear"/>
            <w:tcMar>
              <w:top w:type="dxa" w:w="80"/>
              <w:left w:type="dxa" w:w="100"/>
              <w:bottom w:type="dxa" w:w="80"/>
              <w:right w:type="dxa" w:w="100"/>
            </w:tcMar>
            <w:vAlign w:val="center"/>
          </w:tcPr>
          <w:p>
            <w:pPr>
              <w:jc w:val="left"/>
            </w:pPr>
            <w:r>
              <w:rPr>
                <w:b/>
                <w:bCs/>
                <w:sz w:val="20"/>
                <w:szCs w:val="20"/>
              </w:rPr>
              <w:t xml:space="preserve">Information System Owner:</w:t>
            </w:r>
          </w:p>
        </w:tc>
        <w:tc>
          <w:tcPr>
            <w:tcW w:type="dxa" w:w="2800"/>
            <w:tcMar>
              <w:top w:type="dxa" w:w="80"/>
              <w:left w:type="dxa" w:w="100"/>
              <w:bottom w:type="dxa" w:w="80"/>
              <w:right w:type="dxa" w:w="100"/>
            </w:tcMar>
            <w:vAlign w:val="center"/>
          </w:tcPr>
          <w:p>
            <w:pPr>
              <w:jc w:val="left"/>
            </w:pPr>
            <w:r>
              <w:rPr>
                <w:b w:val="false"/>
                <w:bCs w:val="false"/>
                <w:sz w:val="20"/>
                <w:szCs w:val="20"/>
              </w:rPr>
              <w:t xml:space="preserve">Paul Mostiga – Solution Architect / Jeffrey Lee – Chief Architect</w:t>
            </w:r>
          </w:p>
        </w:tc>
        <w:tc>
          <w:tcPr>
            <w:tcW w:type="dxa" w:w="1600"/>
            <w:shd w:fill="D9D9D9" w:val="clear"/>
            <w:tcMar>
              <w:top w:type="dxa" w:w="80"/>
              <w:left w:type="dxa" w:w="100"/>
              <w:bottom w:type="dxa" w:w="80"/>
              <w:right w:type="dxa" w:w="100"/>
            </w:tcMar>
            <w:vAlign w:val="center"/>
          </w:tcPr>
          <w:p>
            <w:pPr>
              <w:jc w:val="left"/>
            </w:pPr>
            <w:r>
              <w:rPr>
                <w:b/>
                <w:bCs/>
                <w:sz w:val="20"/>
                <w:szCs w:val="20"/>
              </w:rPr>
              <w:t xml:space="preserve">Date:</w:t>
            </w:r>
          </w:p>
        </w:tc>
        <w:tc>
          <w:tcPr>
            <w:tcW w:type="dxa" w:w="3000"/>
            <w:tcMar>
              <w:top w:type="dxa" w:w="80"/>
              <w:left w:type="dxa" w:w="100"/>
              <w:bottom w:type="dxa" w:w="80"/>
              <w:right w:type="dxa" w:w="100"/>
            </w:tcMar>
            <w:vAlign w:val="center"/>
          </w:tcPr>
          <w:p>
            <w:pPr>
              <w:jc w:val="left"/>
            </w:pPr>
            <w:r>
              <w:rPr>
                <w:b w:val="false"/>
                <w:bCs w:val="false"/>
                <w:sz w:val="20"/>
                <w:szCs w:val="20"/>
              </w:rPr>
              <w:t xml:space="preserve">30/07/2026</w:t>
            </w:r>
          </w:p>
        </w:tc>
      </w:tr>
      <w:tr>
        <w:tc>
          <w:tcPr>
            <w:tcW w:type="dxa" w:w="2200"/>
            <w:shd w:fill="D9D9D9" w:val="clear"/>
            <w:tcMar>
              <w:top w:type="dxa" w:w="80"/>
              <w:left w:type="dxa" w:w="100"/>
              <w:bottom w:type="dxa" w:w="80"/>
              <w:right w:type="dxa" w:w="100"/>
            </w:tcMar>
            <w:vAlign w:val="center"/>
          </w:tcPr>
          <w:p>
            <w:pPr>
              <w:jc w:val="left"/>
            </w:pPr>
            <w:r>
              <w:rPr>
                <w:b/>
                <w:bCs/>
                <w:sz w:val="20"/>
                <w:szCs w:val="20"/>
              </w:rPr>
              <w:t xml:space="preserve">Security Advisor:</w:t>
            </w:r>
          </w:p>
        </w:tc>
        <w:tc>
          <w:tcPr>
            <w:tcW w:type="dxa" w:w="2800"/>
            <w:tcMar>
              <w:top w:type="dxa" w:w="80"/>
              <w:left w:type="dxa" w:w="100"/>
              <w:bottom w:type="dxa" w:w="80"/>
              <w:right w:type="dxa" w:w="100"/>
            </w:tcMar>
            <w:vAlign w:val="center"/>
          </w:tcPr>
          <w:p>
            <w:pPr>
              <w:jc w:val="left"/>
            </w:pPr>
            <w:r>
              <w:rPr>
                <w:b w:val="false"/>
                <w:bCs w:val="false"/>
                <w:sz w:val="20"/>
                <w:szCs w:val="20"/>
              </w:rPr>
              <w:t xml:space="preserve">[Nombre del Security Advisor asignado]</w:t>
            </w:r>
          </w:p>
        </w:tc>
        <w:tc>
          <w:tcPr>
            <w:tcW w:type="dxa" w:w="1600"/>
            <w:shd w:fill="D9D9D9" w:val="clear"/>
            <w:tcMar>
              <w:top w:type="dxa" w:w="80"/>
              <w:left w:type="dxa" w:w="100"/>
              <w:bottom w:type="dxa" w:w="80"/>
              <w:right w:type="dxa" w:w="100"/>
            </w:tcMar>
            <w:vAlign w:val="center"/>
          </w:tcPr>
          <w:p>
            <w:pPr>
              <w:jc w:val="left"/>
            </w:pPr>
            <w:r>
              <w:rPr>
                <w:b/>
                <w:bCs/>
                <w:sz w:val="20"/>
                <w:szCs w:val="20"/>
              </w:rPr>
              <w:t xml:space="preserve">Advisory Team:</w:t>
            </w:r>
          </w:p>
        </w:tc>
        <w:tc>
          <w:tcPr>
            <w:tcW w:type="dxa" w:w="3000"/>
            <w:tcMar>
              <w:top w:type="dxa" w:w="80"/>
              <w:left w:type="dxa" w:w="100"/>
              <w:bottom w:type="dxa" w:w="80"/>
              <w:right w:type="dxa" w:w="100"/>
            </w:tcMar>
            <w:vAlign w:val="center"/>
          </w:tcPr>
          <w:p>
            <w:pPr>
              <w:jc w:val="left"/>
            </w:pPr>
            <w:r>
              <w:rPr>
                <w:b w:val="false"/>
                <w:bCs w:val="false"/>
                <w:sz w:val="20"/>
                <w:szCs w:val="20"/>
              </w:rPr>
              <w:t xml:space="preserve">SAMS INTL LATAM</w:t>
            </w:r>
          </w:p>
        </w:tc>
      </w:tr>
      <w:tr>
        <w:tc>
          <w:tcPr>
            <w:tcW w:type="dxa" w:w="2200"/>
            <w:shd w:fill="D9D9D9" w:val="clear"/>
            <w:tcMar>
              <w:top w:type="dxa" w:w="80"/>
              <w:left w:type="dxa" w:w="100"/>
              <w:bottom w:type="dxa" w:w="80"/>
              <w:right w:type="dxa" w:w="100"/>
            </w:tcMar>
            <w:vAlign w:val="center"/>
          </w:tcPr>
          <w:p>
            <w:pPr>
              <w:jc w:val="left"/>
            </w:pPr>
            <w:r>
              <w:rPr>
                <w:b/>
                <w:bCs/>
                <w:sz w:val="20"/>
                <w:szCs w:val="20"/>
              </w:rPr>
              <w:t xml:space="preserve">Asset Tier:</w:t>
            </w:r>
          </w:p>
        </w:tc>
        <w:tc>
          <w:tcPr>
            <w:tcW w:type="dxa" w:w="2800"/>
            <w:tcMar>
              <w:top w:type="dxa" w:w="80"/>
              <w:left w:type="dxa" w:w="100"/>
              <w:bottom w:type="dxa" w:w="80"/>
              <w:right w:type="dxa" w:w="100"/>
            </w:tcMar>
            <w:vAlign w:val="center"/>
          </w:tcPr>
          <w:p>
            <w:pPr>
              <w:jc w:val="left"/>
            </w:pPr>
            <w:r>
              <w:rPr>
                <w:b w:val="false"/>
                <w:bCs w:val="false"/>
                <w:sz w:val="20"/>
                <w:szCs w:val="20"/>
              </w:rPr>
              <w:t xml:space="preserve">Tier 2 (SBP) / Tier 5 (CSF) — ver Data Classification</w:t>
            </w:r>
          </w:p>
        </w:tc>
        <w:tc>
          <w:tcPr>
            <w:tcW w:type="dxa" w:w="1600"/>
            <w:shd w:fill="D9D9D9" w:val="clear"/>
            <w:tcMar>
              <w:top w:type="dxa" w:w="80"/>
              <w:left w:type="dxa" w:w="100"/>
              <w:bottom w:type="dxa" w:w="80"/>
              <w:right w:type="dxa" w:w="100"/>
            </w:tcMar>
            <w:vAlign w:val="center"/>
          </w:tcPr>
          <w:p>
            <w:pPr>
              <w:jc w:val="left"/>
            </w:pPr>
            <w:r>
              <w:rPr>
                <w:b/>
                <w:bCs/>
                <w:sz w:val="20"/>
                <w:szCs w:val="20"/>
              </w:rPr>
              <w:t xml:space="preserve">VSR #:</w:t>
            </w:r>
          </w:p>
        </w:tc>
        <w:tc>
          <w:tcPr>
            <w:tcW w:type="dxa" w:w="3000"/>
            <w:tcMar>
              <w:top w:type="dxa" w:w="80"/>
              <w:left w:type="dxa" w:w="100"/>
              <w:bottom w:type="dxa" w:w="80"/>
              <w:right w:type="dxa" w:w="100"/>
            </w:tcMar>
            <w:vAlign w:val="center"/>
          </w:tcPr>
          <w:p>
            <w:pPr>
              <w:jc w:val="left"/>
            </w:pPr>
            <w:r>
              <w:rPr>
                <w:b w:val="false"/>
                <w:bCs w:val="false"/>
                <w:sz w:val="20"/>
                <w:szCs w:val="20"/>
              </w:rPr>
              <w:t xml:space="preserve">N/A</w:t>
            </w:r>
          </w:p>
        </w:tc>
      </w:tr>
    </w:tbl>
    <w:p>
      <w:pPr>
        <w:spacing w:after="150"/>
      </w:pPr>
      <w:r>
        <w:rPr>
          <w:b w:val="false"/>
          <w:bCs w:val="false"/>
          <w:i w:val="false"/>
          <w:iCs w:val="false"/>
          <w:sz w:val="22"/>
          <w:szCs w:val="22"/>
        </w:rPr>
        <w:t xml:space="preserve"/>
      </w:r>
    </w:p>
    <w:p>
      <w:pPr>
        <w:pStyle w:val="Heading1"/>
        <w:spacing w:after="150" w:before="300"/>
      </w:pPr>
      <w:r>
        <w:t xml:space="preserve">Background</w:t>
      </w:r>
    </w:p>
    <w:p>
      <w:pPr>
        <w:spacing w:after="150"/>
      </w:pPr>
      <w:r>
        <w:rPr>
          <w:b/>
          <w:bCs/>
          <w:i w:val="false"/>
          <w:iCs w:val="false"/>
          <w:sz w:val="22"/>
          <w:szCs w:val="22"/>
        </w:rPr>
        <w:t xml:space="preserve">What does this system or service provide?</w:t>
      </w:r>
    </w:p>
    <w:p>
      <w:pPr>
        <w:spacing w:after="150"/>
      </w:pPr>
      <w:r>
        <w:rPr>
          <w:b w:val="false"/>
          <w:bCs w:val="false"/>
          <w:i w:val="false"/>
          <w:iCs w:val="false"/>
          <w:sz w:val="22"/>
          <w:szCs w:val="22"/>
        </w:rPr>
        <w:t xml:space="preserve">EDITRAN es la aplicación responsable de ejecutar transferencias interbancarias en diferido entre Santander Consumer Bank / Scotiabank Perú y otras entidades bancarias, a través de la Cámara de Compensación Electrónica (CCE), utilizando el protocolo Bancared. Actualmente EDITRAN 5.2 se encuentra desplegado en una PC virtual con Windows 11, sin redundancia, contingencia ni respaldo formal (riesgo tecnológico ya identificado y aceptado por la organización el 25/11/2022). El proyecto migra EDITRAN a servidores Windows Server 2019 dedicados por entidad (CSF y SBP), incorporando servicios Windows (Transmisión, Mantenimiento, Comando Especial, Sucesor de Eventos) que interactúan con EDITRAN para los envíos y recepciones, además de un módulo web (Tracking Web/API) que permite a los operadores dar seguimiento a las transferencias sin necesidad de ingresar directamente al servidor de EDITRAN.</w:t>
      </w:r>
    </w:p>
    <w:p>
      <w:pPr>
        <w:spacing w:after="150"/>
      </w:pPr>
      <w:r>
        <w:rPr>
          <w:b w:val="false"/>
          <w:bCs w:val="false"/>
          <w:i/>
          <w:iCs/>
          <w:sz w:val="22"/>
          <w:szCs w:val="22"/>
        </w:rPr>
        <w:t xml:space="preserve">On Prem</w:t>
      </w:r>
    </w:p>
    <w:p>
      <w:pPr>
        <w:pStyle w:val="Heading1"/>
        <w:spacing w:after="150" w:before="300"/>
      </w:pPr>
      <w:r>
        <w:t xml:space="preserve">Assessment(s) completed</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6400"/>
      </w:tblGrid>
      <w:tr>
        <w:tc>
          <w:tcPr>
            <w:tcW w:type="dxa" w:w="3200"/>
            <w:shd w:fill="D9D9D9" w:val="clear"/>
            <w:tcMar>
              <w:top w:type="dxa" w:w="80"/>
              <w:left w:type="dxa" w:w="100"/>
              <w:bottom w:type="dxa" w:w="80"/>
              <w:right w:type="dxa" w:w="100"/>
            </w:tcMar>
            <w:vAlign w:val="center"/>
          </w:tcPr>
          <w:p>
            <w:pPr>
              <w:jc w:val="left"/>
            </w:pPr>
            <w:r>
              <w:rPr>
                <w:b/>
                <w:bCs/>
                <w:sz w:val="20"/>
                <w:szCs w:val="20"/>
              </w:rPr>
              <w:t xml:space="preserve">LAST TRA</w:t>
            </w:r>
          </w:p>
        </w:tc>
        <w:tc>
          <w:tcPr>
            <w:tcW w:type="dxa" w:w="6400"/>
            <w:tcMar>
              <w:top w:type="dxa" w:w="80"/>
              <w:left w:type="dxa" w:w="100"/>
              <w:bottom w:type="dxa" w:w="80"/>
              <w:right w:type="dxa" w:w="100"/>
            </w:tcMar>
            <w:vAlign w:val="center"/>
          </w:tcPr>
          <w:p>
            <w:pPr>
              <w:jc w:val="left"/>
            </w:pPr>
            <w:r>
              <w:rPr>
                <w:b w:val="false"/>
                <w:bCs w:val="false"/>
                <w:sz w:val="20"/>
                <w:szCs w:val="20"/>
              </w:rPr>
              <w:t xml:space="preserve">N/A</w:t>
            </w:r>
          </w:p>
        </w:tc>
      </w:tr>
      <w:tr>
        <w:tc>
          <w:tcPr>
            <w:tcW w:type="dxa" w:w="3200"/>
            <w:shd w:fill="D9D9D9" w:val="clear"/>
            <w:tcMar>
              <w:top w:type="dxa" w:w="80"/>
              <w:left w:type="dxa" w:w="100"/>
              <w:bottom w:type="dxa" w:w="80"/>
              <w:right w:type="dxa" w:w="100"/>
            </w:tcMar>
            <w:vAlign w:val="center"/>
          </w:tcPr>
          <w:p>
            <w:pPr>
              <w:jc w:val="left"/>
            </w:pPr>
            <w:r>
              <w:rPr>
                <w:b/>
                <w:bCs/>
                <w:sz w:val="20"/>
                <w:szCs w:val="20"/>
              </w:rPr>
              <w:t xml:space="preserve">DATE</w:t>
            </w:r>
          </w:p>
        </w:tc>
        <w:tc>
          <w:tcPr>
            <w:tcW w:type="dxa" w:w="6400"/>
            <w:tcMar>
              <w:top w:type="dxa" w:w="80"/>
              <w:left w:type="dxa" w:w="100"/>
              <w:bottom w:type="dxa" w:w="80"/>
              <w:right w:type="dxa" w:w="100"/>
            </w:tcMar>
            <w:vAlign w:val="center"/>
          </w:tcPr>
          <w:p>
            <w:pPr>
              <w:jc w:val="left"/>
            </w:pPr>
            <w:r>
              <w:rPr>
                <w:b w:val="false"/>
                <w:bCs w:val="false"/>
                <w:sz w:val="20"/>
                <w:szCs w:val="20"/>
              </w:rPr>
              <w:t xml:space="preserve">N/A</w:t>
            </w:r>
          </w:p>
        </w:tc>
      </w:tr>
    </w:tbl>
    <w:p>
      <w:pPr>
        <w:spacing w:after="150"/>
      </w:pPr>
      <w:r>
        <w:rPr>
          <w:b w:val="false"/>
          <w:bCs w:val="false"/>
          <w:i w:val="false"/>
          <w:iCs w:val="false"/>
          <w:sz w:val="22"/>
          <w:szCs w:val="22"/>
        </w:rPr>
        <w:t xml:space="preserve"/>
      </w:r>
    </w:p>
    <w:p>
      <w:pPr>
        <w:pStyle w:val="Heading1"/>
        <w:spacing w:after="150" w:before="300"/>
      </w:pPr>
      <w:r>
        <w:t xml:space="preserve">Executive Summary</w:t>
      </w:r>
    </w:p>
    <w:p>
      <w:pPr>
        <w:spacing w:after="150"/>
      </w:pPr>
      <w:r>
        <w:rPr>
          <w:b w:val="false"/>
          <w:bCs w:val="false"/>
          <w:i w:val="false"/>
          <w:iCs w:val="false"/>
          <w:sz w:val="22"/>
          <w:szCs w:val="22"/>
        </w:rPr>
        <w:t xml:space="preserve">La solicitud corresponde a la iniciativa "Migración de EDITRAN", cuyo objetivo es migrar el aplicativo EDITRAN — actualmente desplegado sobre una estación Windows 11 sin controles de resiliencia — hacia servidores Windows Server 2019 dedicados por entidad (CSF y SBP), eliminando la dependencia de un único punto de falla identificado por el propio equipo de arquitectura en la sección de Riesgos/Constraints del Technical Design Document (TDD).</w:t>
      </w:r>
    </w:p>
    <w:p>
      <w:pPr>
        <w:spacing w:after="150"/>
      </w:pPr>
      <w:r>
        <w:rPr>
          <w:b w:val="false"/>
          <w:bCs w:val="false"/>
          <w:i w:val="false"/>
          <w:iCs w:val="false"/>
          <w:sz w:val="22"/>
          <w:szCs w:val="22"/>
        </w:rPr>
        <w:t xml:space="preserve">EDITRAN ejecuta transferencias interbancarias diferidas hacia la CCE a través de la red Bancared. El diseño Interim/Target incorpora un módulo web (Tracking Web/API) para que los operadores hagan seguimiento a los envíos y recepciones sin ingresar directamente al servidor EDITRAN, así como servicios Windows dedicados (Transmisión, Mantenimiento, Comando Especial, Sucesor de Eventos).</w:t>
      </w:r>
    </w:p>
    <w:p>
      <w:pPr>
        <w:spacing w:after="150"/>
      </w:pPr>
      <w:r>
        <w:rPr>
          <w:b w:val="false"/>
          <w:bCs w:val="false"/>
          <w:i w:val="false"/>
          <w:iCs w:val="false"/>
          <w:sz w:val="22"/>
          <w:szCs w:val="22"/>
        </w:rPr>
        <w:t xml:space="preserve">Como parte de la revisión de seguridad, se identificó que la aplicación EDITRAN continúa operando como un ejecutable (.exe) sin acceso a las fuentes ni posibilidad de recompilación, que el componente EDITRAN se ejecuta bajo una cuenta de dominio con rol de Administrador sin segregación de funciones, y que el failover de base de datos ante un evento de continuidad es manual. Estos tres hallazgos se detallan como Control Defects en las secciones siguientes.</w:t>
      </w:r>
    </w:p>
    <w:p>
      <w:pPr>
        <w:spacing w:after="150"/>
      </w:pPr>
      <w:r>
        <w:rPr>
          <w:b w:val="false"/>
          <w:bCs w:val="false"/>
          <w:i w:val="false"/>
          <w:iCs w:val="false"/>
          <w:sz w:val="22"/>
          <w:szCs w:val="22"/>
        </w:rPr>
        <w:t xml:space="preserve">Se confirma que, según el TDD, los datos de tracking almacenados en la base de datos web no contienen información de clientes ni datos sensibles, y que la transmisión de archivos regulatorios hacia la CCE se realiza cifrada (RSA 4096 / 3DES) sobre el protocolo definido por el regulador.</w:t>
      </w:r>
    </w:p>
    <w:p>
      <w:pPr>
        <w:spacing w:after="150"/>
      </w:pPr>
      <w:r>
        <w:rPr>
          <w:b w:val="false"/>
          <w:bCs w:val="false"/>
          <w:i w:val="false"/>
          <w:iCs w:val="false"/>
          <w:sz w:val="22"/>
          <w:szCs w:val="22"/>
        </w:rPr>
        <w:t xml:space="preserve"/>
      </w:r>
    </w:p>
    <w:p>
      <w:pPr>
        <w:pStyle w:val="Heading1"/>
        <w:spacing w:after="150" w:before="300"/>
      </w:pPr>
      <w:r>
        <w:t xml:space="preserve">Data Classification</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gridCol w:w="2400"/>
      </w:tblGrid>
      <w:tr>
        <w:tc>
          <w:tcPr>
            <w:tcW w:type="dxa" w:w="2400"/>
            <w:shd w:fill="D9D9D9" w:val="clear"/>
            <w:tcMar>
              <w:top w:type="dxa" w:w="80"/>
              <w:left w:type="dxa" w:w="100"/>
              <w:bottom w:type="dxa" w:w="80"/>
              <w:right w:type="dxa" w:w="100"/>
            </w:tcMar>
            <w:vAlign w:val="center"/>
          </w:tcPr>
          <w:p>
            <w:pPr>
              <w:jc w:val="left"/>
            </w:pPr>
            <w:r>
              <w:rPr>
                <w:b/>
                <w:bCs/>
                <w:sz w:val="20"/>
                <w:szCs w:val="20"/>
              </w:rPr>
              <w:t xml:space="preserve">Confidentiality</w:t>
            </w:r>
          </w:p>
        </w:tc>
        <w:tc>
          <w:tcPr>
            <w:tcW w:type="dxa" w:w="2400"/>
            <w:shd w:fill="D9D9D9" w:val="clear"/>
            <w:tcMar>
              <w:top w:type="dxa" w:w="80"/>
              <w:left w:type="dxa" w:w="100"/>
              <w:bottom w:type="dxa" w:w="80"/>
              <w:right w:type="dxa" w:w="100"/>
            </w:tcMar>
            <w:vAlign w:val="center"/>
          </w:tcPr>
          <w:p>
            <w:pPr>
              <w:jc w:val="left"/>
            </w:pPr>
            <w:r>
              <w:rPr>
                <w:b/>
                <w:bCs/>
                <w:sz w:val="20"/>
                <w:szCs w:val="20"/>
              </w:rPr>
              <w:t xml:space="preserve">Integrity</w:t>
            </w:r>
          </w:p>
        </w:tc>
        <w:tc>
          <w:tcPr>
            <w:tcW w:type="dxa" w:w="2400"/>
            <w:shd w:fill="D9D9D9" w:val="clear"/>
            <w:tcMar>
              <w:top w:type="dxa" w:w="80"/>
              <w:left w:type="dxa" w:w="100"/>
              <w:bottom w:type="dxa" w:w="80"/>
              <w:right w:type="dxa" w:w="100"/>
            </w:tcMar>
            <w:vAlign w:val="center"/>
          </w:tcPr>
          <w:p>
            <w:pPr>
              <w:jc w:val="left"/>
            </w:pPr>
            <w:r>
              <w:rPr>
                <w:b/>
                <w:bCs/>
                <w:sz w:val="20"/>
                <w:szCs w:val="20"/>
              </w:rPr>
              <w:t xml:space="preserve">Availability</w:t>
            </w:r>
          </w:p>
        </w:tc>
        <w:tc>
          <w:tcPr>
            <w:tcW w:type="dxa" w:w="2400"/>
            <w:shd w:fill="D9D9D9" w:val="clear"/>
            <w:tcMar>
              <w:top w:type="dxa" w:w="80"/>
              <w:left w:type="dxa" w:w="100"/>
              <w:bottom w:type="dxa" w:w="80"/>
              <w:right w:type="dxa" w:w="100"/>
            </w:tcMar>
            <w:vAlign w:val="center"/>
          </w:tcPr>
          <w:p>
            <w:pPr>
              <w:jc w:val="left"/>
            </w:pPr>
            <w:r>
              <w:rPr>
                <w:b/>
                <w:bCs/>
                <w:sz w:val="20"/>
                <w:szCs w:val="20"/>
              </w:rPr>
              <w:t xml:space="preserve">Continuity</w:t>
            </w:r>
          </w:p>
        </w:tc>
      </w:tr>
      <w:tr>
        <w:tc>
          <w:tcPr>
            <w:tcW w:type="dxa" w:w="2400"/>
            <w:tcMar>
              <w:top w:type="dxa" w:w="80"/>
              <w:left w:type="dxa" w:w="100"/>
              <w:bottom w:type="dxa" w:w="80"/>
              <w:right w:type="dxa" w:w="100"/>
            </w:tcMar>
            <w:vAlign w:val="center"/>
          </w:tcPr>
          <w:p>
            <w:pPr>
              <w:jc w:val="left"/>
            </w:pPr>
            <w:r>
              <w:rPr>
                <w:b w:val="false"/>
                <w:bCs w:val="false"/>
                <w:sz w:val="20"/>
                <w:szCs w:val="20"/>
              </w:rPr>
              <w:t xml:space="preserve">Confidential</w:t>
            </w:r>
          </w:p>
        </w:tc>
        <w:tc>
          <w:tcPr>
            <w:tcW w:type="dxa" w:w="2400"/>
            <w:tcMar>
              <w:top w:type="dxa" w:w="80"/>
              <w:left w:type="dxa" w:w="100"/>
              <w:bottom w:type="dxa" w:w="80"/>
              <w:right w:type="dxa" w:w="100"/>
            </w:tcMar>
            <w:vAlign w:val="center"/>
          </w:tcPr>
          <w:p>
            <w:pPr>
              <w:jc w:val="left"/>
            </w:pPr>
            <w:r>
              <w:rPr>
                <w:b w:val="false"/>
                <w:bCs w:val="false"/>
                <w:sz w:val="20"/>
                <w:szCs w:val="20"/>
              </w:rPr>
              <w:t xml:space="preserve">Highly Valuable</w:t>
            </w:r>
          </w:p>
        </w:tc>
        <w:tc>
          <w:tcPr>
            <w:tcW w:type="dxa" w:w="2400"/>
            <w:tcMar>
              <w:top w:type="dxa" w:w="80"/>
              <w:left w:type="dxa" w:w="100"/>
              <w:bottom w:type="dxa" w:w="80"/>
              <w:right w:type="dxa" w:w="100"/>
            </w:tcMar>
            <w:vAlign w:val="center"/>
          </w:tcPr>
          <w:p>
            <w:pPr>
              <w:jc w:val="left"/>
            </w:pPr>
            <w:r>
              <w:rPr>
                <w:b w:val="false"/>
                <w:bCs w:val="false"/>
                <w:sz w:val="20"/>
                <w:szCs w:val="20"/>
              </w:rPr>
              <w:t xml:space="preserve">Critical (SBP) / High (CSF)</w:t>
            </w:r>
          </w:p>
        </w:tc>
        <w:tc>
          <w:tcPr>
            <w:tcW w:type="dxa" w:w="2400"/>
            <w:tcMar>
              <w:top w:type="dxa" w:w="80"/>
              <w:left w:type="dxa" w:w="100"/>
              <w:bottom w:type="dxa" w:w="80"/>
              <w:right w:type="dxa" w:w="100"/>
            </w:tcMar>
            <w:vAlign w:val="center"/>
          </w:tcPr>
          <w:p>
            <w:pPr>
              <w:jc w:val="left"/>
            </w:pPr>
            <w:r>
              <w:rPr>
                <w:b w:val="false"/>
                <w:bCs w:val="false"/>
                <w:sz w:val="20"/>
                <w:szCs w:val="20"/>
              </w:rPr>
              <w:t xml:space="preserve">High (SBP) / Critical (CSF)</w:t>
            </w:r>
          </w:p>
        </w:tc>
      </w:tr>
    </w:tbl>
    <w:p>
      <w:pPr>
        <w:spacing w:after="150"/>
      </w:pPr>
      <w:r>
        <w:rPr>
          <w:b w:val="false"/>
          <w:bCs w:val="false"/>
          <w:i w:val="false"/>
          <w:iCs w:val="false"/>
          <w:sz w:val="22"/>
          <w:szCs w:val="22"/>
        </w:rPr>
        <w:t xml:space="preserve"/>
      </w:r>
    </w:p>
    <w:p>
      <w:pPr>
        <w:pStyle w:val="Heading1"/>
        <w:spacing w:after="150" w:before="300"/>
      </w:pPr>
      <w:r>
        <w:t xml:space="preserve">Data Element</w:t>
      </w:r>
    </w:p>
    <w:p>
      <w:pPr>
        <w:spacing w:after="150"/>
      </w:pPr>
      <w:r>
        <w:rPr>
          <w:b w:val="false"/>
          <w:bCs w:val="false"/>
          <w:i w:val="false"/>
          <w:iCs w:val="false"/>
          <w:sz w:val="22"/>
          <w:szCs w:val="22"/>
        </w:rPr>
        <w:t xml:space="preserve">El sistema procesa datos financieros regulatorios y de tracking clasificados como Confidential, incluyendo:</w:t>
      </w:r>
    </w:p>
    <w:p>
      <w:pPr>
        <w:pStyle w:val="ListParagraph"/>
        <w:numPr>
          <w:ilvl w:val="0"/>
          <w:numId w:val="1"/>
        </w:numPr>
        <w:spacing w:after="80"/>
      </w:pPr>
      <w:r>
        <w:t xml:space="preserve">Archivos de transferencias interbancarias diferidas (envío/recepción) hacia y desde la CCE</w:t>
      </w:r>
    </w:p>
    <w:p>
      <w:pPr>
        <w:pStyle w:val="ListParagraph"/>
        <w:numPr>
          <w:ilvl w:val="0"/>
          <w:numId w:val="1"/>
        </w:numPr>
        <w:spacing w:after="80"/>
      </w:pPr>
      <w:r>
        <w:t xml:space="preserve">Archivos de Canje (compensación)</w:t>
      </w:r>
    </w:p>
    <w:p>
      <w:pPr>
        <w:pStyle w:val="ListParagraph"/>
        <w:numPr>
          <w:ilvl w:val="0"/>
          <w:numId w:val="1"/>
        </w:numPr>
        <w:spacing w:after="80"/>
      </w:pPr>
      <w:r>
        <w:t xml:space="preserve">Credenciales de autenticación (RSA 4096, 3DES) para el intercambio con la CCE</w:t>
      </w:r>
    </w:p>
    <w:p>
      <w:pPr>
        <w:pStyle w:val="ListParagraph"/>
        <w:numPr>
          <w:ilvl w:val="0"/>
          <w:numId w:val="1"/>
        </w:numPr>
        <w:spacing w:after="80"/>
      </w:pPr>
      <w:r>
        <w:t xml:space="preserve">Datos de tracking (seguimiento de envíos/recepciones) — sin información de clientes</w:t>
      </w:r>
    </w:p>
    <w:p>
      <w:pPr>
        <w:pStyle w:val="ListParagraph"/>
        <w:numPr>
          <w:ilvl w:val="0"/>
          <w:numId w:val="1"/>
        </w:numPr>
        <w:spacing w:after="80"/>
      </w:pPr>
      <w:r>
        <w:t xml:space="preserve">Metadatos de turnos, horarios y logs de auditoría (tbl_audit, tbl_tracking)</w:t>
      </w:r>
    </w:p>
    <w:p>
      <w:pPr>
        <w:spacing w:after="150"/>
      </w:pPr>
      <w:r>
        <w:rPr>
          <w:b w:val="false"/>
          <w:bCs w:val="false"/>
          <w:i w:val="false"/>
          <w:iCs w:val="false"/>
          <w:sz w:val="22"/>
          <w:szCs w:val="22"/>
        </w:rPr>
        <w:t xml:space="preserve"/>
      </w:r>
    </w:p>
    <w:p>
      <w:pPr>
        <w:pStyle w:val="Heading1"/>
        <w:spacing w:after="150" w:before="300"/>
      </w:pPr>
      <w:r>
        <w:t xml:space="preserve">In Scope</w:t>
      </w:r>
    </w:p>
    <w:p>
      <w:pPr>
        <w:pStyle w:val="ListParagraph"/>
        <w:numPr>
          <w:ilvl w:val="0"/>
          <w:numId w:val="1"/>
        </w:numPr>
        <w:spacing w:after="80"/>
      </w:pPr>
      <w:r>
        <w:t xml:space="preserve">Migración de EDITRAN 5.2 desde estación Windows 11 hacia servidores Windows Server 2019 dedicados (CSF y SBP)</w:t>
      </w:r>
    </w:p>
    <w:p>
      <w:pPr>
        <w:pStyle w:val="ListParagraph"/>
        <w:numPr>
          <w:ilvl w:val="0"/>
          <w:numId w:val="1"/>
        </w:numPr>
        <w:spacing w:after="80"/>
      </w:pPr>
      <w:r>
        <w:t xml:space="preserve">Construcción de servicios Windows (Transmisión, Mantenimiento, Comando Especial, Sucesor de Eventos) que interactúan con EDITRAN</w:t>
      </w:r>
    </w:p>
    <w:p>
      <w:pPr>
        <w:pStyle w:val="ListParagraph"/>
        <w:numPr>
          <w:ilvl w:val="0"/>
          <w:numId w:val="1"/>
        </w:numPr>
        <w:spacing w:after="80"/>
      </w:pPr>
      <w:r>
        <w:t xml:space="preserve">Implementación de módulo web (Tracking Web/API) para seguimiento de envíos y recepciones por parte de operadores</w:t>
      </w:r>
    </w:p>
    <w:p>
      <w:pPr>
        <w:pStyle w:val="ListParagraph"/>
        <w:numPr>
          <w:ilvl w:val="0"/>
          <w:numId w:val="1"/>
        </w:numPr>
        <w:spacing w:after="80"/>
      </w:pPr>
      <w:r>
        <w:t xml:space="preserve">Autenticación y autorización de Operadores, Seguridad y Administradores de Reportes</w:t>
      </w:r>
    </w:p>
    <w:p>
      <w:pPr>
        <w:pStyle w:val="ListParagraph"/>
        <w:numPr>
          <w:ilvl w:val="0"/>
          <w:numId w:val="1"/>
        </w:numPr>
        <w:spacing w:after="80"/>
      </w:pPr>
      <w:r>
        <w:t xml:space="preserve">Conectividad SFTP/TCP-IP hacia la CCE vía Bancared, y hacia el AS-400 para consolidación de archivos</w:t>
      </w:r>
    </w:p>
    <w:p>
      <w:pPr>
        <w:spacing w:after="150"/>
      </w:pPr>
      <w:r>
        <w:rPr>
          <w:b w:val="false"/>
          <w:bCs w:val="false"/>
          <w:i w:val="false"/>
          <w:iCs w:val="false"/>
          <w:sz w:val="22"/>
          <w:szCs w:val="22"/>
        </w:rPr>
        <w:t xml:space="preserve"/>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6400"/>
      </w:tblGrid>
      <w:tr>
        <w:tc>
          <w:tcPr>
            <w:tcW w:type="dxa" w:w="3200"/>
            <w:shd w:fill="D9D9D9" w:val="clear"/>
            <w:tcMar>
              <w:top w:type="dxa" w:w="80"/>
              <w:left w:type="dxa" w:w="100"/>
              <w:bottom w:type="dxa" w:w="80"/>
              <w:right w:type="dxa" w:w="100"/>
            </w:tcMar>
            <w:vAlign w:val="center"/>
          </w:tcPr>
          <w:p>
            <w:pPr>
              <w:jc w:val="left"/>
            </w:pPr>
            <w:r>
              <w:rPr>
                <w:b/>
                <w:bCs/>
                <w:sz w:val="20"/>
                <w:szCs w:val="20"/>
              </w:rPr>
              <w:t xml:space="preserve">Overall Risk Rating</w:t>
            </w:r>
          </w:p>
        </w:tc>
        <w:tc>
          <w:tcPr>
            <w:tcW w:type="dxa" w:w="6400"/>
            <w:tcMar>
              <w:top w:type="dxa" w:w="80"/>
              <w:left w:type="dxa" w:w="100"/>
              <w:bottom w:type="dxa" w:w="80"/>
              <w:right w:type="dxa" w:w="100"/>
            </w:tcMar>
            <w:vAlign w:val="center"/>
          </w:tcPr>
          <w:p>
            <w:pPr>
              <w:jc w:val="left"/>
            </w:pPr>
            <w:r>
              <w:rPr>
                <w:b w:val="false"/>
                <w:bCs w:val="false"/>
                <w:sz w:val="20"/>
                <w:szCs w:val="20"/>
              </w:rPr>
              <w:t xml:space="preserve">Medium</w:t>
            </w:r>
          </w:p>
        </w:tc>
      </w:tr>
    </w:tbl>
    <w:p>
      <w:pPr>
        <w:spacing w:after="150"/>
      </w:pPr>
      <w:r>
        <w:rPr>
          <w:b w:val="false"/>
          <w:bCs w:val="false"/>
          <w:i/>
          <w:iCs/>
          <w:sz w:val="18"/>
          <w:szCs w:val="18"/>
        </w:rPr>
        <w:t xml:space="preserve">*Overall risk rating must reflect the highest individual residual risk rating identified</w:t>
      </w:r>
    </w:p>
    <w:p>
      <w:pPr>
        <w:spacing w:after="150"/>
      </w:pPr>
      <w:r>
        <w:rPr>
          <w:b w:val="false"/>
          <w:bCs w:val="false"/>
          <w:i w:val="false"/>
          <w:iCs w:val="false"/>
          <w:sz w:val="22"/>
          <w:szCs w:val="22"/>
        </w:rPr>
        <w:t xml:space="preserve"/>
      </w:r>
    </w:p>
    <w:p>
      <w:pPr>
        <w:pStyle w:val="Heading1"/>
        <w:spacing w:after="150" w:before="300"/>
      </w:pPr>
      <w:r>
        <w:t xml:space="preserve">Risk Statement:</w:t>
      </w:r>
    </w:p>
    <w:p>
      <w:pPr>
        <w:spacing w:after="150"/>
      </w:pPr>
      <w:r>
        <w:rPr>
          <w:b w:val="false"/>
          <w:bCs w:val="false"/>
          <w:i w:val="false"/>
          <w:iCs w:val="false"/>
          <w:sz w:val="22"/>
          <w:szCs w:val="22"/>
        </w:rPr>
        <w:t xml:space="preserve">El residual risk rating se evalúa como Medium, dado que el sistema procesa información confidencial de alta valía (transferencias interbancarias) con requisitos de disponibilidad y continuidad críticos, lo cual expone a la organización a riesgos de integridad no controlada (ejecutable EDITRAN sin fuentes ni versionado), privilegios excesivos sobre el componente crítico de transmisión, y demoras en la recuperación ante desastre por depender de un proceso de failover manual.</w:t>
      </w:r>
    </w:p>
    <w:p>
      <w:pPr>
        <w:pStyle w:val="Heading1"/>
        <w:spacing w:after="150" w:before="300"/>
      </w:pPr>
      <w:r>
        <w:t xml:space="preserve">Assumptions</w:t>
      </w:r>
    </w:p>
    <w:p>
      <w:pPr>
        <w:spacing w:after="150"/>
      </w:pPr>
      <w:r>
        <w:rPr>
          <w:b w:val="false"/>
          <w:bCs w:val="false"/>
          <w:i w:val="false"/>
          <w:iCs w:val="false"/>
          <w:sz w:val="22"/>
          <w:szCs w:val="22"/>
        </w:rPr>
        <w:t xml:space="preserve">EDITRAN opera bajo servidores dedicados por entidad (CSF y SBP), cada uno alojado en Windows Server 2019, con acceso restringido a Operadores y Seguridad mediante credenciales de dominio individuales. La comunicación hacia la CCE se realiza exclusivamente vía Bancared, sobre los puertos y direcciones IP registrados y autorizados por el regulador.</w:t>
      </w:r>
    </w:p>
    <w:p>
      <w:pPr>
        <w:spacing w:after="150"/>
      </w:pPr>
      <w:r>
        <w:rPr>
          <w:b w:val="false"/>
          <w:bCs w:val="false"/>
          <w:i/>
          <w:iCs/>
          <w:sz w:val="22"/>
          <w:szCs w:val="22"/>
        </w:rPr>
        <w:t xml:space="preserve">Note: Should anything change relative to the data or mitigating controls impacting the residual risk, this threat/risk assessment must be revisited.</w:t>
      </w:r>
    </w:p>
    <w:p>
      <w:pPr>
        <w:pageBreakBefore/>
      </w:pPr>
    </w:p>
    <w:p>
      <w:pPr>
        <w:pStyle w:val="Heading1"/>
        <w:spacing w:after="150" w:before="300"/>
      </w:pPr>
      <w:r>
        <w:t xml:space="preserve">FOR MISSING OR DEFICIENT CONTROLS</w:t>
      </w:r>
    </w:p>
    <w:p>
      <w:pPr>
        <w:pStyle w:val="Heading2"/>
        <w:spacing w:after="100" w:before="200"/>
      </w:pPr>
      <w:r>
        <w:t xml:space="preserve">Control Defect #1</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c>
          <w:tcPr>
            <w:tcW w:type="dxa" w:w="2400"/>
            <w:shd w:fill="D9D9D9" w:val="clear"/>
            <w:tcMar>
              <w:top w:type="dxa" w:w="80"/>
              <w:left w:type="dxa" w:w="100"/>
              <w:bottom w:type="dxa" w:w="80"/>
              <w:right w:type="dxa" w:w="100"/>
            </w:tcMar>
            <w:vAlign w:val="center"/>
          </w:tcPr>
          <w:p>
            <w:pPr>
              <w:jc w:val="left"/>
            </w:pPr>
            <w:r>
              <w:rPr>
                <w:b/>
                <w:bCs/>
                <w:sz w:val="20"/>
                <w:szCs w:val="20"/>
              </w:rPr>
              <w:t xml:space="preserve">Control Defect #</w:t>
            </w:r>
          </w:p>
        </w:tc>
        <w:tc>
          <w:tcPr>
            <w:tcW w:type="dxa" w:w="7200"/>
            <w:tcMar>
              <w:top w:type="dxa" w:w="80"/>
              <w:left w:type="dxa" w:w="100"/>
              <w:bottom w:type="dxa" w:w="80"/>
              <w:right w:type="dxa" w:w="100"/>
            </w:tcMar>
          </w:tcPr>
          <w:p>
            <w:r>
              <w:rPr>
                <w:b w:val="false"/>
                <w:bCs w:val="false"/>
              </w:rPr>
              <w:t xml:space="preserve">Control Defect #1: Unmanaged Legacy Executable Without SDLC Controls (EDITRAN.exe)</w:t>
            </w:r>
          </w:p>
        </w:tc>
      </w:tr>
      <w:tr>
        <w:tc>
          <w:tcPr>
            <w:tcW w:type="dxa" w:w="2400"/>
            <w:shd w:fill="D9D9D9" w:val="clear"/>
            <w:tcMar>
              <w:top w:type="dxa" w:w="80"/>
              <w:left w:type="dxa" w:w="100"/>
              <w:bottom w:type="dxa" w:w="80"/>
              <w:right w:type="dxa" w:w="100"/>
            </w:tcMar>
            <w:vAlign w:val="center"/>
          </w:tcPr>
          <w:p>
            <w:pPr>
              <w:jc w:val="left"/>
            </w:pPr>
            <w:r>
              <w:rPr>
                <w:b/>
                <w:bCs/>
                <w:sz w:val="20"/>
                <w:szCs w:val="20"/>
              </w:rPr>
              <w:t xml:space="preserve">Title</w:t>
            </w:r>
          </w:p>
        </w:tc>
        <w:tc>
          <w:tcPr>
            <w:tcW w:type="dxa" w:w="7200"/>
            <w:tcMar>
              <w:top w:type="dxa" w:w="80"/>
              <w:left w:type="dxa" w:w="100"/>
              <w:bottom w:type="dxa" w:w="80"/>
              <w:right w:type="dxa" w:w="100"/>
            </w:tcMar>
          </w:tcPr>
          <w:p>
            <w:r>
              <w:rPr>
                <w:b w:val="false"/>
                <w:bCs w:val="false"/>
              </w:rPr>
              <w:t xml:space="preserve">Application Integrity of EDITRAN Executable</w:t>
            </w:r>
          </w:p>
        </w:tc>
      </w:tr>
      <w:tr>
        <w:tc>
          <w:tcPr>
            <w:tcW w:type="dxa" w:w="2400"/>
            <w:shd w:fill="D9D9D9" w:val="clear"/>
            <w:tcMar>
              <w:top w:type="dxa" w:w="80"/>
              <w:left w:type="dxa" w:w="100"/>
              <w:bottom w:type="dxa" w:w="80"/>
              <w:right w:type="dxa" w:w="100"/>
            </w:tcMar>
            <w:vAlign w:val="center"/>
          </w:tcPr>
          <w:p>
            <w:pPr>
              <w:jc w:val="left"/>
            </w:pPr>
            <w:r>
              <w:rPr>
                <w:b/>
                <w:bCs/>
                <w:sz w:val="20"/>
                <w:szCs w:val="20"/>
              </w:rPr>
              <w:t xml:space="preserve">Threat Category</w:t>
            </w:r>
          </w:p>
        </w:tc>
        <w:tc>
          <w:tcPr>
            <w:tcW w:type="dxa" w:w="7200"/>
            <w:tcMar>
              <w:top w:type="dxa" w:w="80"/>
              <w:left w:type="dxa" w:w="100"/>
              <w:bottom w:type="dxa" w:w="80"/>
              <w:right w:type="dxa" w:w="100"/>
            </w:tcMar>
          </w:tcPr>
          <w:p>
            <w:r>
              <w:rPr>
                <w:b w:val="false"/>
                <w:bCs w:val="false"/>
              </w:rPr>
              <w:t xml:space="preserve">Tampering with Data</w:t>
            </w:r>
          </w:p>
        </w:tc>
      </w:tr>
      <w:tr>
        <w:tc>
          <w:tcPr>
            <w:tcW w:type="dxa" w:w="2400"/>
            <w:shd w:fill="D9D9D9" w:val="clear"/>
            <w:tcMar>
              <w:top w:type="dxa" w:w="80"/>
              <w:left w:type="dxa" w:w="100"/>
              <w:bottom w:type="dxa" w:w="80"/>
              <w:right w:type="dxa" w:w="100"/>
            </w:tcMar>
            <w:vAlign w:val="center"/>
          </w:tcPr>
          <w:p>
            <w:pPr>
              <w:jc w:val="left"/>
            </w:pPr>
            <w:r>
              <w:rPr>
                <w:b/>
                <w:bCs/>
                <w:sz w:val="20"/>
                <w:szCs w:val="20"/>
              </w:rPr>
              <w:t xml:space="preserve">Control Taxonomy</w:t>
            </w:r>
          </w:p>
        </w:tc>
        <w:tc>
          <w:tcPr>
            <w:tcW w:type="dxa" w:w="7200"/>
            <w:tcMar>
              <w:top w:type="dxa" w:w="80"/>
              <w:left w:type="dxa" w:w="100"/>
              <w:bottom w:type="dxa" w:w="80"/>
              <w:right w:type="dxa" w:w="100"/>
            </w:tcMar>
          </w:tcPr>
          <w:p>
            <w:r>
              <w:rPr>
                <w:b w:val="false"/>
                <w:bCs w:val="false"/>
              </w:rPr>
              <w:t xml:space="preserve">Application Hardening / Secure SDLC</w:t>
            </w:r>
          </w:p>
        </w:tc>
      </w:tr>
      <w:tr>
        <w:tc>
          <w:tcPr>
            <w:tcW w:type="dxa" w:w="2400"/>
            <w:shd w:fill="D9D9D9" w:val="clear"/>
            <w:tcMar>
              <w:top w:type="dxa" w:w="80"/>
              <w:left w:type="dxa" w:w="100"/>
              <w:bottom w:type="dxa" w:w="80"/>
              <w:right w:type="dxa" w:w="100"/>
            </w:tcMar>
            <w:vAlign w:val="center"/>
          </w:tcPr>
          <w:p>
            <w:pPr>
              <w:jc w:val="left"/>
            </w:pPr>
            <w:r>
              <w:rPr>
                <w:b/>
                <w:bCs/>
                <w:sz w:val="20"/>
                <w:szCs w:val="20"/>
              </w:rPr>
              <w:t xml:space="preserve">Standards Impacted</w:t>
            </w:r>
          </w:p>
        </w:tc>
        <w:tc>
          <w:tcPr>
            <w:tcW w:type="dxa" w:w="7200"/>
            <w:tcMar>
              <w:top w:type="dxa" w:w="80"/>
              <w:left w:type="dxa" w:w="100"/>
              <w:bottom w:type="dxa" w:w="80"/>
              <w:right w:type="dxa" w:w="100"/>
            </w:tcMar>
          </w:tcPr>
          <w:p>
            <w:r>
              <w:rPr>
                <w:b w:val="false"/>
                <w:bCs w:val="false"/>
              </w:rPr>
              <w:t xml:space="preserve">Data Protection Policy; Secure Software Development Life Cycle; Critical Information Asset Security</w:t>
            </w:r>
          </w:p>
        </w:tc>
      </w:tr>
      <w:tr>
        <w:tc>
          <w:tcPr>
            <w:tcW w:type="dxa" w:w="2400"/>
            <w:shd w:fill="D9D9D9" w:val="clear"/>
            <w:tcMar>
              <w:top w:type="dxa" w:w="80"/>
              <w:left w:type="dxa" w:w="100"/>
              <w:bottom w:type="dxa" w:w="80"/>
              <w:right w:type="dxa" w:w="100"/>
            </w:tcMar>
            <w:vAlign w:val="center"/>
          </w:tcPr>
          <w:p>
            <w:pPr>
              <w:jc w:val="left"/>
            </w:pPr>
            <w:r>
              <w:rPr>
                <w:b/>
                <w:bCs/>
                <w:sz w:val="20"/>
                <w:szCs w:val="20"/>
              </w:rPr>
              <w:t xml:space="preserve">Control Deficiency</w:t>
            </w:r>
          </w:p>
        </w:tc>
        <w:tc>
          <w:tcPr>
            <w:tcW w:type="dxa" w:w="7200"/>
            <w:tcMar>
              <w:top w:type="dxa" w:w="80"/>
              <w:left w:type="dxa" w:w="100"/>
              <w:bottom w:type="dxa" w:w="80"/>
              <w:right w:type="dxa" w:w="100"/>
            </w:tcMar>
          </w:tcPr>
          <w:p>
            <w:r>
              <w:rPr>
                <w:b w:val="false"/>
                <w:bCs w:val="false"/>
              </w:rPr>
              <w:t xml:space="preserve">EDITRAN continúa operando como un ejecutable (.exe) provisto por el proveedor, sin acceso a las fuentes ni posibilidad de recompilación por parte del banco. A diferencia de los componentes Web y API de la solución (que sí pasan por SAST/DAST y control de versionado vía SCM), EDITRAN no pasa por el proceso de control de cambios ni por escaneos de seguridad, y no existe versionado formal de la aplicación.</w:t>
            </w:r>
          </w:p>
        </w:tc>
      </w:tr>
      <w:tr>
        <w:tc>
          <w:tcPr>
            <w:tcW w:type="dxa" w:w="2400"/>
            <w:shd w:fill="D9D9D9" w:val="clear"/>
            <w:tcMar>
              <w:top w:type="dxa" w:w="80"/>
              <w:left w:type="dxa" w:w="100"/>
              <w:bottom w:type="dxa" w:w="80"/>
              <w:right w:type="dxa" w:w="100"/>
            </w:tcMar>
            <w:vAlign w:val="center"/>
          </w:tcPr>
          <w:p>
            <w:pPr>
              <w:jc w:val="left"/>
            </w:pPr>
            <w:r>
              <w:rPr>
                <w:b/>
                <w:bCs/>
                <w:sz w:val="20"/>
                <w:szCs w:val="20"/>
              </w:rPr>
              <w:t xml:space="preserve">Inherent Risk:</w:t>
            </w:r>
          </w:p>
        </w:tc>
        <w:tc>
          <w:tcPr>
            <w:tcW w:type="dxa" w:w="7200"/>
            <w:tcMar>
              <w:top w:type="dxa" w:w="80"/>
              <w:left w:type="dxa" w:w="100"/>
              <w:bottom w:type="dxa" w:w="80"/>
              <w:right w:type="dxa" w:w="100"/>
            </w:tcMar>
          </w:tcPr>
          <w:p>
            <w:r>
              <w:rPr>
                <w:b w:val="false"/>
                <w:bCs w:val="false"/>
              </w:rPr>
              <w:t xml:space="preserve">Impact: High</w:t>
            </w:r>
          </w:p>
          <w:p>
            <w:r>
              <w:rPr>
                <w:b w:val="false"/>
                <w:bCs w:val="false"/>
              </w:rPr>
              <w:t xml:space="preserve">Likelihood: Medium</w:t>
            </w:r>
          </w:p>
          <w:p>
            <w:r>
              <w:rPr>
                <w:b/>
                <w:bCs/>
                <w:color w:val="C00000"/>
              </w:rPr>
              <w:t xml:space="preserve">Inherent Rating: High</w:t>
            </w:r>
          </w:p>
        </w:tc>
      </w:tr>
      <w:tr>
        <w:tc>
          <w:tcPr>
            <w:tcW w:type="dxa" w:w="2400"/>
            <w:shd w:fill="D9D9D9" w:val="clear"/>
            <w:tcMar>
              <w:top w:type="dxa" w:w="80"/>
              <w:left w:type="dxa" w:w="100"/>
              <w:bottom w:type="dxa" w:w="80"/>
              <w:right w:type="dxa" w:w="100"/>
            </w:tcMar>
            <w:vAlign w:val="center"/>
          </w:tcPr>
          <w:p>
            <w:pPr>
              <w:jc w:val="left"/>
            </w:pPr>
            <w:r>
              <w:rPr>
                <w:b/>
                <w:bCs/>
                <w:sz w:val="20"/>
                <w:szCs w:val="20"/>
              </w:rPr>
              <w:t xml:space="preserve">Risk Description</w:t>
            </w:r>
          </w:p>
        </w:tc>
        <w:tc>
          <w:tcPr>
            <w:tcW w:type="dxa" w:w="7200"/>
            <w:tcMar>
              <w:top w:type="dxa" w:w="80"/>
              <w:left w:type="dxa" w:w="100"/>
              <w:bottom w:type="dxa" w:w="80"/>
              <w:right w:type="dxa" w:w="100"/>
            </w:tcMar>
          </w:tcPr>
          <w:p>
            <w:r>
              <w:rPr>
                <w:b w:val="false"/>
                <w:bCs w:val="false"/>
              </w:rPr>
              <w:t xml:space="preserve">La ausencia de control sobre el código fuente de EDITRAN impide validar la integridad del binario, detectar modificaciones no autorizadas, o aplicar parches de seguridad de forma independiente del proveedor. Esto incrementa el riesgo de ejecución de código no verificado en un componente que transmite y recibe transferencias interbancarias diferidas.</w:t>
            </w:r>
          </w:p>
        </w:tc>
      </w:tr>
      <w:tr>
        <w:tc>
          <w:tcPr>
            <w:tcW w:type="dxa" w:w="2400"/>
            <w:shd w:fill="D9D9D9" w:val="clear"/>
            <w:tcMar>
              <w:top w:type="dxa" w:w="80"/>
              <w:left w:type="dxa" w:w="100"/>
              <w:bottom w:type="dxa" w:w="80"/>
              <w:right w:type="dxa" w:w="100"/>
            </w:tcMar>
            <w:vAlign w:val="center"/>
          </w:tcPr>
          <w:p>
            <w:pPr>
              <w:jc w:val="left"/>
            </w:pPr>
            <w:r>
              <w:rPr>
                <w:b/>
                <w:bCs/>
                <w:sz w:val="20"/>
                <w:szCs w:val="20"/>
              </w:rPr>
              <w:t xml:space="preserve">Existing Mitigating / Compensating Controls</w:t>
            </w:r>
          </w:p>
        </w:tc>
        <w:tc>
          <w:tcPr>
            <w:tcW w:type="dxa" w:w="7200"/>
            <w:tcMar>
              <w:top w:type="dxa" w:w="80"/>
              <w:left w:type="dxa" w:w="100"/>
              <w:bottom w:type="dxa" w:w="80"/>
              <w:right w:type="dxa" w:w="100"/>
            </w:tcMar>
          </w:tcPr>
          <w:p>
            <w:r>
              <w:rPr>
                <w:b w:val="false"/>
                <w:bCs w:val="false"/>
              </w:rPr>
              <w:t xml:space="preserve">• El servidor donde corre EDITRAN es dedicado por entidad (CSF/SBP), con acceso restringido a Operadores y Seguridad mediante credenciales de dominio.</w:t>
            </w:r>
          </w:p>
          <w:p>
            <w:r>
              <w:rPr>
                <w:b w:val="false"/>
                <w:bCs w:val="false"/>
              </w:rPr>
              <w:t xml:space="preserve">• La comunicación saliente está limitada a la IP y puerto registrados de la CCE (Bancared), reduciendo la superficie de uso indebido del ejecutable.</w:t>
            </w:r>
          </w:p>
          <w:p>
            <w:r>
              <w:rPr>
                <w:b w:val="false"/>
                <w:bCs w:val="false"/>
              </w:rPr>
              <w:t xml:space="preserve">• Existe un Technology Debt formalmente reconocido (Editran / BBHM) con plan de revisión en el próximo ARB junto con la CCE para evaluar reemplazar el .exe por un servicio o API.</w:t>
            </w:r>
          </w:p>
        </w:tc>
      </w:tr>
      <w:tr>
        <w:tc>
          <w:tcPr>
            <w:tcW w:type="dxa" w:w="2400"/>
            <w:shd w:fill="D9D9D9" w:val="clear"/>
            <w:tcMar>
              <w:top w:type="dxa" w:w="80"/>
              <w:left w:type="dxa" w:w="100"/>
              <w:bottom w:type="dxa" w:w="80"/>
              <w:right w:type="dxa" w:w="100"/>
            </w:tcMar>
            <w:vAlign w:val="center"/>
          </w:tcPr>
          <w:p>
            <w:pPr>
              <w:jc w:val="left"/>
            </w:pPr>
            <w:r>
              <w:rPr>
                <w:b/>
                <w:bCs/>
                <w:sz w:val="20"/>
                <w:szCs w:val="20"/>
              </w:rPr>
              <w:t xml:space="preserve">Residual Rating</w:t>
            </w:r>
          </w:p>
        </w:tc>
        <w:tc>
          <w:tcPr>
            <w:tcW w:type="dxa" w:w="7200"/>
            <w:tcMar>
              <w:top w:type="dxa" w:w="80"/>
              <w:left w:type="dxa" w:w="100"/>
              <w:bottom w:type="dxa" w:w="80"/>
              <w:right w:type="dxa" w:w="100"/>
            </w:tcMar>
          </w:tcPr>
          <w:p>
            <w:r>
              <w:rPr>
                <w:b w:val="false"/>
                <w:bCs w:val="false"/>
              </w:rPr>
              <w:t xml:space="preserve">Impact: Medium</w:t>
            </w:r>
          </w:p>
          <w:p>
            <w:r>
              <w:rPr>
                <w:b w:val="false"/>
                <w:bCs w:val="false"/>
              </w:rPr>
              <w:t xml:space="preserve">Likelihood: Medium</w:t>
            </w:r>
          </w:p>
          <w:p>
            <w:r>
              <w:rPr>
                <w:b/>
                <w:bCs/>
                <w:color w:val="C00000"/>
              </w:rPr>
              <w:t xml:space="preserve">Residual Rating: Medium</w:t>
            </w:r>
          </w:p>
        </w:tc>
      </w:tr>
      <w:tr>
        <w:tc>
          <w:tcPr>
            <w:tcW w:type="dxa" w:w="2400"/>
            <w:shd w:fill="D9D9D9" w:val="clear"/>
            <w:tcMar>
              <w:top w:type="dxa" w:w="80"/>
              <w:left w:type="dxa" w:w="100"/>
              <w:bottom w:type="dxa" w:w="80"/>
              <w:right w:type="dxa" w:w="100"/>
            </w:tcMar>
            <w:vAlign w:val="center"/>
          </w:tcPr>
          <w:p>
            <w:pPr>
              <w:jc w:val="left"/>
            </w:pPr>
            <w:r>
              <w:rPr>
                <w:b/>
                <w:bCs/>
                <w:sz w:val="20"/>
                <w:szCs w:val="20"/>
              </w:rPr>
              <w:t xml:space="preserve">Is an Issue?</w:t>
            </w:r>
          </w:p>
        </w:tc>
        <w:tc>
          <w:tcPr>
            <w:tcW w:type="dxa" w:w="7200"/>
            <w:tcMar>
              <w:top w:type="dxa" w:w="80"/>
              <w:left w:type="dxa" w:w="100"/>
              <w:bottom w:type="dxa" w:w="80"/>
              <w:right w:type="dxa" w:w="100"/>
            </w:tcMar>
          </w:tcPr>
          <w:p>
            <w:r>
              <w:rPr>
                <w:b w:val="false"/>
                <w:bCs w:val="false"/>
              </w:rPr>
              <w:t xml:space="preserve">No</w:t>
            </w:r>
          </w:p>
        </w:tc>
      </w:tr>
    </w:tbl>
    <w:p>
      <w:pPr>
        <w:pageBreakBefore/>
      </w:pPr>
    </w:p>
    <w:p>
      <w:pPr>
        <w:pStyle w:val="Heading2"/>
        <w:spacing w:after="100" w:before="200"/>
      </w:pPr>
      <w:r>
        <w:t xml:space="preserve">Control Defect #2</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c>
          <w:tcPr>
            <w:tcW w:type="dxa" w:w="2400"/>
            <w:shd w:fill="D9D9D9" w:val="clear"/>
            <w:tcMar>
              <w:top w:type="dxa" w:w="80"/>
              <w:left w:type="dxa" w:w="100"/>
              <w:bottom w:type="dxa" w:w="80"/>
              <w:right w:type="dxa" w:w="100"/>
            </w:tcMar>
            <w:vAlign w:val="center"/>
          </w:tcPr>
          <w:p>
            <w:pPr>
              <w:jc w:val="left"/>
            </w:pPr>
            <w:r>
              <w:rPr>
                <w:b/>
                <w:bCs/>
                <w:sz w:val="20"/>
                <w:szCs w:val="20"/>
              </w:rPr>
              <w:t xml:space="preserve">Control Defect #</w:t>
            </w:r>
          </w:p>
        </w:tc>
        <w:tc>
          <w:tcPr>
            <w:tcW w:type="dxa" w:w="7200"/>
            <w:tcMar>
              <w:top w:type="dxa" w:w="80"/>
              <w:left w:type="dxa" w:w="100"/>
              <w:bottom w:type="dxa" w:w="80"/>
              <w:right w:type="dxa" w:w="100"/>
            </w:tcMar>
          </w:tcPr>
          <w:p>
            <w:r>
              <w:rPr>
                <w:b w:val="false"/>
                <w:bCs w:val="false"/>
              </w:rPr>
              <w:t xml:space="preserve">Control Defect #2: Excessive Privileges on Editran Service Account</w:t>
            </w:r>
          </w:p>
        </w:tc>
      </w:tr>
      <w:tr>
        <w:tc>
          <w:tcPr>
            <w:tcW w:type="dxa" w:w="2400"/>
            <w:shd w:fill="D9D9D9" w:val="clear"/>
            <w:tcMar>
              <w:top w:type="dxa" w:w="80"/>
              <w:left w:type="dxa" w:w="100"/>
              <w:bottom w:type="dxa" w:w="80"/>
              <w:right w:type="dxa" w:w="100"/>
            </w:tcMar>
            <w:vAlign w:val="center"/>
          </w:tcPr>
          <w:p>
            <w:pPr>
              <w:jc w:val="left"/>
            </w:pPr>
            <w:r>
              <w:rPr>
                <w:b/>
                <w:bCs/>
                <w:sz w:val="20"/>
                <w:szCs w:val="20"/>
              </w:rPr>
              <w:t xml:space="preserve">Title</w:t>
            </w:r>
          </w:p>
        </w:tc>
        <w:tc>
          <w:tcPr>
            <w:tcW w:type="dxa" w:w="7200"/>
            <w:tcMar>
              <w:top w:type="dxa" w:w="80"/>
              <w:left w:type="dxa" w:w="100"/>
              <w:bottom w:type="dxa" w:w="80"/>
              <w:right w:type="dxa" w:w="100"/>
            </w:tcMar>
          </w:tcPr>
          <w:p>
            <w:r>
              <w:rPr>
                <w:b w:val="false"/>
                <w:bCs w:val="false"/>
              </w:rPr>
              <w:t xml:space="preserve">Privilege Level of the Editran Component Account</w:t>
            </w:r>
          </w:p>
        </w:tc>
      </w:tr>
      <w:tr>
        <w:tc>
          <w:tcPr>
            <w:tcW w:type="dxa" w:w="2400"/>
            <w:shd w:fill="D9D9D9" w:val="clear"/>
            <w:tcMar>
              <w:top w:type="dxa" w:w="80"/>
              <w:left w:type="dxa" w:w="100"/>
              <w:bottom w:type="dxa" w:w="80"/>
              <w:right w:type="dxa" w:w="100"/>
            </w:tcMar>
            <w:vAlign w:val="center"/>
          </w:tcPr>
          <w:p>
            <w:pPr>
              <w:jc w:val="left"/>
            </w:pPr>
            <w:r>
              <w:rPr>
                <w:b/>
                <w:bCs/>
                <w:sz w:val="20"/>
                <w:szCs w:val="20"/>
              </w:rPr>
              <w:t xml:space="preserve">Threat Category</w:t>
            </w:r>
          </w:p>
        </w:tc>
        <w:tc>
          <w:tcPr>
            <w:tcW w:type="dxa" w:w="7200"/>
            <w:tcMar>
              <w:top w:type="dxa" w:w="80"/>
              <w:left w:type="dxa" w:w="100"/>
              <w:bottom w:type="dxa" w:w="80"/>
              <w:right w:type="dxa" w:w="100"/>
            </w:tcMar>
          </w:tcPr>
          <w:p>
            <w:r>
              <w:rPr>
                <w:b w:val="false"/>
                <w:bCs w:val="false"/>
              </w:rPr>
              <w:t xml:space="preserve">Elevation of Privilege</w:t>
            </w:r>
          </w:p>
        </w:tc>
      </w:tr>
      <w:tr>
        <w:tc>
          <w:tcPr>
            <w:tcW w:type="dxa" w:w="2400"/>
            <w:shd w:fill="D9D9D9" w:val="clear"/>
            <w:tcMar>
              <w:top w:type="dxa" w:w="80"/>
              <w:left w:type="dxa" w:w="100"/>
              <w:bottom w:type="dxa" w:w="80"/>
              <w:right w:type="dxa" w:w="100"/>
            </w:tcMar>
            <w:vAlign w:val="center"/>
          </w:tcPr>
          <w:p>
            <w:pPr>
              <w:jc w:val="left"/>
            </w:pPr>
            <w:r>
              <w:rPr>
                <w:b/>
                <w:bCs/>
                <w:sz w:val="20"/>
                <w:szCs w:val="20"/>
              </w:rPr>
              <w:t xml:space="preserve">Control Taxonomy</w:t>
            </w:r>
          </w:p>
        </w:tc>
        <w:tc>
          <w:tcPr>
            <w:tcW w:type="dxa" w:w="7200"/>
            <w:tcMar>
              <w:top w:type="dxa" w:w="80"/>
              <w:left w:type="dxa" w:w="100"/>
              <w:bottom w:type="dxa" w:w="80"/>
              <w:right w:type="dxa" w:w="100"/>
            </w:tcMar>
          </w:tcPr>
          <w:p>
            <w:r>
              <w:rPr>
                <w:b w:val="false"/>
                <w:bCs w:val="false"/>
              </w:rPr>
              <w:t xml:space="preserve">Role Design and Entitlement Management / Least Privilege Enforcement</w:t>
            </w:r>
          </w:p>
        </w:tc>
      </w:tr>
      <w:tr>
        <w:tc>
          <w:tcPr>
            <w:tcW w:type="dxa" w:w="2400"/>
            <w:shd w:fill="D9D9D9" w:val="clear"/>
            <w:tcMar>
              <w:top w:type="dxa" w:w="80"/>
              <w:left w:type="dxa" w:w="100"/>
              <w:bottom w:type="dxa" w:w="80"/>
              <w:right w:type="dxa" w:w="100"/>
            </w:tcMar>
            <w:vAlign w:val="center"/>
          </w:tcPr>
          <w:p>
            <w:pPr>
              <w:jc w:val="left"/>
            </w:pPr>
            <w:r>
              <w:rPr>
                <w:b/>
                <w:bCs/>
                <w:sz w:val="20"/>
                <w:szCs w:val="20"/>
              </w:rPr>
              <w:t xml:space="preserve">Standards Impacted</w:t>
            </w:r>
          </w:p>
        </w:tc>
        <w:tc>
          <w:tcPr>
            <w:tcW w:type="dxa" w:w="7200"/>
            <w:tcMar>
              <w:top w:type="dxa" w:w="80"/>
              <w:left w:type="dxa" w:w="100"/>
              <w:bottom w:type="dxa" w:w="80"/>
              <w:right w:type="dxa" w:w="100"/>
            </w:tcMar>
          </w:tcPr>
          <w:p>
            <w:r>
              <w:rPr>
                <w:b w:val="false"/>
                <w:bCs w:val="false"/>
              </w:rPr>
              <w:t xml:space="preserve">Identity and Access Management Policy; Critical Information Asset Security</w:t>
            </w:r>
          </w:p>
        </w:tc>
      </w:tr>
      <w:tr>
        <w:tc>
          <w:tcPr>
            <w:tcW w:type="dxa" w:w="2400"/>
            <w:shd w:fill="D9D9D9" w:val="clear"/>
            <w:tcMar>
              <w:top w:type="dxa" w:w="80"/>
              <w:left w:type="dxa" w:w="100"/>
              <w:bottom w:type="dxa" w:w="80"/>
              <w:right w:type="dxa" w:w="100"/>
            </w:tcMar>
            <w:vAlign w:val="center"/>
          </w:tcPr>
          <w:p>
            <w:pPr>
              <w:jc w:val="left"/>
            </w:pPr>
            <w:r>
              <w:rPr>
                <w:b/>
                <w:bCs/>
                <w:sz w:val="20"/>
                <w:szCs w:val="20"/>
              </w:rPr>
              <w:t xml:space="preserve">Control Deficiency</w:t>
            </w:r>
          </w:p>
        </w:tc>
        <w:tc>
          <w:tcPr>
            <w:tcW w:type="dxa" w:w="7200"/>
            <w:tcMar>
              <w:top w:type="dxa" w:w="80"/>
              <w:left w:type="dxa" w:w="100"/>
              <w:bottom w:type="dxa" w:w="80"/>
              <w:right w:type="dxa" w:w="100"/>
            </w:tcMar>
          </w:tcPr>
          <w:p>
            <w:r>
              <w:rPr>
                <w:b w:val="false"/>
                <w:bCs w:val="false"/>
              </w:rPr>
              <w:t xml:space="preserve">Según el Authorization Model del TDD, el componente "Editran components" se autentica mediante una cuenta de dominio Windows (Windows Account) con nivel de autorización Administrator y permisos de Read/Write/Execute, sin evidencia de un rol acotado o de segregación de funciones para las operaciones que realmente requiere ejecutar (transmisión, mantenimiento, comando especial).</w:t>
            </w:r>
          </w:p>
        </w:tc>
      </w:tr>
      <w:tr>
        <w:tc>
          <w:tcPr>
            <w:tcW w:type="dxa" w:w="2400"/>
            <w:shd w:fill="D9D9D9" w:val="clear"/>
            <w:tcMar>
              <w:top w:type="dxa" w:w="80"/>
              <w:left w:type="dxa" w:w="100"/>
              <w:bottom w:type="dxa" w:w="80"/>
              <w:right w:type="dxa" w:w="100"/>
            </w:tcMar>
            <w:vAlign w:val="center"/>
          </w:tcPr>
          <w:p>
            <w:pPr>
              <w:jc w:val="left"/>
            </w:pPr>
            <w:r>
              <w:rPr>
                <w:b/>
                <w:bCs/>
                <w:sz w:val="20"/>
                <w:szCs w:val="20"/>
              </w:rPr>
              <w:t xml:space="preserve">Inherent Risk:</w:t>
            </w:r>
          </w:p>
        </w:tc>
        <w:tc>
          <w:tcPr>
            <w:tcW w:type="dxa" w:w="7200"/>
            <w:tcMar>
              <w:top w:type="dxa" w:w="80"/>
              <w:left w:type="dxa" w:w="100"/>
              <w:bottom w:type="dxa" w:w="80"/>
              <w:right w:type="dxa" w:w="100"/>
            </w:tcMar>
          </w:tcPr>
          <w:p>
            <w:r>
              <w:rPr>
                <w:b w:val="false"/>
                <w:bCs w:val="false"/>
              </w:rPr>
              <w:t xml:space="preserve">Impact: High</w:t>
            </w:r>
          </w:p>
          <w:p>
            <w:r>
              <w:rPr>
                <w:b w:val="false"/>
                <w:bCs w:val="false"/>
              </w:rPr>
              <w:t xml:space="preserve">Likelihood: Medium</w:t>
            </w:r>
          </w:p>
          <w:p>
            <w:r>
              <w:rPr>
                <w:b/>
                <w:bCs/>
                <w:color w:val="C00000"/>
              </w:rPr>
              <w:t xml:space="preserve">Inherent Rating: High</w:t>
            </w:r>
          </w:p>
        </w:tc>
      </w:tr>
      <w:tr>
        <w:tc>
          <w:tcPr>
            <w:tcW w:type="dxa" w:w="2400"/>
            <w:shd w:fill="D9D9D9" w:val="clear"/>
            <w:tcMar>
              <w:top w:type="dxa" w:w="80"/>
              <w:left w:type="dxa" w:w="100"/>
              <w:bottom w:type="dxa" w:w="80"/>
              <w:right w:type="dxa" w:w="100"/>
            </w:tcMar>
            <w:vAlign w:val="center"/>
          </w:tcPr>
          <w:p>
            <w:pPr>
              <w:jc w:val="left"/>
            </w:pPr>
            <w:r>
              <w:rPr>
                <w:b/>
                <w:bCs/>
                <w:sz w:val="20"/>
                <w:szCs w:val="20"/>
              </w:rPr>
              <w:t xml:space="preserve">Risk Description</w:t>
            </w:r>
          </w:p>
        </w:tc>
        <w:tc>
          <w:tcPr>
            <w:tcW w:type="dxa" w:w="7200"/>
            <w:tcMar>
              <w:top w:type="dxa" w:w="80"/>
              <w:left w:type="dxa" w:w="100"/>
              <w:bottom w:type="dxa" w:w="80"/>
              <w:right w:type="dxa" w:w="100"/>
            </w:tcMar>
          </w:tcPr>
          <w:p>
            <w:r>
              <w:rPr>
                <w:b w:val="false"/>
                <w:bCs w:val="false"/>
              </w:rPr>
              <w:t xml:space="preserve">Un componente con privilegios de Administrador representa una superficie de ataque amplia: si la cuenta o el proceso EDITRAN se ve comprometido, un actor malicioso podría tener control total sobre el servidor (Read/Write/Execute), incluyendo acceso a otros procesos, archivos y configuración del sistema operativo, más allá de lo estrictamente necesario para la transmisión de archivos.</w:t>
            </w:r>
          </w:p>
        </w:tc>
      </w:tr>
      <w:tr>
        <w:tc>
          <w:tcPr>
            <w:tcW w:type="dxa" w:w="2400"/>
            <w:shd w:fill="D9D9D9" w:val="clear"/>
            <w:tcMar>
              <w:top w:type="dxa" w:w="80"/>
              <w:left w:type="dxa" w:w="100"/>
              <w:bottom w:type="dxa" w:w="80"/>
              <w:right w:type="dxa" w:w="100"/>
            </w:tcMar>
            <w:vAlign w:val="center"/>
          </w:tcPr>
          <w:p>
            <w:pPr>
              <w:jc w:val="left"/>
            </w:pPr>
            <w:r>
              <w:rPr>
                <w:b/>
                <w:bCs/>
                <w:sz w:val="20"/>
                <w:szCs w:val="20"/>
              </w:rPr>
              <w:t xml:space="preserve">Existing Mitigating / Compensating Controls</w:t>
            </w:r>
          </w:p>
        </w:tc>
        <w:tc>
          <w:tcPr>
            <w:tcW w:type="dxa" w:w="7200"/>
            <w:tcMar>
              <w:top w:type="dxa" w:w="80"/>
              <w:left w:type="dxa" w:w="100"/>
              <w:bottom w:type="dxa" w:w="80"/>
              <w:right w:type="dxa" w:w="100"/>
            </w:tcMar>
          </w:tcPr>
          <w:p>
            <w:r>
              <w:rPr>
                <w:b w:val="false"/>
                <w:bCs w:val="false"/>
              </w:rPr>
              <w:t xml:space="preserve">• El servidor es dedicado exclusivamente a EDITRAN (CSF o SBP), reduciendo el impacto de un movimiento lateral hacia otros sistemas.</w:t>
            </w:r>
          </w:p>
          <w:p>
            <w:r>
              <w:rPr>
                <w:b w:val="false"/>
                <w:bCs w:val="false"/>
              </w:rPr>
              <w:t xml:space="preserve">• El acceso a la cuenta de dominio está limitado a Operadores y Seguridad autorizados.</w:t>
            </w:r>
          </w:p>
          <w:p>
            <w:r>
              <w:rPr>
                <w:b w:val="false"/>
                <w:bCs w:val="false"/>
              </w:rPr>
              <w:t xml:space="preserve">• La conectividad de salida está restringida a la IP/puerto de la CCE, limitando el uso de los privilegios elevados para exfiltración externa.</w:t>
            </w:r>
          </w:p>
        </w:tc>
      </w:tr>
      <w:tr>
        <w:tc>
          <w:tcPr>
            <w:tcW w:type="dxa" w:w="2400"/>
            <w:shd w:fill="D9D9D9" w:val="clear"/>
            <w:tcMar>
              <w:top w:type="dxa" w:w="80"/>
              <w:left w:type="dxa" w:w="100"/>
              <w:bottom w:type="dxa" w:w="80"/>
              <w:right w:type="dxa" w:w="100"/>
            </w:tcMar>
            <w:vAlign w:val="center"/>
          </w:tcPr>
          <w:p>
            <w:pPr>
              <w:jc w:val="left"/>
            </w:pPr>
            <w:r>
              <w:rPr>
                <w:b/>
                <w:bCs/>
                <w:sz w:val="20"/>
                <w:szCs w:val="20"/>
              </w:rPr>
              <w:t xml:space="preserve">Residual Rating</w:t>
            </w:r>
          </w:p>
        </w:tc>
        <w:tc>
          <w:tcPr>
            <w:tcW w:type="dxa" w:w="7200"/>
            <w:tcMar>
              <w:top w:type="dxa" w:w="80"/>
              <w:left w:type="dxa" w:w="100"/>
              <w:bottom w:type="dxa" w:w="80"/>
              <w:right w:type="dxa" w:w="100"/>
            </w:tcMar>
          </w:tcPr>
          <w:p>
            <w:r>
              <w:rPr>
                <w:b w:val="false"/>
                <w:bCs w:val="false"/>
              </w:rPr>
              <w:t xml:space="preserve">Impact: Medium</w:t>
            </w:r>
          </w:p>
          <w:p>
            <w:r>
              <w:rPr>
                <w:b w:val="false"/>
                <w:bCs w:val="false"/>
              </w:rPr>
              <w:t xml:space="preserve">Likelihood: Medium</w:t>
            </w:r>
          </w:p>
          <w:p>
            <w:r>
              <w:rPr>
                <w:b/>
                <w:bCs/>
                <w:color w:val="C00000"/>
              </w:rPr>
              <w:t xml:space="preserve">Residual Rating: Medium</w:t>
            </w:r>
          </w:p>
        </w:tc>
      </w:tr>
      <w:tr>
        <w:tc>
          <w:tcPr>
            <w:tcW w:type="dxa" w:w="2400"/>
            <w:shd w:fill="D9D9D9" w:val="clear"/>
            <w:tcMar>
              <w:top w:type="dxa" w:w="80"/>
              <w:left w:type="dxa" w:w="100"/>
              <w:bottom w:type="dxa" w:w="80"/>
              <w:right w:type="dxa" w:w="100"/>
            </w:tcMar>
            <w:vAlign w:val="center"/>
          </w:tcPr>
          <w:p>
            <w:pPr>
              <w:jc w:val="left"/>
            </w:pPr>
            <w:r>
              <w:rPr>
                <w:b/>
                <w:bCs/>
                <w:sz w:val="20"/>
                <w:szCs w:val="20"/>
              </w:rPr>
              <w:t xml:space="preserve">Is an Issue?</w:t>
            </w:r>
          </w:p>
        </w:tc>
        <w:tc>
          <w:tcPr>
            <w:tcW w:type="dxa" w:w="7200"/>
            <w:tcMar>
              <w:top w:type="dxa" w:w="80"/>
              <w:left w:type="dxa" w:w="100"/>
              <w:bottom w:type="dxa" w:w="80"/>
              <w:right w:type="dxa" w:w="100"/>
            </w:tcMar>
          </w:tcPr>
          <w:p>
            <w:r>
              <w:rPr>
                <w:b w:val="false"/>
                <w:bCs w:val="false"/>
              </w:rPr>
              <w:t xml:space="preserve">No</w:t>
            </w:r>
          </w:p>
        </w:tc>
      </w:tr>
    </w:tbl>
    <w:p>
      <w:pPr>
        <w:pageBreakBefore/>
      </w:pPr>
    </w:p>
    <w:p>
      <w:pPr>
        <w:pStyle w:val="Heading2"/>
        <w:spacing w:after="100" w:before="200"/>
      </w:pPr>
      <w:r>
        <w:t xml:space="preserve">Control Defect #3</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c>
          <w:tcPr>
            <w:tcW w:type="dxa" w:w="2400"/>
            <w:shd w:fill="D9D9D9" w:val="clear"/>
            <w:tcMar>
              <w:top w:type="dxa" w:w="80"/>
              <w:left w:type="dxa" w:w="100"/>
              <w:bottom w:type="dxa" w:w="80"/>
              <w:right w:type="dxa" w:w="100"/>
            </w:tcMar>
            <w:vAlign w:val="center"/>
          </w:tcPr>
          <w:p>
            <w:pPr>
              <w:jc w:val="left"/>
            </w:pPr>
            <w:r>
              <w:rPr>
                <w:b/>
                <w:bCs/>
                <w:sz w:val="20"/>
                <w:szCs w:val="20"/>
              </w:rPr>
              <w:t xml:space="preserve">Control Defect #</w:t>
            </w:r>
          </w:p>
        </w:tc>
        <w:tc>
          <w:tcPr>
            <w:tcW w:type="dxa" w:w="7200"/>
            <w:tcMar>
              <w:top w:type="dxa" w:w="80"/>
              <w:left w:type="dxa" w:w="100"/>
              <w:bottom w:type="dxa" w:w="80"/>
              <w:right w:type="dxa" w:w="100"/>
            </w:tcMar>
          </w:tcPr>
          <w:p>
            <w:r>
              <w:rPr>
                <w:b w:val="false"/>
                <w:bCs w:val="false"/>
              </w:rPr>
              <w:t xml:space="preserve">Control Defect #3: Manual Database Failover Process</w:t>
            </w:r>
          </w:p>
        </w:tc>
      </w:tr>
      <w:tr>
        <w:tc>
          <w:tcPr>
            <w:tcW w:type="dxa" w:w="2400"/>
            <w:shd w:fill="D9D9D9" w:val="clear"/>
            <w:tcMar>
              <w:top w:type="dxa" w:w="80"/>
              <w:left w:type="dxa" w:w="100"/>
              <w:bottom w:type="dxa" w:w="80"/>
              <w:right w:type="dxa" w:w="100"/>
            </w:tcMar>
            <w:vAlign w:val="center"/>
          </w:tcPr>
          <w:p>
            <w:pPr>
              <w:jc w:val="left"/>
            </w:pPr>
            <w:r>
              <w:rPr>
                <w:b/>
                <w:bCs/>
                <w:sz w:val="20"/>
                <w:szCs w:val="20"/>
              </w:rPr>
              <w:t xml:space="preserve">Title</w:t>
            </w:r>
          </w:p>
        </w:tc>
        <w:tc>
          <w:tcPr>
            <w:tcW w:type="dxa" w:w="7200"/>
            <w:tcMar>
              <w:top w:type="dxa" w:w="80"/>
              <w:left w:type="dxa" w:w="100"/>
              <w:bottom w:type="dxa" w:w="80"/>
              <w:right w:type="dxa" w:w="100"/>
            </w:tcMar>
          </w:tcPr>
          <w:p>
            <w:r>
              <w:rPr>
                <w:b w:val="false"/>
                <w:bCs w:val="false"/>
              </w:rPr>
              <w:t xml:space="preserve">Disaster Recovery Activation Dependency on Manual Intervention</w:t>
            </w:r>
          </w:p>
        </w:tc>
      </w:tr>
      <w:tr>
        <w:tc>
          <w:tcPr>
            <w:tcW w:type="dxa" w:w="2400"/>
            <w:shd w:fill="D9D9D9" w:val="clear"/>
            <w:tcMar>
              <w:top w:type="dxa" w:w="80"/>
              <w:left w:type="dxa" w:w="100"/>
              <w:bottom w:type="dxa" w:w="80"/>
              <w:right w:type="dxa" w:w="100"/>
            </w:tcMar>
            <w:vAlign w:val="center"/>
          </w:tcPr>
          <w:p>
            <w:pPr>
              <w:jc w:val="left"/>
            </w:pPr>
            <w:r>
              <w:rPr>
                <w:b/>
                <w:bCs/>
                <w:sz w:val="20"/>
                <w:szCs w:val="20"/>
              </w:rPr>
              <w:t xml:space="preserve">Threat Category</w:t>
            </w:r>
          </w:p>
        </w:tc>
        <w:tc>
          <w:tcPr>
            <w:tcW w:type="dxa" w:w="7200"/>
            <w:tcMar>
              <w:top w:type="dxa" w:w="80"/>
              <w:left w:type="dxa" w:w="100"/>
              <w:bottom w:type="dxa" w:w="80"/>
              <w:right w:type="dxa" w:w="100"/>
            </w:tcMar>
          </w:tcPr>
          <w:p>
            <w:r>
              <w:rPr>
                <w:b w:val="false"/>
                <w:bCs w:val="false"/>
              </w:rPr>
              <w:t xml:space="preserve">General / Resilience, Scaling and Failover</w:t>
            </w:r>
          </w:p>
        </w:tc>
      </w:tr>
      <w:tr>
        <w:tc>
          <w:tcPr>
            <w:tcW w:type="dxa" w:w="2400"/>
            <w:shd w:fill="D9D9D9" w:val="clear"/>
            <w:tcMar>
              <w:top w:type="dxa" w:w="80"/>
              <w:left w:type="dxa" w:w="100"/>
              <w:bottom w:type="dxa" w:w="80"/>
              <w:right w:type="dxa" w:w="100"/>
            </w:tcMar>
            <w:vAlign w:val="center"/>
          </w:tcPr>
          <w:p>
            <w:pPr>
              <w:jc w:val="left"/>
            </w:pPr>
            <w:r>
              <w:rPr>
                <w:b/>
                <w:bCs/>
                <w:sz w:val="20"/>
                <w:szCs w:val="20"/>
              </w:rPr>
              <w:t xml:space="preserve">Control Taxonomy</w:t>
            </w:r>
          </w:p>
        </w:tc>
        <w:tc>
          <w:tcPr>
            <w:tcW w:type="dxa" w:w="7200"/>
            <w:tcMar>
              <w:top w:type="dxa" w:w="80"/>
              <w:left w:type="dxa" w:w="100"/>
              <w:bottom w:type="dxa" w:w="80"/>
              <w:right w:type="dxa" w:w="100"/>
            </w:tcMar>
          </w:tcPr>
          <w:p>
            <w:r>
              <w:rPr>
                <w:b w:val="false"/>
                <w:bCs w:val="false"/>
              </w:rPr>
              <w:t xml:space="preserve">Business Continuity Planning (BCP) / Disaster Recovery</w:t>
            </w:r>
          </w:p>
        </w:tc>
      </w:tr>
      <w:tr>
        <w:tc>
          <w:tcPr>
            <w:tcW w:type="dxa" w:w="2400"/>
            <w:shd w:fill="D9D9D9" w:val="clear"/>
            <w:tcMar>
              <w:top w:type="dxa" w:w="80"/>
              <w:left w:type="dxa" w:w="100"/>
              <w:bottom w:type="dxa" w:w="80"/>
              <w:right w:type="dxa" w:w="100"/>
            </w:tcMar>
            <w:vAlign w:val="center"/>
          </w:tcPr>
          <w:p>
            <w:pPr>
              <w:jc w:val="left"/>
            </w:pPr>
            <w:r>
              <w:rPr>
                <w:b/>
                <w:bCs/>
                <w:sz w:val="20"/>
                <w:szCs w:val="20"/>
              </w:rPr>
              <w:t xml:space="preserve">Standards Impacted</w:t>
            </w:r>
          </w:p>
        </w:tc>
        <w:tc>
          <w:tcPr>
            <w:tcW w:type="dxa" w:w="7200"/>
            <w:tcMar>
              <w:top w:type="dxa" w:w="80"/>
              <w:left w:type="dxa" w:w="100"/>
              <w:bottom w:type="dxa" w:w="80"/>
              <w:right w:type="dxa" w:w="100"/>
            </w:tcMar>
          </w:tcPr>
          <w:p>
            <w:r>
              <w:rPr>
                <w:b w:val="false"/>
                <w:bCs w:val="false"/>
              </w:rPr>
              <w:t xml:space="preserve">Business Continuity Policy; Enterprise Technology Availability and Resilience Policy</w:t>
            </w:r>
          </w:p>
        </w:tc>
      </w:tr>
      <w:tr>
        <w:tc>
          <w:tcPr>
            <w:tcW w:type="dxa" w:w="2400"/>
            <w:shd w:fill="D9D9D9" w:val="clear"/>
            <w:tcMar>
              <w:top w:type="dxa" w:w="80"/>
              <w:left w:type="dxa" w:w="100"/>
              <w:bottom w:type="dxa" w:w="80"/>
              <w:right w:type="dxa" w:w="100"/>
            </w:tcMar>
            <w:vAlign w:val="center"/>
          </w:tcPr>
          <w:p>
            <w:pPr>
              <w:jc w:val="left"/>
            </w:pPr>
            <w:r>
              <w:rPr>
                <w:b/>
                <w:bCs/>
                <w:sz w:val="20"/>
                <w:szCs w:val="20"/>
              </w:rPr>
              <w:t xml:space="preserve">Control Deficiency</w:t>
            </w:r>
          </w:p>
        </w:tc>
        <w:tc>
          <w:tcPr>
            <w:tcW w:type="dxa" w:w="7200"/>
            <w:tcMar>
              <w:top w:type="dxa" w:w="80"/>
              <w:left w:type="dxa" w:w="100"/>
              <w:bottom w:type="dxa" w:w="80"/>
              <w:right w:type="dxa" w:w="100"/>
            </w:tcMar>
          </w:tcPr>
          <w:p>
            <w:r>
              <w:rPr>
                <w:b w:val="false"/>
                <w:bCs w:val="false"/>
              </w:rPr>
              <w:t xml:space="preserve">El TDD (sección 12.3.3 Failover Type) especifica explícitamente que el failover de la base de datos (MS SQL Always On Availability Groups) es Manual. Adicionalmente, la activación completa del ambiente de DR requiere bajar los servicios de aplicación en producción, realizar un cambio de comunicaciones para habilitar la salida hacia la CCE por el servidor de DR, y actualizar el DNS (alias EDTSBP/EDTCSF) para que las transferencias vía Control-M no se vean afectadas — todos pasos manuales y secuenciales.</w:t>
            </w:r>
          </w:p>
        </w:tc>
      </w:tr>
      <w:tr>
        <w:tc>
          <w:tcPr>
            <w:tcW w:type="dxa" w:w="2400"/>
            <w:shd w:fill="D9D9D9" w:val="clear"/>
            <w:tcMar>
              <w:top w:type="dxa" w:w="80"/>
              <w:left w:type="dxa" w:w="100"/>
              <w:bottom w:type="dxa" w:w="80"/>
              <w:right w:type="dxa" w:w="100"/>
            </w:tcMar>
            <w:vAlign w:val="center"/>
          </w:tcPr>
          <w:p>
            <w:pPr>
              <w:jc w:val="left"/>
            </w:pPr>
            <w:r>
              <w:rPr>
                <w:b/>
                <w:bCs/>
                <w:sz w:val="20"/>
                <w:szCs w:val="20"/>
              </w:rPr>
              <w:t xml:space="preserve">Inherent Risk:</w:t>
            </w:r>
          </w:p>
        </w:tc>
        <w:tc>
          <w:tcPr>
            <w:tcW w:type="dxa" w:w="7200"/>
            <w:tcMar>
              <w:top w:type="dxa" w:w="80"/>
              <w:left w:type="dxa" w:w="100"/>
              <w:bottom w:type="dxa" w:w="80"/>
              <w:right w:type="dxa" w:w="100"/>
            </w:tcMar>
          </w:tcPr>
          <w:p>
            <w:r>
              <w:rPr>
                <w:b w:val="false"/>
                <w:bCs w:val="false"/>
              </w:rPr>
              <w:t xml:space="preserve">Impact: Medium</w:t>
            </w:r>
          </w:p>
          <w:p>
            <w:r>
              <w:rPr>
                <w:b w:val="false"/>
                <w:bCs w:val="false"/>
              </w:rPr>
              <w:t xml:space="preserve">Likelihood: Medium</w:t>
            </w:r>
          </w:p>
          <w:p>
            <w:r>
              <w:rPr>
                <w:b/>
                <w:bCs/>
                <w:color w:val="C00000"/>
              </w:rPr>
              <w:t xml:space="preserve">Inherent Rating: Medium</w:t>
            </w:r>
          </w:p>
        </w:tc>
      </w:tr>
      <w:tr>
        <w:tc>
          <w:tcPr>
            <w:tcW w:type="dxa" w:w="2400"/>
            <w:shd w:fill="D9D9D9" w:val="clear"/>
            <w:tcMar>
              <w:top w:type="dxa" w:w="80"/>
              <w:left w:type="dxa" w:w="100"/>
              <w:bottom w:type="dxa" w:w="80"/>
              <w:right w:type="dxa" w:w="100"/>
            </w:tcMar>
            <w:vAlign w:val="center"/>
          </w:tcPr>
          <w:p>
            <w:pPr>
              <w:jc w:val="left"/>
            </w:pPr>
            <w:r>
              <w:rPr>
                <w:b/>
                <w:bCs/>
                <w:sz w:val="20"/>
                <w:szCs w:val="20"/>
              </w:rPr>
              <w:t xml:space="preserve">Risk Description</w:t>
            </w:r>
          </w:p>
        </w:tc>
        <w:tc>
          <w:tcPr>
            <w:tcW w:type="dxa" w:w="7200"/>
            <w:tcMar>
              <w:top w:type="dxa" w:w="80"/>
              <w:left w:type="dxa" w:w="100"/>
              <w:bottom w:type="dxa" w:w="80"/>
              <w:right w:type="dxa" w:w="100"/>
            </w:tcMar>
          </w:tcPr>
          <w:p>
            <w:r>
              <w:rPr>
                <w:b w:val="false"/>
                <w:bCs w:val="false"/>
              </w:rPr>
              <w:t xml:space="preserve">Un evento de continuidad que requiera activar el ambiente de DR dependerá de la disponibilidad e intervención oportuna del personal técnico para ejecutar correctamente la secuencia de pasos (bajar servicios, cambio de comunicaciones, actualización DNS). Un error humano o una demora en la ejecución manual podría extender el tiempo de indisponibilidad más allá del RTO definido, afectando el cumplimiento de transferencias diferidas ante la CCE dentro del plazo regulatorio.</w:t>
            </w:r>
          </w:p>
        </w:tc>
      </w:tr>
      <w:tr>
        <w:tc>
          <w:tcPr>
            <w:tcW w:type="dxa" w:w="2400"/>
            <w:shd w:fill="D9D9D9" w:val="clear"/>
            <w:tcMar>
              <w:top w:type="dxa" w:w="80"/>
              <w:left w:type="dxa" w:w="100"/>
              <w:bottom w:type="dxa" w:w="80"/>
              <w:right w:type="dxa" w:w="100"/>
            </w:tcMar>
            <w:vAlign w:val="center"/>
          </w:tcPr>
          <w:p>
            <w:pPr>
              <w:jc w:val="left"/>
            </w:pPr>
            <w:r>
              <w:rPr>
                <w:b/>
                <w:bCs/>
                <w:sz w:val="20"/>
                <w:szCs w:val="20"/>
              </w:rPr>
              <w:t xml:space="preserve">Existing Mitigating / Compensating Controls</w:t>
            </w:r>
          </w:p>
        </w:tc>
        <w:tc>
          <w:tcPr>
            <w:tcW w:type="dxa" w:w="7200"/>
            <w:tcMar>
              <w:top w:type="dxa" w:w="80"/>
              <w:left w:type="dxa" w:w="100"/>
              <w:bottom w:type="dxa" w:w="80"/>
              <w:right w:type="dxa" w:w="100"/>
            </w:tcMar>
          </w:tcPr>
          <w:p>
            <w:r>
              <w:rPr>
                <w:b w:val="false"/>
                <w:bCs w:val="false"/>
              </w:rPr>
              <w:t xml:space="preserve">• La infraestructura de DR existe y es capaz de atender el 100% de las operaciones (activo a nivel de sistema operativo).</w:t>
            </w:r>
          </w:p>
          <w:p>
            <w:r>
              <w:rPr>
                <w:b w:val="false"/>
                <w:bCs w:val="false"/>
              </w:rPr>
              <w:t xml:space="preserve">• Los RTO/RPO están definidos y documentados formalmente para SBP (RTO 3h / RPO 24h) y CSF (RTO 10 días / RPO 10 días), permitiendo priorizar la respuesta.</w:t>
            </w:r>
          </w:p>
          <w:p>
            <w:r>
              <w:rPr>
                <w:b w:val="false"/>
                <w:bCs w:val="false"/>
              </w:rPr>
              <w:t xml:space="preserve">• Existe un procedimiento documentado paso a paso para la activación del ambiente de DR (servicios, comunicaciones, DNS).</w:t>
            </w:r>
          </w:p>
        </w:tc>
      </w:tr>
      <w:tr>
        <w:tc>
          <w:tcPr>
            <w:tcW w:type="dxa" w:w="2400"/>
            <w:shd w:fill="D9D9D9" w:val="clear"/>
            <w:tcMar>
              <w:top w:type="dxa" w:w="80"/>
              <w:left w:type="dxa" w:w="100"/>
              <w:bottom w:type="dxa" w:w="80"/>
              <w:right w:type="dxa" w:w="100"/>
            </w:tcMar>
            <w:vAlign w:val="center"/>
          </w:tcPr>
          <w:p>
            <w:pPr>
              <w:jc w:val="left"/>
            </w:pPr>
            <w:r>
              <w:rPr>
                <w:b/>
                <w:bCs/>
                <w:sz w:val="20"/>
                <w:szCs w:val="20"/>
              </w:rPr>
              <w:t xml:space="preserve">Residual Rating</w:t>
            </w:r>
          </w:p>
        </w:tc>
        <w:tc>
          <w:tcPr>
            <w:tcW w:type="dxa" w:w="7200"/>
            <w:tcMar>
              <w:top w:type="dxa" w:w="80"/>
              <w:left w:type="dxa" w:w="100"/>
              <w:bottom w:type="dxa" w:w="80"/>
              <w:right w:type="dxa" w:w="100"/>
            </w:tcMar>
          </w:tcPr>
          <w:p>
            <w:r>
              <w:rPr>
                <w:b w:val="false"/>
                <w:bCs w:val="false"/>
              </w:rPr>
              <w:t xml:space="preserve">Impact: Medium</w:t>
            </w:r>
          </w:p>
          <w:p>
            <w:r>
              <w:rPr>
                <w:b w:val="false"/>
                <w:bCs w:val="false"/>
              </w:rPr>
              <w:t xml:space="preserve">Likelihood: Low</w:t>
            </w:r>
          </w:p>
          <w:p>
            <w:r>
              <w:rPr>
                <w:b/>
                <w:bCs/>
                <w:color w:val="C00000"/>
              </w:rPr>
              <w:t xml:space="preserve">Residual Rating: Medium</w:t>
            </w:r>
          </w:p>
        </w:tc>
      </w:tr>
      <w:tr>
        <w:tc>
          <w:tcPr>
            <w:tcW w:type="dxa" w:w="2400"/>
            <w:shd w:fill="D9D9D9" w:val="clear"/>
            <w:tcMar>
              <w:top w:type="dxa" w:w="80"/>
              <w:left w:type="dxa" w:w="100"/>
              <w:bottom w:type="dxa" w:w="80"/>
              <w:right w:type="dxa" w:w="100"/>
            </w:tcMar>
            <w:vAlign w:val="center"/>
          </w:tcPr>
          <w:p>
            <w:pPr>
              <w:jc w:val="left"/>
            </w:pPr>
            <w:r>
              <w:rPr>
                <w:b/>
                <w:bCs/>
                <w:sz w:val="20"/>
                <w:szCs w:val="20"/>
              </w:rPr>
              <w:t xml:space="preserve">Is an Issue?</w:t>
            </w:r>
          </w:p>
        </w:tc>
        <w:tc>
          <w:tcPr>
            <w:tcW w:type="dxa" w:w="7200"/>
            <w:tcMar>
              <w:top w:type="dxa" w:w="80"/>
              <w:left w:type="dxa" w:w="100"/>
              <w:bottom w:type="dxa" w:w="80"/>
              <w:right w:type="dxa" w:w="100"/>
            </w:tcMar>
          </w:tcPr>
          <w:p>
            <w:r>
              <w:rPr>
                <w:b w:val="false"/>
                <w:bCs w:val="false"/>
              </w:rPr>
              <w:t xml:space="preserve">No</w:t>
            </w:r>
          </w:p>
        </w:tc>
      </w:tr>
    </w:tbl>
    <w:p>
      <w:pPr>
        <w:pageBreakBefore/>
      </w:pPr>
    </w:p>
    <w:p>
      <w:pPr>
        <w:pStyle w:val="Heading1"/>
        <w:spacing w:after="150" w:before="300"/>
      </w:pPr>
      <w:r>
        <w:t xml:space="preserve">Remediation Owner / Target Rating</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c>
          <w:tcPr>
            <w:tcW w:type="dxa" w:w="2400"/>
            <w:shd w:fill="D9D9D9" w:val="clear"/>
            <w:tcMar>
              <w:top w:type="dxa" w:w="80"/>
              <w:left w:type="dxa" w:w="100"/>
              <w:bottom w:type="dxa" w:w="80"/>
              <w:right w:type="dxa" w:w="100"/>
            </w:tcMar>
            <w:vAlign w:val="center"/>
          </w:tcPr>
          <w:p>
            <w:pPr>
              <w:jc w:val="left"/>
            </w:pPr>
            <w:r>
              <w:rPr>
                <w:b/>
                <w:bCs/>
                <w:sz w:val="20"/>
                <w:szCs w:val="20"/>
              </w:rPr>
              <w:t xml:space="preserve">Remediation Owner</w:t>
            </w:r>
          </w:p>
        </w:tc>
        <w:tc>
          <w:tcPr>
            <w:tcW w:type="dxa" w:w="7200"/>
            <w:tcMar>
              <w:top w:type="dxa" w:w="80"/>
              <w:left w:type="dxa" w:w="100"/>
              <w:bottom w:type="dxa" w:w="80"/>
              <w:right w:type="dxa" w:w="100"/>
            </w:tcMar>
            <w:vAlign w:val="center"/>
          </w:tcPr>
          <w:p>
            <w:pPr>
              <w:jc w:val="left"/>
            </w:pPr>
            <w:r>
              <w:rPr>
                <w:b w:val="false"/>
                <w:bCs w:val="false"/>
                <w:sz w:val="20"/>
                <w:szCs w:val="20"/>
              </w:rPr>
              <w:t xml:space="preserve">Eric Edwin Roques Lizarraga – IT Engineering Senior Manager</w:t>
            </w:r>
          </w:p>
        </w:tc>
      </w:tr>
      <w:tr>
        <w:tc>
          <w:tcPr>
            <w:tcW w:type="dxa" w:w="2400"/>
            <w:shd w:fill="D9D9D9" w:val="clear"/>
            <w:tcMar>
              <w:top w:type="dxa" w:w="80"/>
              <w:left w:type="dxa" w:w="100"/>
              <w:bottom w:type="dxa" w:w="80"/>
              <w:right w:type="dxa" w:w="100"/>
            </w:tcMar>
            <w:vAlign w:val="center"/>
          </w:tcPr>
          <w:p>
            <w:pPr>
              <w:jc w:val="left"/>
            </w:pPr>
            <w:r>
              <w:rPr>
                <w:b/>
                <w:bCs/>
                <w:sz w:val="20"/>
                <w:szCs w:val="20"/>
              </w:rPr>
              <w:t xml:space="preserve">Target Rating</w:t>
            </w:r>
          </w:p>
        </w:tc>
        <w:tc>
          <w:tcPr>
            <w:tcW w:type="dxa" w:w="7200"/>
            <w:tcMar>
              <w:top w:type="dxa" w:w="80"/>
              <w:left w:type="dxa" w:w="100"/>
              <w:bottom w:type="dxa" w:w="80"/>
              <w:right w:type="dxa" w:w="100"/>
            </w:tcMar>
            <w:vAlign w:val="center"/>
          </w:tcPr>
          <w:p>
            <w:pPr>
              <w:jc w:val="left"/>
            </w:pPr>
            <w:r>
              <w:rPr>
                <w:b w:val="false"/>
                <w:bCs w:val="false"/>
                <w:sz w:val="20"/>
                <w:szCs w:val="20"/>
              </w:rPr>
              <w:t xml:space="preserve">Target Rating: Medium-Low
Target Impact: Medium
Target Likelihood: Low</w:t>
            </w:r>
          </w:p>
        </w:tc>
      </w:tr>
    </w:tbl>
    <w:p>
      <w:pPr>
        <w:pageBreakBefore/>
      </w:pPr>
    </w:p>
    <w:p>
      <w:pPr>
        <w:pStyle w:val="Heading1"/>
        <w:spacing w:after="150" w:before="300"/>
      </w:pPr>
      <w:r>
        <w:t xml:space="preserve">Threat modelling</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4300"/>
        <w:gridCol w:w="1400"/>
      </w:tblGrid>
      <w:tr>
        <w:tc>
          <w:tcPr>
            <w:tcW w:type="dxa" w:w="1500"/>
            <w:shd w:fill="D9D9D9" w:val="clear"/>
            <w:tcMar>
              <w:top w:type="dxa" w:w="80"/>
              <w:left w:type="dxa" w:w="100"/>
              <w:bottom w:type="dxa" w:w="80"/>
              <w:right w:type="dxa" w:w="100"/>
            </w:tcMar>
            <w:vAlign w:val="center"/>
          </w:tcPr>
          <w:p>
            <w:pPr>
              <w:jc w:val="left"/>
            </w:pPr>
            <w:r>
              <w:rPr>
                <w:b/>
                <w:bCs/>
                <w:sz w:val="20"/>
                <w:szCs w:val="20"/>
              </w:rPr>
              <w:t xml:space="preserve">STRIDE Category</w:t>
            </w:r>
          </w:p>
        </w:tc>
        <w:tc>
          <w:tcPr>
            <w:tcW w:type="dxa" w:w="2400"/>
            <w:shd w:fill="D9D9D9" w:val="clear"/>
            <w:tcMar>
              <w:top w:type="dxa" w:w="80"/>
              <w:left w:type="dxa" w:w="100"/>
              <w:bottom w:type="dxa" w:w="80"/>
              <w:right w:type="dxa" w:w="100"/>
            </w:tcMar>
            <w:vAlign w:val="center"/>
          </w:tcPr>
          <w:p>
            <w:pPr>
              <w:jc w:val="left"/>
            </w:pPr>
            <w:r>
              <w:rPr>
                <w:b/>
                <w:bCs/>
                <w:sz w:val="20"/>
                <w:szCs w:val="20"/>
              </w:rPr>
              <w:t xml:space="preserve">Threat Category</w:t>
            </w:r>
          </w:p>
        </w:tc>
        <w:tc>
          <w:tcPr>
            <w:tcW w:type="dxa" w:w="4300"/>
            <w:shd w:fill="D9D9D9" w:val="clear"/>
            <w:tcMar>
              <w:top w:type="dxa" w:w="80"/>
              <w:left w:type="dxa" w:w="100"/>
              <w:bottom w:type="dxa" w:w="80"/>
              <w:right w:type="dxa" w:w="100"/>
            </w:tcMar>
            <w:vAlign w:val="center"/>
          </w:tcPr>
          <w:p>
            <w:pPr>
              <w:jc w:val="left"/>
            </w:pPr>
            <w:r>
              <w:rPr>
                <w:b/>
                <w:bCs/>
                <w:sz w:val="20"/>
                <w:szCs w:val="20"/>
              </w:rPr>
              <w:t xml:space="preserve">Existing Mitigating / Compensating Controls</w:t>
            </w:r>
          </w:p>
        </w:tc>
        <w:tc>
          <w:tcPr>
            <w:tcW w:type="dxa" w:w="1400"/>
            <w:shd w:fill="D9D9D9" w:val="clear"/>
            <w:tcMar>
              <w:top w:type="dxa" w:w="80"/>
              <w:left w:type="dxa" w:w="100"/>
              <w:bottom w:type="dxa" w:w="80"/>
              <w:right w:type="dxa" w:w="100"/>
            </w:tcMar>
            <w:vAlign w:val="center"/>
          </w:tcPr>
          <w:p>
            <w:pPr>
              <w:jc w:val="left"/>
            </w:pPr>
            <w:r>
              <w:rPr>
                <w:b/>
                <w:bCs/>
                <w:sz w:val="20"/>
                <w:szCs w:val="20"/>
              </w:rPr>
              <w:t xml:space="preserve">Advisory Findings</w:t>
            </w:r>
          </w:p>
        </w:tc>
      </w:tr>
      <w:tr>
        <w:tc>
          <w:tcPr>
            <w:tcW w:type="dxa" w:w="1500"/>
            <w:tcMar>
              <w:top w:type="dxa" w:w="80"/>
              <w:left w:type="dxa" w:w="100"/>
              <w:bottom w:type="dxa" w:w="80"/>
              <w:right w:type="dxa" w:w="100"/>
            </w:tcMar>
            <w:vAlign w:val="center"/>
          </w:tcPr>
          <w:p>
            <w:pPr>
              <w:jc w:val="left"/>
            </w:pPr>
            <w:r>
              <w:rPr>
                <w:b w:val="false"/>
                <w:bCs w:val="false"/>
                <w:sz w:val="20"/>
                <w:szCs w:val="20"/>
              </w:rPr>
              <w:t xml:space="preserve">Spoofing Identity</w:t>
            </w:r>
          </w:p>
        </w:tc>
        <w:tc>
          <w:tcPr>
            <w:tcW w:type="dxa" w:w="2400"/>
            <w:tcMar>
              <w:top w:type="dxa" w:w="80"/>
              <w:left w:type="dxa" w:w="100"/>
              <w:bottom w:type="dxa" w:w="80"/>
              <w:right w:type="dxa" w:w="100"/>
            </w:tcMar>
            <w:vAlign w:val="center"/>
          </w:tcPr>
          <w:p>
            <w:pPr>
              <w:jc w:val="left"/>
            </w:pPr>
            <w:r>
              <w:rPr>
                <w:b w:val="false"/>
                <w:bCs w:val="false"/>
                <w:sz w:val="20"/>
                <w:szCs w:val="20"/>
              </w:rPr>
              <w:t xml:space="preserve">User authentication (IAM, SSO, federation)</w:t>
            </w:r>
          </w:p>
        </w:tc>
        <w:tc>
          <w:tcPr>
            <w:tcW w:type="dxa" w:w="4300"/>
            <w:tcMar>
              <w:top w:type="dxa" w:w="80"/>
              <w:left w:type="dxa" w:w="100"/>
              <w:bottom w:type="dxa" w:w="80"/>
              <w:right w:type="dxa" w:w="100"/>
            </w:tcMar>
            <w:vAlign w:val="center"/>
          </w:tcPr>
          <w:p>
            <w:pPr>
              <w:jc w:val="left"/>
            </w:pPr>
            <w:r>
              <w:rPr>
                <w:b w:val="false"/>
                <w:bCs w:val="false"/>
                <w:sz w:val="20"/>
                <w:szCs w:val="20"/>
              </w:rPr>
              <w:t xml:space="preserve">El acceso al servidor EDITRAN utiliza credenciales de dominio individuales de Operadores y Seguridad. La sesión hacia la CCE utiliza credenciales/certificados provistos por el regulador. Ambos extremos requieren autenticación.</w:t>
            </w:r>
          </w:p>
        </w:tc>
        <w:tc>
          <w:tcPr>
            <w:tcW w:type="dxa" w:w="1400"/>
            <w:tcMar>
              <w:top w:type="dxa" w:w="80"/>
              <w:left w:type="dxa" w:w="100"/>
              <w:bottom w:type="dxa" w:w="80"/>
              <w:right w:type="dxa" w:w="100"/>
            </w:tcMar>
            <w:vAlign w:val="center"/>
          </w:tcPr>
          <w:p>
            <w:pPr>
              <w:jc w:val="left"/>
            </w:pPr>
            <w:r>
              <w:rPr>
                <w:b w:val="false"/>
                <w:bCs w:val="false"/>
                <w:sz w:val="20"/>
                <w:szCs w:val="20"/>
              </w:rPr>
              <w:t xml:space="preserve"/>
            </w:r>
          </w:p>
        </w:tc>
      </w:tr>
      <w:tr>
        <w:tc>
          <w:tcPr>
            <w:tcW w:type="dxa" w:w="1500"/>
            <w:tcMar>
              <w:top w:type="dxa" w:w="80"/>
              <w:left w:type="dxa" w:w="100"/>
              <w:bottom w:type="dxa" w:w="80"/>
              <w:right w:type="dxa" w:w="100"/>
            </w:tcMar>
            <w:vAlign w:val="center"/>
          </w:tcPr>
          <w:p>
            <w:pPr>
              <w:jc w:val="left"/>
            </w:pPr>
            <w:r>
              <w:rPr>
                <w:b w:val="false"/>
                <w:bCs w:val="false"/>
                <w:sz w:val="20"/>
                <w:szCs w:val="20"/>
              </w:rPr>
              <w:t xml:space="preserve">Spoofing Identity</w:t>
            </w:r>
          </w:p>
        </w:tc>
        <w:tc>
          <w:tcPr>
            <w:tcW w:type="dxa" w:w="2400"/>
            <w:tcMar>
              <w:top w:type="dxa" w:w="80"/>
              <w:left w:type="dxa" w:w="100"/>
              <w:bottom w:type="dxa" w:w="80"/>
              <w:right w:type="dxa" w:w="100"/>
            </w:tcMar>
            <w:vAlign w:val="center"/>
          </w:tcPr>
          <w:p>
            <w:pPr>
              <w:jc w:val="left"/>
            </w:pPr>
            <w:r>
              <w:rPr>
                <w:b w:val="false"/>
                <w:bCs w:val="false"/>
                <w:sz w:val="20"/>
                <w:szCs w:val="20"/>
              </w:rPr>
              <w:t xml:space="preserve">Unauthorized access (API, service, workload identity)</w:t>
            </w:r>
          </w:p>
        </w:tc>
        <w:tc>
          <w:tcPr>
            <w:tcW w:type="dxa" w:w="4300"/>
            <w:tcMar>
              <w:top w:type="dxa" w:w="80"/>
              <w:left w:type="dxa" w:w="100"/>
              <w:bottom w:type="dxa" w:w="80"/>
              <w:right w:type="dxa" w:w="100"/>
            </w:tcMar>
            <w:vAlign w:val="center"/>
          </w:tcPr>
          <w:p>
            <w:pPr>
              <w:jc w:val="left"/>
            </w:pPr>
            <w:r>
              <w:rPr>
                <w:b w:val="false"/>
                <w:bCs w:val="false"/>
                <w:sz w:val="20"/>
                <w:szCs w:val="20"/>
              </w:rPr>
              <w:t xml:space="preserve">El TrackingAPI utiliza autenticación por token (Login/RefreshToken/Logout) y roles definidos (ControlAccesos, Operadores, AdmReportes) para limitar el acceso a las funciones del sistema.</w:t>
            </w:r>
          </w:p>
        </w:tc>
        <w:tc>
          <w:tcPr>
            <w:tcW w:type="dxa" w:w="1400"/>
            <w:tcMar>
              <w:top w:type="dxa" w:w="80"/>
              <w:left w:type="dxa" w:w="100"/>
              <w:bottom w:type="dxa" w:w="80"/>
              <w:right w:type="dxa" w:w="100"/>
            </w:tcMar>
            <w:vAlign w:val="center"/>
          </w:tcPr>
          <w:p>
            <w:pPr>
              <w:jc w:val="left"/>
            </w:pPr>
            <w:r>
              <w:rPr>
                <w:b w:val="false"/>
                <w:bCs w:val="false"/>
                <w:sz w:val="20"/>
                <w:szCs w:val="20"/>
              </w:rPr>
              <w:t xml:space="preserve"/>
            </w:r>
          </w:p>
        </w:tc>
      </w:tr>
      <w:tr>
        <w:tc>
          <w:tcPr>
            <w:tcW w:type="dxa" w:w="1500"/>
            <w:tcMar>
              <w:top w:type="dxa" w:w="80"/>
              <w:left w:type="dxa" w:w="100"/>
              <w:bottom w:type="dxa" w:w="80"/>
              <w:right w:type="dxa" w:w="100"/>
            </w:tcMar>
            <w:vAlign w:val="center"/>
          </w:tcPr>
          <w:p>
            <w:pPr>
              <w:jc w:val="left"/>
            </w:pPr>
            <w:r>
              <w:rPr>
                <w:b w:val="false"/>
                <w:bCs w:val="false"/>
                <w:sz w:val="20"/>
                <w:szCs w:val="20"/>
              </w:rPr>
              <w:t xml:space="preserve">Spoofing Identity</w:t>
            </w:r>
          </w:p>
        </w:tc>
        <w:tc>
          <w:tcPr>
            <w:tcW w:type="dxa" w:w="2400"/>
            <w:tcMar>
              <w:top w:type="dxa" w:w="80"/>
              <w:left w:type="dxa" w:w="100"/>
              <w:bottom w:type="dxa" w:w="80"/>
              <w:right w:type="dxa" w:w="100"/>
            </w:tcMar>
            <w:vAlign w:val="center"/>
          </w:tcPr>
          <w:p>
            <w:pPr>
              <w:jc w:val="left"/>
            </w:pPr>
            <w:r>
              <w:rPr>
                <w:b w:val="false"/>
                <w:bCs w:val="false"/>
                <w:sz w:val="20"/>
                <w:szCs w:val="20"/>
              </w:rPr>
              <w:t xml:space="preserve">Privileged account protection (human + non-human identities)</w:t>
            </w:r>
          </w:p>
        </w:tc>
        <w:tc>
          <w:tcPr>
            <w:tcW w:type="dxa" w:w="4300"/>
            <w:tcMar>
              <w:top w:type="dxa" w:w="80"/>
              <w:left w:type="dxa" w:w="100"/>
              <w:bottom w:type="dxa" w:w="80"/>
              <w:right w:type="dxa" w:w="100"/>
            </w:tcMar>
            <w:vAlign w:val="center"/>
          </w:tcPr>
          <w:p>
            <w:pPr>
              <w:jc w:val="left"/>
            </w:pPr>
            <w:r>
              <w:rPr>
                <w:b w:val="false"/>
                <w:bCs w:val="false"/>
                <w:sz w:val="20"/>
                <w:szCs w:val="20"/>
              </w:rPr>
              <w:t xml:space="preserve">El componente EDITRAN opera bajo una cuenta de dominio con rol Administrator, sin evidencia de una cuenta de servicio con privilegios acotados a la función de transmisión.</w:t>
            </w:r>
          </w:p>
        </w:tc>
        <w:tc>
          <w:tcPr>
            <w:tcW w:type="dxa" w:w="1400"/>
            <w:tcMar>
              <w:top w:type="dxa" w:w="80"/>
              <w:left w:type="dxa" w:w="100"/>
              <w:bottom w:type="dxa" w:w="80"/>
              <w:right w:type="dxa" w:w="100"/>
            </w:tcMar>
            <w:vAlign w:val="center"/>
          </w:tcPr>
          <w:p>
            <w:pPr>
              <w:jc w:val="left"/>
            </w:pPr>
            <w:r>
              <w:rPr>
                <w:b/>
                <w:bCs/>
                <w:sz w:val="20"/>
                <w:szCs w:val="20"/>
              </w:rPr>
              <w:t xml:space="preserve">Control Defect #2</w:t>
            </w:r>
          </w:p>
        </w:tc>
      </w:tr>
      <w:tr>
        <w:tc>
          <w:tcPr>
            <w:tcW w:type="dxa" w:w="1500"/>
            <w:tcMar>
              <w:top w:type="dxa" w:w="80"/>
              <w:left w:type="dxa" w:w="100"/>
              <w:bottom w:type="dxa" w:w="80"/>
              <w:right w:type="dxa" w:w="100"/>
            </w:tcMar>
            <w:vAlign w:val="center"/>
          </w:tcPr>
          <w:p>
            <w:pPr>
              <w:jc w:val="left"/>
            </w:pPr>
            <w:r>
              <w:rPr>
                <w:b w:val="false"/>
                <w:bCs w:val="false"/>
                <w:sz w:val="20"/>
                <w:szCs w:val="20"/>
              </w:rPr>
              <w:t xml:space="preserve">Spoofing Identity</w:t>
            </w:r>
          </w:p>
        </w:tc>
        <w:tc>
          <w:tcPr>
            <w:tcW w:type="dxa" w:w="2400"/>
            <w:tcMar>
              <w:top w:type="dxa" w:w="80"/>
              <w:left w:type="dxa" w:w="100"/>
              <w:bottom w:type="dxa" w:w="80"/>
              <w:right w:type="dxa" w:w="100"/>
            </w:tcMar>
            <w:vAlign w:val="center"/>
          </w:tcPr>
          <w:p>
            <w:pPr>
              <w:jc w:val="left"/>
            </w:pPr>
            <w:r>
              <w:rPr>
                <w:b w:val="false"/>
                <w:bCs w:val="false"/>
                <w:sz w:val="20"/>
                <w:szCs w:val="20"/>
              </w:rPr>
              <w:t xml:space="preserve">Phishing / social engineering</w:t>
            </w:r>
          </w:p>
        </w:tc>
        <w:tc>
          <w:tcPr>
            <w:tcW w:type="dxa" w:w="4300"/>
            <w:tcMar>
              <w:top w:type="dxa" w:w="80"/>
              <w:left w:type="dxa" w:w="100"/>
              <w:bottom w:type="dxa" w:w="80"/>
              <w:right w:type="dxa" w:w="100"/>
            </w:tcMar>
            <w:vAlign w:val="center"/>
          </w:tcPr>
          <w:p>
            <w:pPr>
              <w:jc w:val="left"/>
            </w:pPr>
            <w:r>
              <w:rPr>
                <w:b w:val="false"/>
                <w:bCs w:val="false"/>
                <w:sz w:val="20"/>
                <w:szCs w:val="20"/>
              </w:rPr>
              <w:t xml:space="preserve">El servidor es dedicado y de acceso restringido a Operadores/Seguridad; los controles de concientización de seguridad aplican a nivel corporativo pero están fuera del alcance de este assessment.</w:t>
            </w:r>
          </w:p>
        </w:tc>
        <w:tc>
          <w:tcPr>
            <w:tcW w:type="dxa" w:w="1400"/>
            <w:tcMar>
              <w:top w:type="dxa" w:w="80"/>
              <w:left w:type="dxa" w:w="100"/>
              <w:bottom w:type="dxa" w:w="80"/>
              <w:right w:type="dxa" w:w="100"/>
            </w:tcMar>
            <w:vAlign w:val="center"/>
          </w:tcPr>
          <w:p>
            <w:pPr>
              <w:jc w:val="left"/>
            </w:pPr>
            <w:r>
              <w:rPr>
                <w:b w:val="false"/>
                <w:bCs w:val="false"/>
                <w:sz w:val="20"/>
                <w:szCs w:val="20"/>
              </w:rPr>
              <w:t xml:space="preserve"/>
            </w:r>
          </w:p>
        </w:tc>
      </w:tr>
      <w:tr>
        <w:tc>
          <w:tcPr>
            <w:tcW w:type="dxa" w:w="1500"/>
            <w:tcMar>
              <w:top w:type="dxa" w:w="80"/>
              <w:left w:type="dxa" w:w="100"/>
              <w:bottom w:type="dxa" w:w="80"/>
              <w:right w:type="dxa" w:w="100"/>
            </w:tcMar>
            <w:vAlign w:val="center"/>
          </w:tcPr>
          <w:p>
            <w:pPr>
              <w:jc w:val="left"/>
            </w:pPr>
            <w:r>
              <w:rPr>
                <w:b w:val="false"/>
                <w:bCs w:val="false"/>
                <w:sz w:val="20"/>
                <w:szCs w:val="20"/>
              </w:rPr>
              <w:t xml:space="preserve">Spoofing Identity</w:t>
            </w:r>
          </w:p>
        </w:tc>
        <w:tc>
          <w:tcPr>
            <w:tcW w:type="dxa" w:w="2400"/>
            <w:tcMar>
              <w:top w:type="dxa" w:w="80"/>
              <w:left w:type="dxa" w:w="100"/>
              <w:bottom w:type="dxa" w:w="80"/>
              <w:right w:type="dxa" w:w="100"/>
            </w:tcMar>
            <w:vAlign w:val="center"/>
          </w:tcPr>
          <w:p>
            <w:pPr>
              <w:jc w:val="left"/>
            </w:pPr>
            <w:r>
              <w:rPr>
                <w:b w:val="false"/>
                <w:bCs w:val="false"/>
                <w:sz w:val="20"/>
                <w:szCs w:val="20"/>
              </w:rPr>
              <w:t xml:space="preserve">Certificate &amp; key validation (mTLS, cert lifecycle)</w:t>
            </w:r>
          </w:p>
        </w:tc>
        <w:tc>
          <w:tcPr>
            <w:tcW w:type="dxa" w:w="4300"/>
            <w:tcMar>
              <w:top w:type="dxa" w:w="80"/>
              <w:left w:type="dxa" w:w="100"/>
              <w:bottom w:type="dxa" w:w="80"/>
              <w:right w:type="dxa" w:w="100"/>
            </w:tcMar>
            <w:vAlign w:val="center"/>
          </w:tcPr>
          <w:p>
            <w:pPr>
              <w:jc w:val="left"/>
            </w:pPr>
            <w:r>
              <w:rPr>
                <w:b w:val="false"/>
                <w:bCs w:val="false"/>
                <w:sz w:val="20"/>
                <w:szCs w:val="20"/>
              </w:rPr>
              <w:t xml:space="preserve">La autenticación hacia la CCE utiliza llaves RSA 4096 (Editran Authentication) con rotación cada 3 meses. La confidencialidad utiliza 3DES con rotación en cada envío de archivo, ambos gestionados por soporte de la CCE.</w:t>
            </w:r>
          </w:p>
        </w:tc>
        <w:tc>
          <w:tcPr>
            <w:tcW w:type="dxa" w:w="1400"/>
            <w:tcMar>
              <w:top w:type="dxa" w:w="80"/>
              <w:left w:type="dxa" w:w="100"/>
              <w:bottom w:type="dxa" w:w="80"/>
              <w:right w:type="dxa" w:w="100"/>
            </w:tcMar>
            <w:vAlign w:val="center"/>
          </w:tcPr>
          <w:p>
            <w:pPr>
              <w:jc w:val="left"/>
            </w:pPr>
            <w:r>
              <w:rPr>
                <w:b w:val="false"/>
                <w:bCs w:val="false"/>
                <w:sz w:val="20"/>
                <w:szCs w:val="20"/>
              </w:rPr>
              <w:t xml:space="preserve"/>
            </w:r>
          </w:p>
        </w:tc>
      </w:tr>
      <w:tr>
        <w:tc>
          <w:tcPr>
            <w:tcW w:type="dxa" w:w="1500"/>
            <w:tcMar>
              <w:top w:type="dxa" w:w="80"/>
              <w:left w:type="dxa" w:w="100"/>
              <w:bottom w:type="dxa" w:w="80"/>
              <w:right w:type="dxa" w:w="100"/>
            </w:tcMar>
            <w:vAlign w:val="center"/>
          </w:tcPr>
          <w:p>
            <w:pPr>
              <w:jc w:val="left"/>
            </w:pPr>
            <w:r>
              <w:rPr>
                <w:b w:val="false"/>
                <w:bCs w:val="false"/>
                <w:sz w:val="20"/>
                <w:szCs w:val="20"/>
              </w:rPr>
              <w:t xml:space="preserve">Tampering with Data</w:t>
            </w:r>
          </w:p>
        </w:tc>
        <w:tc>
          <w:tcPr>
            <w:tcW w:type="dxa" w:w="2400"/>
            <w:tcMar>
              <w:top w:type="dxa" w:w="80"/>
              <w:left w:type="dxa" w:w="100"/>
              <w:bottom w:type="dxa" w:w="80"/>
              <w:right w:type="dxa" w:w="100"/>
            </w:tcMar>
            <w:vAlign w:val="center"/>
          </w:tcPr>
          <w:p>
            <w:pPr>
              <w:jc w:val="left"/>
            </w:pPr>
            <w:r>
              <w:rPr>
                <w:b w:val="false"/>
                <w:bCs w:val="false"/>
                <w:sz w:val="20"/>
                <w:szCs w:val="20"/>
              </w:rPr>
              <w:t xml:space="preserve">Unauthorized modification of bank data</w:t>
            </w:r>
          </w:p>
        </w:tc>
        <w:tc>
          <w:tcPr>
            <w:tcW w:type="dxa" w:w="4300"/>
            <w:tcMar>
              <w:top w:type="dxa" w:w="80"/>
              <w:left w:type="dxa" w:w="100"/>
              <w:bottom w:type="dxa" w:w="80"/>
              <w:right w:type="dxa" w:w="100"/>
            </w:tcMar>
            <w:vAlign w:val="center"/>
          </w:tcPr>
          <w:p>
            <w:pPr>
              <w:jc w:val="left"/>
            </w:pPr>
            <w:r>
              <w:rPr>
                <w:b w:val="false"/>
                <w:bCs w:val="false"/>
                <w:sz w:val="20"/>
                <w:szCs w:val="20"/>
              </w:rPr>
              <w:t xml:space="preserve">EDITRAN opera como ejecutable sin fuentes ni control de versionado, lo que impide validar que el binario no ha sido modificado respecto de la versión provista por el proveedor.</w:t>
            </w:r>
          </w:p>
        </w:tc>
        <w:tc>
          <w:tcPr>
            <w:tcW w:type="dxa" w:w="1400"/>
            <w:tcMar>
              <w:top w:type="dxa" w:w="80"/>
              <w:left w:type="dxa" w:w="100"/>
              <w:bottom w:type="dxa" w:w="80"/>
              <w:right w:type="dxa" w:w="100"/>
            </w:tcMar>
            <w:vAlign w:val="center"/>
          </w:tcPr>
          <w:p>
            <w:pPr>
              <w:jc w:val="left"/>
            </w:pPr>
            <w:r>
              <w:rPr>
                <w:b/>
                <w:bCs/>
                <w:sz w:val="20"/>
                <w:szCs w:val="20"/>
              </w:rPr>
              <w:t xml:space="preserve">Control Defect #1</w:t>
            </w:r>
          </w:p>
        </w:tc>
      </w:tr>
      <w:tr>
        <w:tc>
          <w:tcPr>
            <w:tcW w:type="dxa" w:w="1500"/>
            <w:tcMar>
              <w:top w:type="dxa" w:w="80"/>
              <w:left w:type="dxa" w:w="100"/>
              <w:bottom w:type="dxa" w:w="80"/>
              <w:right w:type="dxa" w:w="100"/>
            </w:tcMar>
            <w:vAlign w:val="center"/>
          </w:tcPr>
          <w:p>
            <w:pPr>
              <w:jc w:val="left"/>
            </w:pPr>
            <w:r>
              <w:rPr>
                <w:b w:val="false"/>
                <w:bCs w:val="false"/>
                <w:sz w:val="20"/>
                <w:szCs w:val="20"/>
              </w:rPr>
              <w:t xml:space="preserve">Tampering with Data</w:t>
            </w:r>
          </w:p>
        </w:tc>
        <w:tc>
          <w:tcPr>
            <w:tcW w:type="dxa" w:w="2400"/>
            <w:tcMar>
              <w:top w:type="dxa" w:w="80"/>
              <w:left w:type="dxa" w:w="100"/>
              <w:bottom w:type="dxa" w:w="80"/>
              <w:right w:type="dxa" w:w="100"/>
            </w:tcMar>
            <w:vAlign w:val="center"/>
          </w:tcPr>
          <w:p>
            <w:pPr>
              <w:jc w:val="left"/>
            </w:pPr>
            <w:r>
              <w:rPr>
                <w:b w:val="false"/>
                <w:bCs w:val="false"/>
                <w:sz w:val="20"/>
                <w:szCs w:val="20"/>
              </w:rPr>
              <w:t xml:space="preserve">Data leaving approved environments (egress risk)</w:t>
            </w:r>
          </w:p>
        </w:tc>
        <w:tc>
          <w:tcPr>
            <w:tcW w:type="dxa" w:w="4300"/>
            <w:tcMar>
              <w:top w:type="dxa" w:w="80"/>
              <w:left w:type="dxa" w:w="100"/>
              <w:bottom w:type="dxa" w:w="80"/>
              <w:right w:type="dxa" w:w="100"/>
            </w:tcMar>
            <w:vAlign w:val="center"/>
          </w:tcPr>
          <w:p>
            <w:pPr>
              <w:jc w:val="left"/>
            </w:pPr>
            <w:r>
              <w:rPr>
                <w:b w:val="false"/>
                <w:bCs w:val="false"/>
                <w:sz w:val="20"/>
                <w:szCs w:val="20"/>
              </w:rPr>
              <w:t xml:space="preserve">La conectividad de salida hacia la CCE está restringida a la IP y puerto registrados (8888) por entidad, sin posibilidad de redirección a otro destino.</w:t>
            </w:r>
          </w:p>
        </w:tc>
        <w:tc>
          <w:tcPr>
            <w:tcW w:type="dxa" w:w="1400"/>
            <w:tcMar>
              <w:top w:type="dxa" w:w="80"/>
              <w:left w:type="dxa" w:w="100"/>
              <w:bottom w:type="dxa" w:w="80"/>
              <w:right w:type="dxa" w:w="100"/>
            </w:tcMar>
            <w:vAlign w:val="center"/>
          </w:tcPr>
          <w:p>
            <w:pPr>
              <w:jc w:val="left"/>
            </w:pPr>
            <w:r>
              <w:rPr>
                <w:b w:val="false"/>
                <w:bCs w:val="false"/>
                <w:sz w:val="20"/>
                <w:szCs w:val="20"/>
              </w:rPr>
              <w:t xml:space="preserve"/>
            </w:r>
          </w:p>
        </w:tc>
      </w:tr>
      <w:tr>
        <w:tc>
          <w:tcPr>
            <w:tcW w:type="dxa" w:w="1500"/>
            <w:tcMar>
              <w:top w:type="dxa" w:w="80"/>
              <w:left w:type="dxa" w:w="100"/>
              <w:bottom w:type="dxa" w:w="80"/>
              <w:right w:type="dxa" w:w="100"/>
            </w:tcMar>
            <w:vAlign w:val="center"/>
          </w:tcPr>
          <w:p>
            <w:pPr>
              <w:jc w:val="left"/>
            </w:pPr>
            <w:r>
              <w:rPr>
                <w:b w:val="false"/>
                <w:bCs w:val="false"/>
                <w:sz w:val="20"/>
                <w:szCs w:val="20"/>
              </w:rPr>
              <w:t xml:space="preserve">Tampering with Data</w:t>
            </w:r>
          </w:p>
        </w:tc>
        <w:tc>
          <w:tcPr>
            <w:tcW w:type="dxa" w:w="2400"/>
            <w:tcMar>
              <w:top w:type="dxa" w:w="80"/>
              <w:left w:type="dxa" w:w="100"/>
              <w:bottom w:type="dxa" w:w="80"/>
              <w:right w:type="dxa" w:w="100"/>
            </w:tcMar>
            <w:vAlign w:val="center"/>
          </w:tcPr>
          <w:p>
            <w:pPr>
              <w:jc w:val="left"/>
            </w:pPr>
            <w:r>
              <w:rPr>
                <w:b w:val="false"/>
                <w:bCs w:val="false"/>
                <w:sz w:val="20"/>
                <w:szCs w:val="20"/>
              </w:rPr>
              <w:t xml:space="preserve">Secret, password, and token protection</w:t>
            </w:r>
          </w:p>
        </w:tc>
        <w:tc>
          <w:tcPr>
            <w:tcW w:type="dxa" w:w="4300"/>
            <w:tcMar>
              <w:top w:type="dxa" w:w="80"/>
              <w:left w:type="dxa" w:w="100"/>
              <w:bottom w:type="dxa" w:w="80"/>
              <w:right w:type="dxa" w:w="100"/>
            </w:tcMar>
            <w:vAlign w:val="center"/>
          </w:tcPr>
          <w:p>
            <w:pPr>
              <w:jc w:val="left"/>
            </w:pPr>
            <w:r>
              <w:rPr>
                <w:b w:val="false"/>
                <w:bCs w:val="false"/>
                <w:sz w:val="20"/>
                <w:szCs w:val="20"/>
              </w:rPr>
              <w:t xml:space="preserve">Las credenciales de base de datos se almacenan en archivos encriptados mediante CryptoTool; las credenciales de la aplicación web utilizan Passport/OAuth 2.0 y Active Directory.</w:t>
            </w:r>
          </w:p>
        </w:tc>
        <w:tc>
          <w:tcPr>
            <w:tcW w:type="dxa" w:w="1400"/>
            <w:tcMar>
              <w:top w:type="dxa" w:w="80"/>
              <w:left w:type="dxa" w:w="100"/>
              <w:bottom w:type="dxa" w:w="80"/>
              <w:right w:type="dxa" w:w="100"/>
            </w:tcMar>
            <w:vAlign w:val="center"/>
          </w:tcPr>
          <w:p>
            <w:pPr>
              <w:jc w:val="left"/>
            </w:pPr>
            <w:r>
              <w:rPr>
                <w:b w:val="false"/>
                <w:bCs w:val="false"/>
                <w:sz w:val="20"/>
                <w:szCs w:val="20"/>
              </w:rPr>
              <w:t xml:space="preserve"/>
            </w:r>
          </w:p>
        </w:tc>
      </w:tr>
      <w:tr>
        <w:tc>
          <w:tcPr>
            <w:tcW w:type="dxa" w:w="1500"/>
            <w:tcMar>
              <w:top w:type="dxa" w:w="80"/>
              <w:left w:type="dxa" w:w="100"/>
              <w:bottom w:type="dxa" w:w="80"/>
              <w:right w:type="dxa" w:w="100"/>
            </w:tcMar>
            <w:vAlign w:val="center"/>
          </w:tcPr>
          <w:p>
            <w:pPr>
              <w:jc w:val="left"/>
            </w:pPr>
            <w:r>
              <w:rPr>
                <w:b w:val="false"/>
                <w:bCs w:val="false"/>
                <w:sz w:val="20"/>
                <w:szCs w:val="20"/>
              </w:rPr>
              <w:t xml:space="preserve">Tampering with Data</w:t>
            </w:r>
          </w:p>
        </w:tc>
        <w:tc>
          <w:tcPr>
            <w:tcW w:type="dxa" w:w="2400"/>
            <w:tcMar>
              <w:top w:type="dxa" w:w="80"/>
              <w:left w:type="dxa" w:w="100"/>
              <w:bottom w:type="dxa" w:w="80"/>
              <w:right w:type="dxa" w:w="100"/>
            </w:tcMar>
            <w:vAlign w:val="center"/>
          </w:tcPr>
          <w:p>
            <w:pPr>
              <w:jc w:val="left"/>
            </w:pPr>
            <w:r>
              <w:rPr>
                <w:b w:val="false"/>
                <w:bCs w:val="false"/>
                <w:sz w:val="20"/>
                <w:szCs w:val="20"/>
              </w:rPr>
              <w:t xml:space="preserve">Authorization enforcement (RBAC, ABAC, policy)</w:t>
            </w:r>
          </w:p>
        </w:tc>
        <w:tc>
          <w:tcPr>
            <w:tcW w:type="dxa" w:w="4300"/>
            <w:tcMar>
              <w:top w:type="dxa" w:w="80"/>
              <w:left w:type="dxa" w:w="100"/>
              <w:bottom w:type="dxa" w:w="80"/>
              <w:right w:type="dxa" w:w="100"/>
            </w:tcMar>
            <w:vAlign w:val="center"/>
          </w:tcPr>
          <w:p>
            <w:pPr>
              <w:jc w:val="left"/>
            </w:pPr>
            <w:r>
              <w:rPr>
                <w:b w:val="false"/>
                <w:bCs w:val="false"/>
                <w:sz w:val="20"/>
                <w:szCs w:val="20"/>
              </w:rPr>
              <w:t xml:space="preserve">La aplicación web define roles (ControlAccesos, Operadores, AdmReportes) con permisos diferenciados de lectura/escritura. El componente EDITRAN, en cambio, opera con privilegios de Administrator sin diferenciación de roles.</w:t>
            </w:r>
          </w:p>
        </w:tc>
        <w:tc>
          <w:tcPr>
            <w:tcW w:type="dxa" w:w="1400"/>
            <w:tcMar>
              <w:top w:type="dxa" w:w="80"/>
              <w:left w:type="dxa" w:w="100"/>
              <w:bottom w:type="dxa" w:w="80"/>
              <w:right w:type="dxa" w:w="100"/>
            </w:tcMar>
            <w:vAlign w:val="center"/>
          </w:tcPr>
          <w:p>
            <w:pPr>
              <w:jc w:val="left"/>
            </w:pPr>
            <w:r>
              <w:rPr>
                <w:b/>
                <w:bCs/>
                <w:sz w:val="20"/>
                <w:szCs w:val="20"/>
              </w:rPr>
              <w:t xml:space="preserve">Control Defect #2</w:t>
            </w:r>
          </w:p>
        </w:tc>
      </w:tr>
      <w:tr>
        <w:tc>
          <w:tcPr>
            <w:tcW w:type="dxa" w:w="1500"/>
            <w:tcMar>
              <w:top w:type="dxa" w:w="80"/>
              <w:left w:type="dxa" w:w="100"/>
              <w:bottom w:type="dxa" w:w="80"/>
              <w:right w:type="dxa" w:w="100"/>
            </w:tcMar>
            <w:vAlign w:val="center"/>
          </w:tcPr>
          <w:p>
            <w:pPr>
              <w:jc w:val="left"/>
            </w:pPr>
            <w:r>
              <w:rPr>
                <w:b w:val="false"/>
                <w:bCs w:val="false"/>
                <w:sz w:val="20"/>
                <w:szCs w:val="20"/>
              </w:rPr>
              <w:t xml:space="preserve">Tampering with Data</w:t>
            </w:r>
          </w:p>
        </w:tc>
        <w:tc>
          <w:tcPr>
            <w:tcW w:type="dxa" w:w="2400"/>
            <w:tcMar>
              <w:top w:type="dxa" w:w="80"/>
              <w:left w:type="dxa" w:w="100"/>
              <w:bottom w:type="dxa" w:w="80"/>
              <w:right w:type="dxa" w:w="100"/>
            </w:tcMar>
            <w:vAlign w:val="center"/>
          </w:tcPr>
          <w:p>
            <w:pPr>
              <w:jc w:val="left"/>
            </w:pPr>
            <w:r>
              <w:rPr>
                <w:b w:val="false"/>
                <w:bCs w:val="false"/>
                <w:sz w:val="20"/>
                <w:szCs w:val="20"/>
              </w:rPr>
              <w:t xml:space="preserve">Cryptographic integrity protections</w:t>
            </w:r>
          </w:p>
        </w:tc>
        <w:tc>
          <w:tcPr>
            <w:tcW w:type="dxa" w:w="4300"/>
            <w:tcMar>
              <w:top w:type="dxa" w:w="80"/>
              <w:left w:type="dxa" w:w="100"/>
              <w:bottom w:type="dxa" w:w="80"/>
              <w:right w:type="dxa" w:w="100"/>
            </w:tcMar>
            <w:vAlign w:val="center"/>
          </w:tcPr>
          <w:p>
            <w:pPr>
              <w:jc w:val="left"/>
            </w:pPr>
            <w:r>
              <w:rPr>
                <w:b w:val="false"/>
                <w:bCs w:val="false"/>
                <w:sz w:val="20"/>
                <w:szCs w:val="20"/>
              </w:rPr>
              <w:t xml:space="preserve">La transmisión hacia la CCE utiliza TLS 1.2 / HTTPS para los componentes web, y cifrado RSA 4096 / 3DES para el intercambio de archivos EDITRAN, protegiendo la integridad y confidencialidad en tránsito.</w:t>
            </w:r>
          </w:p>
        </w:tc>
        <w:tc>
          <w:tcPr>
            <w:tcW w:type="dxa" w:w="1400"/>
            <w:tcMar>
              <w:top w:type="dxa" w:w="80"/>
              <w:left w:type="dxa" w:w="100"/>
              <w:bottom w:type="dxa" w:w="80"/>
              <w:right w:type="dxa" w:w="100"/>
            </w:tcMar>
            <w:vAlign w:val="center"/>
          </w:tcPr>
          <w:p>
            <w:pPr>
              <w:jc w:val="left"/>
            </w:pPr>
            <w:r>
              <w:rPr>
                <w:b w:val="false"/>
                <w:bCs w:val="false"/>
                <w:sz w:val="20"/>
                <w:szCs w:val="20"/>
              </w:rPr>
              <w:t xml:space="preserve"/>
            </w:r>
          </w:p>
        </w:tc>
      </w:tr>
      <w:tr>
        <w:tc>
          <w:tcPr>
            <w:tcW w:type="dxa" w:w="1500"/>
            <w:tcMar>
              <w:top w:type="dxa" w:w="80"/>
              <w:left w:type="dxa" w:w="100"/>
              <w:bottom w:type="dxa" w:w="80"/>
              <w:right w:type="dxa" w:w="100"/>
            </w:tcMar>
            <w:vAlign w:val="center"/>
          </w:tcPr>
          <w:p>
            <w:pPr>
              <w:jc w:val="left"/>
            </w:pPr>
            <w:r>
              <w:rPr>
                <w:b w:val="false"/>
                <w:bCs w:val="false"/>
                <w:sz w:val="20"/>
                <w:szCs w:val="20"/>
              </w:rPr>
              <w:t xml:space="preserve">Tampering with Data</w:t>
            </w:r>
          </w:p>
        </w:tc>
        <w:tc>
          <w:tcPr>
            <w:tcW w:type="dxa" w:w="2400"/>
            <w:tcMar>
              <w:top w:type="dxa" w:w="80"/>
              <w:left w:type="dxa" w:w="100"/>
              <w:bottom w:type="dxa" w:w="80"/>
              <w:right w:type="dxa" w:w="100"/>
            </w:tcMar>
            <w:vAlign w:val="center"/>
          </w:tcPr>
          <w:p>
            <w:pPr>
              <w:jc w:val="left"/>
            </w:pPr>
            <w:r>
              <w:rPr>
                <w:b w:val="false"/>
                <w:bCs w:val="false"/>
                <w:sz w:val="20"/>
                <w:szCs w:val="20"/>
              </w:rPr>
              <w:t xml:space="preserve">Direct access to databases or storage</w:t>
            </w:r>
          </w:p>
        </w:tc>
        <w:tc>
          <w:tcPr>
            <w:tcW w:type="dxa" w:w="4300"/>
            <w:tcMar>
              <w:top w:type="dxa" w:w="80"/>
              <w:left w:type="dxa" w:w="100"/>
              <w:bottom w:type="dxa" w:w="80"/>
              <w:right w:type="dxa" w:w="100"/>
            </w:tcMar>
            <w:vAlign w:val="center"/>
          </w:tcPr>
          <w:p>
            <w:pPr>
              <w:jc w:val="left"/>
            </w:pPr>
            <w:r>
              <w:rPr>
                <w:b w:val="false"/>
                <w:bCs w:val="false"/>
                <w:sz w:val="20"/>
                <w:szCs w:val="20"/>
              </w:rPr>
              <w:t xml:space="preserve">El acceso a la base de datos de tracking se realiza únicamente a través de procedimientos almacenados (Stored Procedures) invocados por la API, sin acceso directo de usuarios finales.</w:t>
            </w:r>
          </w:p>
        </w:tc>
        <w:tc>
          <w:tcPr>
            <w:tcW w:type="dxa" w:w="1400"/>
            <w:tcMar>
              <w:top w:type="dxa" w:w="80"/>
              <w:left w:type="dxa" w:w="100"/>
              <w:bottom w:type="dxa" w:w="80"/>
              <w:right w:type="dxa" w:w="100"/>
            </w:tcMar>
            <w:vAlign w:val="center"/>
          </w:tcPr>
          <w:p>
            <w:pPr>
              <w:jc w:val="left"/>
            </w:pPr>
            <w:r>
              <w:rPr>
                <w:b w:val="false"/>
                <w:bCs w:val="false"/>
                <w:sz w:val="20"/>
                <w:szCs w:val="20"/>
              </w:rPr>
              <w:t xml:space="preserve"/>
            </w:r>
          </w:p>
        </w:tc>
      </w:tr>
      <w:tr>
        <w:tc>
          <w:tcPr>
            <w:tcW w:type="dxa" w:w="1500"/>
            <w:tcMar>
              <w:top w:type="dxa" w:w="80"/>
              <w:left w:type="dxa" w:w="100"/>
              <w:bottom w:type="dxa" w:w="80"/>
              <w:right w:type="dxa" w:w="100"/>
            </w:tcMar>
            <w:vAlign w:val="center"/>
          </w:tcPr>
          <w:p>
            <w:pPr>
              <w:jc w:val="left"/>
            </w:pPr>
            <w:r>
              <w:rPr>
                <w:b w:val="false"/>
                <w:bCs w:val="false"/>
                <w:sz w:val="20"/>
                <w:szCs w:val="20"/>
              </w:rPr>
              <w:t xml:space="preserve">Repudiation</w:t>
            </w:r>
          </w:p>
        </w:tc>
        <w:tc>
          <w:tcPr>
            <w:tcW w:type="dxa" w:w="2400"/>
            <w:tcMar>
              <w:top w:type="dxa" w:w="80"/>
              <w:left w:type="dxa" w:w="100"/>
              <w:bottom w:type="dxa" w:w="80"/>
              <w:right w:type="dxa" w:w="100"/>
            </w:tcMar>
            <w:vAlign w:val="center"/>
          </w:tcPr>
          <w:p>
            <w:pPr>
              <w:jc w:val="left"/>
            </w:pPr>
            <w:r>
              <w:rPr>
                <w:b w:val="false"/>
                <w:bCs w:val="false"/>
                <w:sz w:val="20"/>
                <w:szCs w:val="20"/>
              </w:rPr>
              <w:t xml:space="preserve">Shared or non-attributable account usage</w:t>
            </w:r>
          </w:p>
        </w:tc>
        <w:tc>
          <w:tcPr>
            <w:tcW w:type="dxa" w:w="4300"/>
            <w:tcMar>
              <w:top w:type="dxa" w:w="80"/>
              <w:left w:type="dxa" w:w="100"/>
              <w:bottom w:type="dxa" w:w="80"/>
              <w:right w:type="dxa" w:w="100"/>
            </w:tcMar>
            <w:vAlign w:val="center"/>
          </w:tcPr>
          <w:p>
            <w:pPr>
              <w:jc w:val="left"/>
            </w:pPr>
            <w:r>
              <w:rPr>
                <w:b w:val="false"/>
                <w:bCs w:val="false"/>
                <w:sz w:val="20"/>
                <w:szCs w:val="20"/>
              </w:rPr>
              <w:t xml:space="preserve">El acceso al servidor EDITRAN y a la aplicación web se vincula a credenciales de dominio individuales, permitiendo atribución a un usuario específico.</w:t>
            </w:r>
          </w:p>
        </w:tc>
        <w:tc>
          <w:tcPr>
            <w:tcW w:type="dxa" w:w="1400"/>
            <w:tcMar>
              <w:top w:type="dxa" w:w="80"/>
              <w:left w:type="dxa" w:w="100"/>
              <w:bottom w:type="dxa" w:w="80"/>
              <w:right w:type="dxa" w:w="100"/>
            </w:tcMar>
            <w:vAlign w:val="center"/>
          </w:tcPr>
          <w:p>
            <w:pPr>
              <w:jc w:val="left"/>
            </w:pPr>
            <w:r>
              <w:rPr>
                <w:b w:val="false"/>
                <w:bCs w:val="false"/>
                <w:sz w:val="20"/>
                <w:szCs w:val="20"/>
              </w:rPr>
              <w:t xml:space="preserve"/>
            </w:r>
          </w:p>
        </w:tc>
      </w:tr>
      <w:tr>
        <w:tc>
          <w:tcPr>
            <w:tcW w:type="dxa" w:w="1500"/>
            <w:tcMar>
              <w:top w:type="dxa" w:w="80"/>
              <w:left w:type="dxa" w:w="100"/>
              <w:bottom w:type="dxa" w:w="80"/>
              <w:right w:type="dxa" w:w="100"/>
            </w:tcMar>
            <w:vAlign w:val="center"/>
          </w:tcPr>
          <w:p>
            <w:pPr>
              <w:jc w:val="left"/>
            </w:pPr>
            <w:r>
              <w:rPr>
                <w:b w:val="false"/>
                <w:bCs w:val="false"/>
                <w:sz w:val="20"/>
                <w:szCs w:val="20"/>
              </w:rPr>
              <w:t xml:space="preserve">Repudiation</w:t>
            </w:r>
          </w:p>
        </w:tc>
        <w:tc>
          <w:tcPr>
            <w:tcW w:type="dxa" w:w="2400"/>
            <w:tcMar>
              <w:top w:type="dxa" w:w="80"/>
              <w:left w:type="dxa" w:w="100"/>
              <w:bottom w:type="dxa" w:w="80"/>
              <w:right w:type="dxa" w:w="100"/>
            </w:tcMar>
            <w:vAlign w:val="center"/>
          </w:tcPr>
          <w:p>
            <w:pPr>
              <w:jc w:val="left"/>
            </w:pPr>
            <w:r>
              <w:rPr>
                <w:b w:val="false"/>
                <w:bCs w:val="false"/>
                <w:sz w:val="20"/>
                <w:szCs w:val="20"/>
              </w:rPr>
              <w:t xml:space="preserve">Logging, auditability, and non-repudiation</w:t>
            </w:r>
          </w:p>
        </w:tc>
        <w:tc>
          <w:tcPr>
            <w:tcW w:type="dxa" w:w="4300"/>
            <w:tcMar>
              <w:top w:type="dxa" w:w="80"/>
              <w:left w:type="dxa" w:w="100"/>
              <w:bottom w:type="dxa" w:w="80"/>
              <w:right w:type="dxa" w:w="100"/>
            </w:tcMar>
            <w:vAlign w:val="center"/>
          </w:tcPr>
          <w:p>
            <w:pPr>
              <w:jc w:val="left"/>
            </w:pPr>
            <w:r>
              <w:rPr>
                <w:b w:val="false"/>
                <w:bCs w:val="false"/>
                <w:sz w:val="20"/>
                <w:szCs w:val="20"/>
              </w:rPr>
              <w:t xml:space="preserve">La aplicación web mantiene tabla de auditoría (tbl_audit) para cambios de seguridad (usuarios y roles). Los logs de EDITRAN tienen retención limitada (máximo 10 archivos de 10MB, con rotación).</w:t>
            </w:r>
          </w:p>
        </w:tc>
        <w:tc>
          <w:tcPr>
            <w:tcW w:type="dxa" w:w="1400"/>
            <w:tcMar>
              <w:top w:type="dxa" w:w="80"/>
              <w:left w:type="dxa" w:w="100"/>
              <w:bottom w:type="dxa" w:w="80"/>
              <w:right w:type="dxa" w:w="100"/>
            </w:tcMar>
            <w:vAlign w:val="center"/>
          </w:tcPr>
          <w:p>
            <w:pPr>
              <w:jc w:val="left"/>
            </w:pPr>
            <w:r>
              <w:rPr>
                <w:b w:val="false"/>
                <w:bCs w:val="false"/>
                <w:sz w:val="20"/>
                <w:szCs w:val="20"/>
              </w:rPr>
              <w:t xml:space="preserve"/>
            </w:r>
          </w:p>
        </w:tc>
      </w:tr>
      <w:tr>
        <w:tc>
          <w:tcPr>
            <w:tcW w:type="dxa" w:w="1500"/>
            <w:tcMar>
              <w:top w:type="dxa" w:w="80"/>
              <w:left w:type="dxa" w:w="100"/>
              <w:bottom w:type="dxa" w:w="80"/>
              <w:right w:type="dxa" w:w="100"/>
            </w:tcMar>
            <w:vAlign w:val="center"/>
          </w:tcPr>
          <w:p>
            <w:pPr>
              <w:jc w:val="left"/>
            </w:pPr>
            <w:r>
              <w:rPr>
                <w:b w:val="false"/>
                <w:bCs w:val="false"/>
                <w:sz w:val="20"/>
                <w:szCs w:val="20"/>
              </w:rPr>
              <w:t xml:space="preserve">Repudiation</w:t>
            </w:r>
          </w:p>
        </w:tc>
        <w:tc>
          <w:tcPr>
            <w:tcW w:type="dxa" w:w="2400"/>
            <w:tcMar>
              <w:top w:type="dxa" w:w="80"/>
              <w:left w:type="dxa" w:w="100"/>
              <w:bottom w:type="dxa" w:w="80"/>
              <w:right w:type="dxa" w:w="100"/>
            </w:tcMar>
            <w:vAlign w:val="center"/>
          </w:tcPr>
          <w:p>
            <w:pPr>
              <w:jc w:val="left"/>
            </w:pPr>
            <w:r>
              <w:rPr>
                <w:b w:val="false"/>
                <w:bCs w:val="false"/>
                <w:sz w:val="20"/>
                <w:szCs w:val="20"/>
              </w:rPr>
              <w:t xml:space="preserve">Digital signatures and transaction integrity</w:t>
            </w:r>
          </w:p>
        </w:tc>
        <w:tc>
          <w:tcPr>
            <w:tcW w:type="dxa" w:w="4300"/>
            <w:tcMar>
              <w:top w:type="dxa" w:w="80"/>
              <w:left w:type="dxa" w:w="100"/>
              <w:bottom w:type="dxa" w:w="80"/>
              <w:right w:type="dxa" w:w="100"/>
            </w:tcMar>
            <w:vAlign w:val="center"/>
          </w:tcPr>
          <w:p>
            <w:pPr>
              <w:jc w:val="left"/>
            </w:pPr>
            <w:r>
              <w:rPr>
                <w:b w:val="false"/>
                <w:bCs w:val="false"/>
                <w:sz w:val="20"/>
                <w:szCs w:val="20"/>
              </w:rPr>
              <w:t xml:space="preserve">El protocolo del regulador no exige firma digital de los archivos RCD/EDITRAN; en su lugar, la confirmación de envío exitoso a la CCE se registra vía correo electrónico como evidencia de entrega.</w:t>
            </w:r>
          </w:p>
        </w:tc>
        <w:tc>
          <w:tcPr>
            <w:tcW w:type="dxa" w:w="1400"/>
            <w:tcMar>
              <w:top w:type="dxa" w:w="80"/>
              <w:left w:type="dxa" w:w="100"/>
              <w:bottom w:type="dxa" w:w="80"/>
              <w:right w:type="dxa" w:w="100"/>
            </w:tcMar>
            <w:vAlign w:val="center"/>
          </w:tcPr>
          <w:p>
            <w:pPr>
              <w:jc w:val="left"/>
            </w:pPr>
            <w:r>
              <w:rPr>
                <w:b w:val="false"/>
                <w:bCs w:val="false"/>
                <w:sz w:val="20"/>
                <w:szCs w:val="20"/>
              </w:rPr>
              <w:t xml:space="preserve"/>
            </w:r>
          </w:p>
        </w:tc>
      </w:tr>
      <w:tr>
        <w:tc>
          <w:tcPr>
            <w:tcW w:type="dxa" w:w="1500"/>
            <w:tcMar>
              <w:top w:type="dxa" w:w="80"/>
              <w:left w:type="dxa" w:w="100"/>
              <w:bottom w:type="dxa" w:w="80"/>
              <w:right w:type="dxa" w:w="100"/>
            </w:tcMar>
            <w:vAlign w:val="center"/>
          </w:tcPr>
          <w:p>
            <w:pPr>
              <w:jc w:val="left"/>
            </w:pPr>
            <w:r>
              <w:rPr>
                <w:b w:val="false"/>
                <w:bCs w:val="false"/>
                <w:sz w:val="20"/>
                <w:szCs w:val="20"/>
              </w:rPr>
              <w:t xml:space="preserve">Repudiation</w:t>
            </w:r>
          </w:p>
        </w:tc>
        <w:tc>
          <w:tcPr>
            <w:tcW w:type="dxa" w:w="2400"/>
            <w:tcMar>
              <w:top w:type="dxa" w:w="80"/>
              <w:left w:type="dxa" w:w="100"/>
              <w:bottom w:type="dxa" w:w="80"/>
              <w:right w:type="dxa" w:w="100"/>
            </w:tcMar>
            <w:vAlign w:val="center"/>
          </w:tcPr>
          <w:p>
            <w:pPr>
              <w:jc w:val="left"/>
            </w:pPr>
            <w:r>
              <w:rPr>
                <w:b w:val="false"/>
                <w:bCs w:val="false"/>
                <w:sz w:val="20"/>
                <w:szCs w:val="20"/>
              </w:rPr>
              <w:t xml:space="preserve">Functional, system, and service accounts</w:t>
            </w:r>
          </w:p>
        </w:tc>
        <w:tc>
          <w:tcPr>
            <w:tcW w:type="dxa" w:w="4300"/>
            <w:tcMar>
              <w:top w:type="dxa" w:w="80"/>
              <w:left w:type="dxa" w:w="100"/>
              <w:bottom w:type="dxa" w:w="80"/>
              <w:right w:type="dxa" w:w="100"/>
            </w:tcMar>
            <w:vAlign w:val="center"/>
          </w:tcPr>
          <w:p>
            <w:pPr>
              <w:jc w:val="left"/>
            </w:pPr>
            <w:r>
              <w:rPr>
                <w:b w:val="false"/>
                <w:bCs w:val="false"/>
                <w:sz w:val="20"/>
                <w:szCs w:val="20"/>
              </w:rPr>
              <w:t xml:space="preserve">El componente EDITRAN opera bajo una cuenta de dominio con rol de Administrator en lugar de una cuenta de servicio con alcance limitado a su función.</w:t>
            </w:r>
          </w:p>
        </w:tc>
        <w:tc>
          <w:tcPr>
            <w:tcW w:type="dxa" w:w="1400"/>
            <w:tcMar>
              <w:top w:type="dxa" w:w="80"/>
              <w:left w:type="dxa" w:w="100"/>
              <w:bottom w:type="dxa" w:w="80"/>
              <w:right w:type="dxa" w:w="100"/>
            </w:tcMar>
            <w:vAlign w:val="center"/>
          </w:tcPr>
          <w:p>
            <w:pPr>
              <w:jc w:val="left"/>
            </w:pPr>
            <w:r>
              <w:rPr>
                <w:b/>
                <w:bCs/>
                <w:sz w:val="20"/>
                <w:szCs w:val="20"/>
              </w:rPr>
              <w:t xml:space="preserve">Control Defect #2</w:t>
            </w:r>
          </w:p>
        </w:tc>
      </w:tr>
      <w:tr>
        <w:tc>
          <w:tcPr>
            <w:tcW w:type="dxa" w:w="1500"/>
            <w:tcMar>
              <w:top w:type="dxa" w:w="80"/>
              <w:left w:type="dxa" w:w="100"/>
              <w:bottom w:type="dxa" w:w="80"/>
              <w:right w:type="dxa" w:w="100"/>
            </w:tcMar>
            <w:vAlign w:val="center"/>
          </w:tcPr>
          <w:p>
            <w:pPr>
              <w:jc w:val="left"/>
            </w:pPr>
            <w:r>
              <w:rPr>
                <w:b w:val="false"/>
                <w:bCs w:val="false"/>
                <w:sz w:val="20"/>
                <w:szCs w:val="20"/>
              </w:rPr>
              <w:t xml:space="preserve">Information Disclosure</w:t>
            </w:r>
          </w:p>
        </w:tc>
        <w:tc>
          <w:tcPr>
            <w:tcW w:type="dxa" w:w="2400"/>
            <w:tcMar>
              <w:top w:type="dxa" w:w="80"/>
              <w:left w:type="dxa" w:w="100"/>
              <w:bottom w:type="dxa" w:w="80"/>
              <w:right w:type="dxa" w:w="100"/>
            </w:tcMar>
            <w:vAlign w:val="center"/>
          </w:tcPr>
          <w:p>
            <w:pPr>
              <w:jc w:val="left"/>
            </w:pPr>
            <w:r>
              <w:rPr>
                <w:b w:val="false"/>
                <w:bCs w:val="false"/>
                <w:sz w:val="20"/>
                <w:szCs w:val="20"/>
              </w:rPr>
              <w:t xml:space="preserve">Data exfiltration or bulk download</w:t>
            </w:r>
          </w:p>
        </w:tc>
        <w:tc>
          <w:tcPr>
            <w:tcW w:type="dxa" w:w="4300"/>
            <w:tcMar>
              <w:top w:type="dxa" w:w="80"/>
              <w:left w:type="dxa" w:w="100"/>
              <w:bottom w:type="dxa" w:w="80"/>
              <w:right w:type="dxa" w:w="100"/>
            </w:tcMar>
            <w:vAlign w:val="center"/>
          </w:tcPr>
          <w:p>
            <w:pPr>
              <w:jc w:val="left"/>
            </w:pPr>
            <w:r>
              <w:rPr>
                <w:b w:val="false"/>
                <w:bCs w:val="false"/>
                <w:sz w:val="20"/>
                <w:szCs w:val="20"/>
              </w:rPr>
              <w:t xml:space="preserve">La salida de datos está restringida a la IP y puerto de la CCE por entidad; no se identificaron controles DLP adicionales sobre este canal específico, aunque el volumen de archivos es limitado y programado.</w:t>
            </w:r>
          </w:p>
        </w:tc>
        <w:tc>
          <w:tcPr>
            <w:tcW w:type="dxa" w:w="1400"/>
            <w:tcMar>
              <w:top w:type="dxa" w:w="80"/>
              <w:left w:type="dxa" w:w="100"/>
              <w:bottom w:type="dxa" w:w="80"/>
              <w:right w:type="dxa" w:w="100"/>
            </w:tcMar>
            <w:vAlign w:val="center"/>
          </w:tcPr>
          <w:p>
            <w:pPr>
              <w:jc w:val="left"/>
            </w:pPr>
            <w:r>
              <w:rPr>
                <w:b w:val="false"/>
                <w:bCs w:val="false"/>
                <w:sz w:val="20"/>
                <w:szCs w:val="20"/>
              </w:rPr>
              <w:t xml:space="preserve"/>
            </w:r>
          </w:p>
        </w:tc>
      </w:tr>
      <w:tr>
        <w:tc>
          <w:tcPr>
            <w:tcW w:type="dxa" w:w="1500"/>
            <w:tcMar>
              <w:top w:type="dxa" w:w="80"/>
              <w:left w:type="dxa" w:w="100"/>
              <w:bottom w:type="dxa" w:w="80"/>
              <w:right w:type="dxa" w:w="100"/>
            </w:tcMar>
            <w:vAlign w:val="center"/>
          </w:tcPr>
          <w:p>
            <w:pPr>
              <w:jc w:val="left"/>
            </w:pPr>
            <w:r>
              <w:rPr>
                <w:b w:val="false"/>
                <w:bCs w:val="false"/>
                <w:sz w:val="20"/>
                <w:szCs w:val="20"/>
              </w:rPr>
              <w:t xml:space="preserve">Information Disclosure</w:t>
            </w:r>
          </w:p>
        </w:tc>
        <w:tc>
          <w:tcPr>
            <w:tcW w:type="dxa" w:w="2400"/>
            <w:tcMar>
              <w:top w:type="dxa" w:w="80"/>
              <w:left w:type="dxa" w:w="100"/>
              <w:bottom w:type="dxa" w:w="80"/>
              <w:right w:type="dxa" w:w="100"/>
            </w:tcMar>
            <w:vAlign w:val="center"/>
          </w:tcPr>
          <w:p>
            <w:pPr>
              <w:jc w:val="left"/>
            </w:pPr>
            <w:r>
              <w:rPr>
                <w:b w:val="false"/>
                <w:bCs w:val="false"/>
                <w:sz w:val="20"/>
                <w:szCs w:val="20"/>
              </w:rPr>
              <w:t xml:space="preserve">Data protection at rest</w:t>
            </w:r>
          </w:p>
        </w:tc>
        <w:tc>
          <w:tcPr>
            <w:tcW w:type="dxa" w:w="4300"/>
            <w:tcMar>
              <w:top w:type="dxa" w:w="80"/>
              <w:left w:type="dxa" w:w="100"/>
              <w:bottom w:type="dxa" w:w="80"/>
              <w:right w:type="dxa" w:w="100"/>
            </w:tcMar>
            <w:vAlign w:val="center"/>
          </w:tcPr>
          <w:p>
            <w:pPr>
              <w:jc w:val="left"/>
            </w:pPr>
            <w:r>
              <w:rPr>
                <w:b w:val="false"/>
                <w:bCs w:val="false"/>
                <w:sz w:val="20"/>
                <w:szCs w:val="20"/>
              </w:rPr>
              <w:t xml:space="preserve">Las credenciales se protegen mediante archivos encriptados (CryptoTool); los datos de tracking no contienen información de clientes ni datos sensibles según el TDD.</w:t>
            </w:r>
          </w:p>
        </w:tc>
        <w:tc>
          <w:tcPr>
            <w:tcW w:type="dxa" w:w="1400"/>
            <w:tcMar>
              <w:top w:type="dxa" w:w="80"/>
              <w:left w:type="dxa" w:w="100"/>
              <w:bottom w:type="dxa" w:w="80"/>
              <w:right w:type="dxa" w:w="100"/>
            </w:tcMar>
            <w:vAlign w:val="center"/>
          </w:tcPr>
          <w:p>
            <w:pPr>
              <w:jc w:val="left"/>
            </w:pPr>
            <w:r>
              <w:rPr>
                <w:b w:val="false"/>
                <w:bCs w:val="false"/>
                <w:sz w:val="20"/>
                <w:szCs w:val="20"/>
              </w:rPr>
              <w:t xml:space="preserve"/>
            </w:r>
          </w:p>
        </w:tc>
      </w:tr>
      <w:tr>
        <w:tc>
          <w:tcPr>
            <w:tcW w:type="dxa" w:w="1500"/>
            <w:tcMar>
              <w:top w:type="dxa" w:w="80"/>
              <w:left w:type="dxa" w:w="100"/>
              <w:bottom w:type="dxa" w:w="80"/>
              <w:right w:type="dxa" w:w="100"/>
            </w:tcMar>
            <w:vAlign w:val="center"/>
          </w:tcPr>
          <w:p>
            <w:pPr>
              <w:jc w:val="left"/>
            </w:pPr>
            <w:r>
              <w:rPr>
                <w:b w:val="false"/>
                <w:bCs w:val="false"/>
                <w:sz w:val="20"/>
                <w:szCs w:val="20"/>
              </w:rPr>
              <w:t xml:space="preserve">Information Disclosure</w:t>
            </w:r>
          </w:p>
        </w:tc>
        <w:tc>
          <w:tcPr>
            <w:tcW w:type="dxa" w:w="2400"/>
            <w:tcMar>
              <w:top w:type="dxa" w:w="80"/>
              <w:left w:type="dxa" w:w="100"/>
              <w:bottom w:type="dxa" w:w="80"/>
              <w:right w:type="dxa" w:w="100"/>
            </w:tcMar>
            <w:vAlign w:val="center"/>
          </w:tcPr>
          <w:p>
            <w:pPr>
              <w:jc w:val="left"/>
            </w:pPr>
            <w:r>
              <w:rPr>
                <w:b w:val="false"/>
                <w:bCs w:val="false"/>
                <w:sz w:val="20"/>
                <w:szCs w:val="20"/>
              </w:rPr>
              <w:t xml:space="preserve">Data protection in transit</w:t>
            </w:r>
          </w:p>
        </w:tc>
        <w:tc>
          <w:tcPr>
            <w:tcW w:type="dxa" w:w="4300"/>
            <w:tcMar>
              <w:top w:type="dxa" w:w="80"/>
              <w:left w:type="dxa" w:w="100"/>
              <w:bottom w:type="dxa" w:w="80"/>
              <w:right w:type="dxa" w:w="100"/>
            </w:tcMar>
            <w:vAlign w:val="center"/>
          </w:tcPr>
          <w:p>
            <w:pPr>
              <w:jc w:val="left"/>
            </w:pPr>
            <w:r>
              <w:rPr>
                <w:b w:val="false"/>
                <w:bCs w:val="false"/>
                <w:sz w:val="20"/>
                <w:szCs w:val="20"/>
              </w:rPr>
              <w:t xml:space="preserve">Los componentes web utilizan TLS 1.2 (SHA-256); el intercambio EDITRAN-CCE utiliza cifrado RSA 4096 / 3DES sobre el protocolo Bancared definido por el regulador.</w:t>
            </w:r>
          </w:p>
        </w:tc>
        <w:tc>
          <w:tcPr>
            <w:tcW w:type="dxa" w:w="1400"/>
            <w:tcMar>
              <w:top w:type="dxa" w:w="80"/>
              <w:left w:type="dxa" w:w="100"/>
              <w:bottom w:type="dxa" w:w="80"/>
              <w:right w:type="dxa" w:w="100"/>
            </w:tcMar>
            <w:vAlign w:val="center"/>
          </w:tcPr>
          <w:p>
            <w:pPr>
              <w:jc w:val="left"/>
            </w:pPr>
            <w:r>
              <w:rPr>
                <w:b w:val="false"/>
                <w:bCs w:val="false"/>
                <w:sz w:val="20"/>
                <w:szCs w:val="20"/>
              </w:rPr>
              <w:t xml:space="preserve"/>
            </w:r>
          </w:p>
        </w:tc>
      </w:tr>
      <w:tr>
        <w:tc>
          <w:tcPr>
            <w:tcW w:type="dxa" w:w="1500"/>
            <w:tcMar>
              <w:top w:type="dxa" w:w="80"/>
              <w:left w:type="dxa" w:w="100"/>
              <w:bottom w:type="dxa" w:w="80"/>
              <w:right w:type="dxa" w:w="100"/>
            </w:tcMar>
            <w:vAlign w:val="center"/>
          </w:tcPr>
          <w:p>
            <w:pPr>
              <w:jc w:val="left"/>
            </w:pPr>
            <w:r>
              <w:rPr>
                <w:b w:val="false"/>
                <w:bCs w:val="false"/>
                <w:sz w:val="20"/>
                <w:szCs w:val="20"/>
              </w:rPr>
              <w:t xml:space="preserve">Information Disclosure</w:t>
            </w:r>
          </w:p>
        </w:tc>
        <w:tc>
          <w:tcPr>
            <w:tcW w:type="dxa" w:w="2400"/>
            <w:tcMar>
              <w:top w:type="dxa" w:w="80"/>
              <w:left w:type="dxa" w:w="100"/>
              <w:bottom w:type="dxa" w:w="80"/>
              <w:right w:type="dxa" w:w="100"/>
            </w:tcMar>
            <w:vAlign w:val="center"/>
          </w:tcPr>
          <w:p>
            <w:pPr>
              <w:jc w:val="left"/>
            </w:pPr>
            <w:r>
              <w:rPr>
                <w:b w:val="false"/>
                <w:bCs w:val="false"/>
                <w:sz w:val="20"/>
                <w:szCs w:val="20"/>
              </w:rPr>
              <w:t xml:space="preserve">Data lifecycle and records management</w:t>
            </w:r>
          </w:p>
        </w:tc>
        <w:tc>
          <w:tcPr>
            <w:tcW w:type="dxa" w:w="4300"/>
            <w:tcMar>
              <w:top w:type="dxa" w:w="80"/>
              <w:left w:type="dxa" w:w="100"/>
              <w:bottom w:type="dxa" w:w="80"/>
              <w:right w:type="dxa" w:w="100"/>
            </w:tcMar>
            <w:vAlign w:val="center"/>
          </w:tcPr>
          <w:p>
            <w:pPr>
              <w:jc w:val="left"/>
            </w:pPr>
            <w:r>
              <w:rPr>
                <w:b w:val="false"/>
                <w:bCs w:val="false"/>
                <w:sz w:val="20"/>
                <w:szCs w:val="20"/>
              </w:rPr>
              <w:t xml:space="preserve">La retención y disposición de los datos de tracking siguen las políticas de gestión de registros de la institución; el detalle específico de archivado y purgado no se encuentra formalmente definido en el TDD.</w:t>
            </w:r>
          </w:p>
        </w:tc>
        <w:tc>
          <w:tcPr>
            <w:tcW w:type="dxa" w:w="1400"/>
            <w:tcMar>
              <w:top w:type="dxa" w:w="80"/>
              <w:left w:type="dxa" w:w="100"/>
              <w:bottom w:type="dxa" w:w="80"/>
              <w:right w:type="dxa" w:w="100"/>
            </w:tcMar>
            <w:vAlign w:val="center"/>
          </w:tcPr>
          <w:p>
            <w:pPr>
              <w:jc w:val="left"/>
            </w:pPr>
            <w:r>
              <w:rPr>
                <w:b w:val="false"/>
                <w:bCs w:val="false"/>
                <w:sz w:val="20"/>
                <w:szCs w:val="20"/>
              </w:rPr>
              <w:t xml:space="preserve"/>
            </w:r>
          </w:p>
        </w:tc>
      </w:tr>
      <w:tr>
        <w:tc>
          <w:tcPr>
            <w:tcW w:type="dxa" w:w="1500"/>
            <w:tcMar>
              <w:top w:type="dxa" w:w="80"/>
              <w:left w:type="dxa" w:w="100"/>
              <w:bottom w:type="dxa" w:w="80"/>
              <w:right w:type="dxa" w:w="100"/>
            </w:tcMar>
            <w:vAlign w:val="center"/>
          </w:tcPr>
          <w:p>
            <w:pPr>
              <w:jc w:val="left"/>
            </w:pPr>
            <w:r>
              <w:rPr>
                <w:b w:val="false"/>
                <w:bCs w:val="false"/>
                <w:sz w:val="20"/>
                <w:szCs w:val="20"/>
              </w:rPr>
              <w:t xml:space="preserve">Denial of Service</w:t>
            </w:r>
          </w:p>
        </w:tc>
        <w:tc>
          <w:tcPr>
            <w:tcW w:type="dxa" w:w="2400"/>
            <w:tcMar>
              <w:top w:type="dxa" w:w="80"/>
              <w:left w:type="dxa" w:w="100"/>
              <w:bottom w:type="dxa" w:w="80"/>
              <w:right w:type="dxa" w:w="100"/>
            </w:tcMar>
            <w:vAlign w:val="center"/>
          </w:tcPr>
          <w:p>
            <w:pPr>
              <w:jc w:val="left"/>
            </w:pPr>
            <w:r>
              <w:rPr>
                <w:b w:val="false"/>
                <w:bCs w:val="false"/>
                <w:sz w:val="20"/>
                <w:szCs w:val="20"/>
              </w:rPr>
              <w:t xml:space="preserve">Availability attacks (infra, app, API)</w:t>
            </w:r>
          </w:p>
        </w:tc>
        <w:tc>
          <w:tcPr>
            <w:tcW w:type="dxa" w:w="4300"/>
            <w:tcMar>
              <w:top w:type="dxa" w:w="80"/>
              <w:left w:type="dxa" w:w="100"/>
              <w:bottom w:type="dxa" w:w="80"/>
              <w:right w:type="dxa" w:w="100"/>
            </w:tcMar>
            <w:vAlign w:val="center"/>
          </w:tcPr>
          <w:p>
            <w:pPr>
              <w:jc w:val="left"/>
            </w:pPr>
            <w:r>
              <w:rPr>
                <w:b w:val="false"/>
                <w:bCs w:val="false"/>
                <w:sz w:val="20"/>
                <w:szCs w:val="20"/>
              </w:rPr>
              <w:t xml:space="preserve">El componente EDITRAN no expone endpoints públicos; solo inicia conexiones salientes hacia la CCE, reduciendo la superficie para ataques de disponibilidad externos.</w:t>
            </w:r>
          </w:p>
        </w:tc>
        <w:tc>
          <w:tcPr>
            <w:tcW w:type="dxa" w:w="1400"/>
            <w:tcMar>
              <w:top w:type="dxa" w:w="80"/>
              <w:left w:type="dxa" w:w="100"/>
              <w:bottom w:type="dxa" w:w="80"/>
              <w:right w:type="dxa" w:w="100"/>
            </w:tcMar>
            <w:vAlign w:val="center"/>
          </w:tcPr>
          <w:p>
            <w:pPr>
              <w:jc w:val="left"/>
            </w:pPr>
            <w:r>
              <w:rPr>
                <w:b w:val="false"/>
                <w:bCs w:val="false"/>
                <w:sz w:val="20"/>
                <w:szCs w:val="20"/>
              </w:rPr>
              <w:t xml:space="preserve"/>
            </w:r>
          </w:p>
        </w:tc>
      </w:tr>
      <w:tr>
        <w:tc>
          <w:tcPr>
            <w:tcW w:type="dxa" w:w="1500"/>
            <w:tcMar>
              <w:top w:type="dxa" w:w="80"/>
              <w:left w:type="dxa" w:w="100"/>
              <w:bottom w:type="dxa" w:w="80"/>
              <w:right w:type="dxa" w:w="100"/>
            </w:tcMar>
            <w:vAlign w:val="center"/>
          </w:tcPr>
          <w:p>
            <w:pPr>
              <w:jc w:val="left"/>
            </w:pPr>
            <w:r>
              <w:rPr>
                <w:b w:val="false"/>
                <w:bCs w:val="false"/>
                <w:sz w:val="20"/>
                <w:szCs w:val="20"/>
              </w:rPr>
              <w:t xml:space="preserve">Denial of Service</w:t>
            </w:r>
          </w:p>
        </w:tc>
        <w:tc>
          <w:tcPr>
            <w:tcW w:type="dxa" w:w="2400"/>
            <w:tcMar>
              <w:top w:type="dxa" w:w="80"/>
              <w:left w:type="dxa" w:w="100"/>
              <w:bottom w:type="dxa" w:w="80"/>
              <w:right w:type="dxa" w:w="100"/>
            </w:tcMar>
            <w:vAlign w:val="center"/>
          </w:tcPr>
          <w:p>
            <w:pPr>
              <w:jc w:val="left"/>
            </w:pPr>
            <w:r>
              <w:rPr>
                <w:b w:val="false"/>
                <w:bCs w:val="false"/>
                <w:sz w:val="20"/>
                <w:szCs w:val="20"/>
              </w:rPr>
              <w:t xml:space="preserve">Resilience, scaling, and failover</w:t>
            </w:r>
          </w:p>
        </w:tc>
        <w:tc>
          <w:tcPr>
            <w:tcW w:type="dxa" w:w="4300"/>
            <w:tcMar>
              <w:top w:type="dxa" w:w="80"/>
              <w:left w:type="dxa" w:w="100"/>
              <w:bottom w:type="dxa" w:w="80"/>
              <w:right w:type="dxa" w:w="100"/>
            </w:tcMar>
            <w:vAlign w:val="center"/>
          </w:tcPr>
          <w:p>
            <w:pPr>
              <w:jc w:val="left"/>
            </w:pPr>
            <w:r>
              <w:rPr>
                <w:b w:val="false"/>
                <w:bCs w:val="false"/>
                <w:sz w:val="20"/>
                <w:szCs w:val="20"/>
              </w:rPr>
              <w:t xml:space="preserve">La solución cuenta con infraestructura de DR capaz de atender el 100% de las operaciones a nivel de sistema operativo; sin embargo, la activación (failover de base de datos y servicios de aplicación) es manual.</w:t>
            </w:r>
          </w:p>
        </w:tc>
        <w:tc>
          <w:tcPr>
            <w:tcW w:type="dxa" w:w="1400"/>
            <w:tcMar>
              <w:top w:type="dxa" w:w="80"/>
              <w:left w:type="dxa" w:w="100"/>
              <w:bottom w:type="dxa" w:w="80"/>
              <w:right w:type="dxa" w:w="100"/>
            </w:tcMar>
            <w:vAlign w:val="center"/>
          </w:tcPr>
          <w:p>
            <w:pPr>
              <w:jc w:val="left"/>
            </w:pPr>
            <w:r>
              <w:rPr>
                <w:b/>
                <w:bCs/>
                <w:sz w:val="20"/>
                <w:szCs w:val="20"/>
              </w:rPr>
              <w:t xml:space="preserve">Control Defect #3</w:t>
            </w:r>
          </w:p>
        </w:tc>
      </w:tr>
      <w:tr>
        <w:tc>
          <w:tcPr>
            <w:tcW w:type="dxa" w:w="1500"/>
            <w:tcMar>
              <w:top w:type="dxa" w:w="80"/>
              <w:left w:type="dxa" w:w="100"/>
              <w:bottom w:type="dxa" w:w="80"/>
              <w:right w:type="dxa" w:w="100"/>
            </w:tcMar>
            <w:vAlign w:val="center"/>
          </w:tcPr>
          <w:p>
            <w:pPr>
              <w:jc w:val="left"/>
            </w:pPr>
            <w:r>
              <w:rPr>
                <w:b w:val="false"/>
                <w:bCs w:val="false"/>
                <w:sz w:val="20"/>
                <w:szCs w:val="20"/>
              </w:rPr>
              <w:t xml:space="preserve">Elevation of Privilege</w:t>
            </w:r>
          </w:p>
        </w:tc>
        <w:tc>
          <w:tcPr>
            <w:tcW w:type="dxa" w:w="2400"/>
            <w:tcMar>
              <w:top w:type="dxa" w:w="80"/>
              <w:left w:type="dxa" w:w="100"/>
              <w:bottom w:type="dxa" w:w="80"/>
              <w:right w:type="dxa" w:w="100"/>
            </w:tcMar>
            <w:vAlign w:val="center"/>
          </w:tcPr>
          <w:p>
            <w:pPr>
              <w:jc w:val="left"/>
            </w:pPr>
            <w:r>
              <w:rPr>
                <w:b w:val="false"/>
                <w:bCs w:val="false"/>
                <w:sz w:val="20"/>
                <w:szCs w:val="20"/>
              </w:rPr>
              <w:t xml:space="preserve">Least privilege enforcement</w:t>
            </w:r>
          </w:p>
        </w:tc>
        <w:tc>
          <w:tcPr>
            <w:tcW w:type="dxa" w:w="4300"/>
            <w:tcMar>
              <w:top w:type="dxa" w:w="80"/>
              <w:left w:type="dxa" w:w="100"/>
              <w:bottom w:type="dxa" w:w="80"/>
              <w:right w:type="dxa" w:w="100"/>
            </w:tcMar>
            <w:vAlign w:val="center"/>
          </w:tcPr>
          <w:p>
            <w:pPr>
              <w:jc w:val="left"/>
            </w:pPr>
            <w:r>
              <w:rPr>
                <w:b w:val="false"/>
                <w:bCs w:val="false"/>
                <w:sz w:val="20"/>
                <w:szCs w:val="20"/>
              </w:rPr>
              <w:t xml:space="preserve">Los operadores de la aplicación web operan bajo roles acotados (Read/Write según función). El componente EDITRAN, en cambio, opera con privilegios de Administrator sobre el servidor.</w:t>
            </w:r>
          </w:p>
        </w:tc>
        <w:tc>
          <w:tcPr>
            <w:tcW w:type="dxa" w:w="1400"/>
            <w:tcMar>
              <w:top w:type="dxa" w:w="80"/>
              <w:left w:type="dxa" w:w="100"/>
              <w:bottom w:type="dxa" w:w="80"/>
              <w:right w:type="dxa" w:w="100"/>
            </w:tcMar>
            <w:vAlign w:val="center"/>
          </w:tcPr>
          <w:p>
            <w:pPr>
              <w:jc w:val="left"/>
            </w:pPr>
            <w:r>
              <w:rPr>
                <w:b/>
                <w:bCs/>
                <w:sz w:val="20"/>
                <w:szCs w:val="20"/>
              </w:rPr>
              <w:t xml:space="preserve">Control Defect #2</w:t>
            </w:r>
          </w:p>
        </w:tc>
      </w:tr>
      <w:tr>
        <w:tc>
          <w:tcPr>
            <w:tcW w:type="dxa" w:w="1500"/>
            <w:tcMar>
              <w:top w:type="dxa" w:w="80"/>
              <w:left w:type="dxa" w:w="100"/>
              <w:bottom w:type="dxa" w:w="80"/>
              <w:right w:type="dxa" w:w="100"/>
            </w:tcMar>
            <w:vAlign w:val="center"/>
          </w:tcPr>
          <w:p>
            <w:pPr>
              <w:jc w:val="left"/>
            </w:pPr>
            <w:r>
              <w:rPr>
                <w:b w:val="false"/>
                <w:bCs w:val="false"/>
                <w:sz w:val="20"/>
                <w:szCs w:val="20"/>
              </w:rPr>
              <w:t xml:space="preserve">Elevation of Privilege</w:t>
            </w:r>
          </w:p>
        </w:tc>
        <w:tc>
          <w:tcPr>
            <w:tcW w:type="dxa" w:w="2400"/>
            <w:tcMar>
              <w:top w:type="dxa" w:w="80"/>
              <w:left w:type="dxa" w:w="100"/>
              <w:bottom w:type="dxa" w:w="80"/>
              <w:right w:type="dxa" w:w="100"/>
            </w:tcMar>
            <w:vAlign w:val="center"/>
          </w:tcPr>
          <w:p>
            <w:pPr>
              <w:jc w:val="left"/>
            </w:pPr>
            <w:r>
              <w:rPr>
                <w:b w:val="false"/>
                <w:bCs w:val="false"/>
                <w:sz w:val="20"/>
                <w:szCs w:val="20"/>
              </w:rPr>
              <w:t xml:space="preserve">Role design and entitlement management</w:t>
            </w:r>
          </w:p>
        </w:tc>
        <w:tc>
          <w:tcPr>
            <w:tcW w:type="dxa" w:w="4300"/>
            <w:tcMar>
              <w:top w:type="dxa" w:w="80"/>
              <w:left w:type="dxa" w:w="100"/>
              <w:bottom w:type="dxa" w:w="80"/>
              <w:right w:type="dxa" w:w="100"/>
            </w:tcMar>
            <w:vAlign w:val="center"/>
          </w:tcPr>
          <w:p>
            <w:pPr>
              <w:jc w:val="left"/>
            </w:pPr>
            <w:r>
              <w:rPr>
                <w:b w:val="false"/>
                <w:bCs w:val="false"/>
                <w:sz w:val="20"/>
                <w:szCs w:val="20"/>
              </w:rPr>
              <w:t xml:space="preserve">Existen tres roles definidos para la aplicación web (ControlAccesos, Operadores, AdmReportes); no se identificó un rol de servicio acotado equivalente para el proceso EDITRAN.</w:t>
            </w:r>
          </w:p>
        </w:tc>
        <w:tc>
          <w:tcPr>
            <w:tcW w:type="dxa" w:w="1400"/>
            <w:tcMar>
              <w:top w:type="dxa" w:w="80"/>
              <w:left w:type="dxa" w:w="100"/>
              <w:bottom w:type="dxa" w:w="80"/>
              <w:right w:type="dxa" w:w="100"/>
            </w:tcMar>
            <w:vAlign w:val="center"/>
          </w:tcPr>
          <w:p>
            <w:pPr>
              <w:jc w:val="left"/>
            </w:pPr>
            <w:r>
              <w:rPr>
                <w:b/>
                <w:bCs/>
                <w:sz w:val="20"/>
                <w:szCs w:val="20"/>
              </w:rPr>
              <w:t xml:space="preserve">Control Defect #2</w:t>
            </w:r>
          </w:p>
        </w:tc>
      </w:tr>
      <w:tr>
        <w:tc>
          <w:tcPr>
            <w:tcW w:type="dxa" w:w="1500"/>
            <w:tcMar>
              <w:top w:type="dxa" w:w="80"/>
              <w:left w:type="dxa" w:w="100"/>
              <w:bottom w:type="dxa" w:w="80"/>
              <w:right w:type="dxa" w:w="100"/>
            </w:tcMar>
            <w:vAlign w:val="center"/>
          </w:tcPr>
          <w:p>
            <w:pPr>
              <w:jc w:val="left"/>
            </w:pPr>
            <w:r>
              <w:rPr>
                <w:b w:val="false"/>
                <w:bCs w:val="false"/>
                <w:sz w:val="20"/>
                <w:szCs w:val="20"/>
              </w:rPr>
              <w:t xml:space="preserve">Elevation of Privilege</w:t>
            </w:r>
          </w:p>
        </w:tc>
        <w:tc>
          <w:tcPr>
            <w:tcW w:type="dxa" w:w="2400"/>
            <w:tcMar>
              <w:top w:type="dxa" w:w="80"/>
              <w:left w:type="dxa" w:w="100"/>
              <w:bottom w:type="dxa" w:w="80"/>
              <w:right w:type="dxa" w:w="100"/>
            </w:tcMar>
            <w:vAlign w:val="center"/>
          </w:tcPr>
          <w:p>
            <w:pPr>
              <w:jc w:val="left"/>
            </w:pPr>
            <w:r>
              <w:rPr>
                <w:b w:val="false"/>
                <w:bCs w:val="false"/>
                <w:sz w:val="20"/>
                <w:szCs w:val="20"/>
              </w:rPr>
              <w:t xml:space="preserve">Lateral movement</w:t>
            </w:r>
          </w:p>
        </w:tc>
        <w:tc>
          <w:tcPr>
            <w:tcW w:type="dxa" w:w="4300"/>
            <w:tcMar>
              <w:top w:type="dxa" w:w="80"/>
              <w:left w:type="dxa" w:w="100"/>
              <w:bottom w:type="dxa" w:w="80"/>
              <w:right w:type="dxa" w:w="100"/>
            </w:tcMar>
            <w:vAlign w:val="center"/>
          </w:tcPr>
          <w:p>
            <w:pPr>
              <w:jc w:val="left"/>
            </w:pPr>
            <w:r>
              <w:rPr>
                <w:b w:val="false"/>
                <w:bCs w:val="false"/>
                <w:sz w:val="20"/>
                <w:szCs w:val="20"/>
              </w:rPr>
              <w:t xml:space="preserve">El servidor EDITRAN es dedicado por entidad (CSF/SBP) y no comparte infraestructura con otros sistemas críticos, limitando el impacto de un eventual movimiento lateral desde ese componente.</w:t>
            </w:r>
          </w:p>
        </w:tc>
        <w:tc>
          <w:tcPr>
            <w:tcW w:type="dxa" w:w="1400"/>
            <w:tcMar>
              <w:top w:type="dxa" w:w="80"/>
              <w:left w:type="dxa" w:w="100"/>
              <w:bottom w:type="dxa" w:w="80"/>
              <w:right w:type="dxa" w:w="100"/>
            </w:tcMar>
            <w:vAlign w:val="center"/>
          </w:tcPr>
          <w:p>
            <w:pPr>
              <w:jc w:val="left"/>
            </w:pPr>
            <w:r>
              <w:rPr>
                <w:b w:val="false"/>
                <w:bCs w:val="false"/>
                <w:sz w:val="20"/>
                <w:szCs w:val="20"/>
              </w:rPr>
              <w:t xml:space="preserve"/>
            </w:r>
          </w:p>
        </w:tc>
      </w:tr>
      <w:tr>
        <w:tc>
          <w:tcPr>
            <w:tcW w:type="dxa" w:w="1500"/>
            <w:tcMar>
              <w:top w:type="dxa" w:w="80"/>
              <w:left w:type="dxa" w:w="100"/>
              <w:bottom w:type="dxa" w:w="80"/>
              <w:right w:type="dxa" w:w="100"/>
            </w:tcMar>
            <w:vAlign w:val="center"/>
          </w:tcPr>
          <w:p>
            <w:pPr>
              <w:jc w:val="left"/>
            </w:pPr>
            <w:r>
              <w:rPr>
                <w:b w:val="false"/>
                <w:bCs w:val="false"/>
                <w:sz w:val="20"/>
                <w:szCs w:val="20"/>
              </w:rPr>
              <w:t xml:space="preserve">General</w:t>
            </w:r>
          </w:p>
        </w:tc>
        <w:tc>
          <w:tcPr>
            <w:tcW w:type="dxa" w:w="2400"/>
            <w:tcMar>
              <w:top w:type="dxa" w:w="80"/>
              <w:left w:type="dxa" w:w="100"/>
              <w:bottom w:type="dxa" w:w="80"/>
              <w:right w:type="dxa" w:w="100"/>
            </w:tcMar>
            <w:vAlign w:val="center"/>
          </w:tcPr>
          <w:p>
            <w:pPr>
              <w:jc w:val="left"/>
            </w:pPr>
            <w:r>
              <w:rPr>
                <w:b w:val="false"/>
                <w:bCs w:val="false"/>
                <w:sz w:val="20"/>
                <w:szCs w:val="20"/>
              </w:rPr>
              <w:t xml:space="preserve">Security monitoring and detection</w:t>
            </w:r>
          </w:p>
        </w:tc>
        <w:tc>
          <w:tcPr>
            <w:tcW w:type="dxa" w:w="4300"/>
            <w:tcMar>
              <w:top w:type="dxa" w:w="80"/>
              <w:left w:type="dxa" w:w="100"/>
              <w:bottom w:type="dxa" w:w="80"/>
              <w:right w:type="dxa" w:w="100"/>
            </w:tcMar>
            <w:vAlign w:val="center"/>
          </w:tcPr>
          <w:p>
            <w:pPr>
              <w:jc w:val="left"/>
            </w:pPr>
            <w:r>
              <w:rPr>
                <w:b w:val="false"/>
                <w:bCs w:val="false"/>
                <w:sz w:val="20"/>
                <w:szCs w:val="20"/>
              </w:rPr>
              <w:t xml:space="preserve">Se identificó cobertura inconsistente de Antivirus/Tanium entre servidores EDITRAN (algunos indicados como "NA"); se recomienda validar con el equipo de infraestructura si corresponde a un diseño intencional o a un gap de cobertura.</w:t>
            </w:r>
          </w:p>
        </w:tc>
        <w:tc>
          <w:tcPr>
            <w:tcW w:type="dxa" w:w="1400"/>
            <w:tcMar>
              <w:top w:type="dxa" w:w="80"/>
              <w:left w:type="dxa" w:w="100"/>
              <w:bottom w:type="dxa" w:w="80"/>
              <w:right w:type="dxa" w:w="100"/>
            </w:tcMar>
            <w:vAlign w:val="center"/>
          </w:tcPr>
          <w:p>
            <w:pPr>
              <w:jc w:val="left"/>
            </w:pPr>
            <w:r>
              <w:rPr>
                <w:b w:val="false"/>
                <w:bCs w:val="false"/>
                <w:sz w:val="20"/>
                <w:szCs w:val="20"/>
              </w:rPr>
              <w:t xml:space="preserve"/>
            </w:r>
          </w:p>
        </w:tc>
      </w:tr>
      <w:tr>
        <w:tc>
          <w:tcPr>
            <w:tcW w:type="dxa" w:w="1500"/>
            <w:tcMar>
              <w:top w:type="dxa" w:w="80"/>
              <w:left w:type="dxa" w:w="100"/>
              <w:bottom w:type="dxa" w:w="80"/>
              <w:right w:type="dxa" w:w="100"/>
            </w:tcMar>
            <w:vAlign w:val="center"/>
          </w:tcPr>
          <w:p>
            <w:pPr>
              <w:jc w:val="left"/>
            </w:pPr>
            <w:r>
              <w:rPr>
                <w:b w:val="false"/>
                <w:bCs w:val="false"/>
                <w:sz w:val="20"/>
                <w:szCs w:val="20"/>
              </w:rPr>
              <w:t xml:space="preserve">General</w:t>
            </w:r>
          </w:p>
        </w:tc>
        <w:tc>
          <w:tcPr>
            <w:tcW w:type="dxa" w:w="2400"/>
            <w:tcMar>
              <w:top w:type="dxa" w:w="80"/>
              <w:left w:type="dxa" w:w="100"/>
              <w:bottom w:type="dxa" w:w="80"/>
              <w:right w:type="dxa" w:w="100"/>
            </w:tcMar>
            <w:vAlign w:val="center"/>
          </w:tcPr>
          <w:p>
            <w:pPr>
              <w:jc w:val="left"/>
            </w:pPr>
            <w:r>
              <w:rPr>
                <w:b w:val="false"/>
                <w:bCs w:val="false"/>
                <w:sz w:val="20"/>
                <w:szCs w:val="20"/>
              </w:rPr>
              <w:t xml:space="preserve">Data loss prevention</w:t>
            </w:r>
          </w:p>
        </w:tc>
        <w:tc>
          <w:tcPr>
            <w:tcW w:type="dxa" w:w="4300"/>
            <w:tcMar>
              <w:top w:type="dxa" w:w="80"/>
              <w:left w:type="dxa" w:w="100"/>
              <w:bottom w:type="dxa" w:w="80"/>
              <w:right w:type="dxa" w:w="100"/>
            </w:tcMar>
            <w:vAlign w:val="center"/>
          </w:tcPr>
          <w:p>
            <w:pPr>
              <w:jc w:val="left"/>
            </w:pPr>
            <w:r>
              <w:rPr>
                <w:b w:val="false"/>
                <w:bCs w:val="false"/>
                <w:sz w:val="20"/>
                <w:szCs w:val="20"/>
              </w:rPr>
              <w:t xml:space="preserve">No se identificaron controles DLP específicos sobre el canal de transmisión SFTP/EDITRAN hacia la CCE más allá de la restricción de IP/puerto de destino.</w:t>
            </w:r>
          </w:p>
        </w:tc>
        <w:tc>
          <w:tcPr>
            <w:tcW w:type="dxa" w:w="1400"/>
            <w:tcMar>
              <w:top w:type="dxa" w:w="80"/>
              <w:left w:type="dxa" w:w="100"/>
              <w:bottom w:type="dxa" w:w="80"/>
              <w:right w:type="dxa" w:w="100"/>
            </w:tcMar>
            <w:vAlign w:val="center"/>
          </w:tcPr>
          <w:p>
            <w:pPr>
              <w:jc w:val="left"/>
            </w:pPr>
            <w:r>
              <w:rPr>
                <w:b w:val="false"/>
                <w:bCs w:val="false"/>
                <w:sz w:val="20"/>
                <w:szCs w:val="20"/>
              </w:rPr>
              <w:t xml:space="preserve"/>
            </w:r>
          </w:p>
        </w:tc>
      </w:tr>
      <w:tr>
        <w:tc>
          <w:tcPr>
            <w:tcW w:type="dxa" w:w="1500"/>
            <w:tcMar>
              <w:top w:type="dxa" w:w="80"/>
              <w:left w:type="dxa" w:w="100"/>
              <w:bottom w:type="dxa" w:w="80"/>
              <w:right w:type="dxa" w:w="100"/>
            </w:tcMar>
            <w:vAlign w:val="center"/>
          </w:tcPr>
          <w:p>
            <w:pPr>
              <w:jc w:val="left"/>
            </w:pPr>
            <w:r>
              <w:rPr>
                <w:b w:val="false"/>
                <w:bCs w:val="false"/>
                <w:sz w:val="20"/>
                <w:szCs w:val="20"/>
              </w:rPr>
              <w:t xml:space="preserve">General</w:t>
            </w:r>
          </w:p>
        </w:tc>
        <w:tc>
          <w:tcPr>
            <w:tcW w:type="dxa" w:w="2400"/>
            <w:tcMar>
              <w:top w:type="dxa" w:w="80"/>
              <w:left w:type="dxa" w:w="100"/>
              <w:bottom w:type="dxa" w:w="80"/>
              <w:right w:type="dxa" w:w="100"/>
            </w:tcMar>
            <w:vAlign w:val="center"/>
          </w:tcPr>
          <w:p>
            <w:pPr>
              <w:jc w:val="left"/>
            </w:pPr>
            <w:r>
              <w:rPr>
                <w:b w:val="false"/>
                <w:bCs w:val="false"/>
                <w:sz w:val="20"/>
                <w:szCs w:val="20"/>
              </w:rPr>
              <w:t xml:space="preserve">System and workload hardening</w:t>
            </w:r>
          </w:p>
        </w:tc>
        <w:tc>
          <w:tcPr>
            <w:tcW w:type="dxa" w:w="4300"/>
            <w:tcMar>
              <w:top w:type="dxa" w:w="80"/>
              <w:left w:type="dxa" w:w="100"/>
              <w:bottom w:type="dxa" w:w="80"/>
              <w:right w:type="dxa" w:w="100"/>
            </w:tcMar>
            <w:vAlign w:val="center"/>
          </w:tcPr>
          <w:p>
            <w:pPr>
              <w:jc w:val="left"/>
            </w:pPr>
            <w:r>
              <w:rPr>
                <w:b w:val="false"/>
                <w:bCs w:val="false"/>
                <w:sz w:val="20"/>
                <w:szCs w:val="20"/>
              </w:rPr>
              <w:t xml:space="preserve">El hardening de los servidores se realiza mediante Tenable; los componentes Web/API pasan por revisiones SAST/DAST, mientras que EDITRAN, al ser un ejecutable de proveedor, no pasa por este proceso.</w:t>
            </w:r>
          </w:p>
        </w:tc>
        <w:tc>
          <w:tcPr>
            <w:tcW w:type="dxa" w:w="1400"/>
            <w:tcMar>
              <w:top w:type="dxa" w:w="80"/>
              <w:left w:type="dxa" w:w="100"/>
              <w:bottom w:type="dxa" w:w="80"/>
              <w:right w:type="dxa" w:w="100"/>
            </w:tcMar>
            <w:vAlign w:val="center"/>
          </w:tcPr>
          <w:p>
            <w:pPr>
              <w:jc w:val="left"/>
            </w:pPr>
            <w:r>
              <w:rPr>
                <w:b/>
                <w:bCs/>
                <w:sz w:val="20"/>
                <w:szCs w:val="20"/>
              </w:rPr>
              <w:t xml:space="preserve">Control Defect #1</w:t>
            </w:r>
          </w:p>
        </w:tc>
      </w:tr>
      <w:tr>
        <w:tc>
          <w:tcPr>
            <w:tcW w:type="dxa" w:w="1500"/>
            <w:tcMar>
              <w:top w:type="dxa" w:w="80"/>
              <w:left w:type="dxa" w:w="100"/>
              <w:bottom w:type="dxa" w:w="80"/>
              <w:right w:type="dxa" w:w="100"/>
            </w:tcMar>
            <w:vAlign w:val="center"/>
          </w:tcPr>
          <w:p>
            <w:pPr>
              <w:jc w:val="left"/>
            </w:pPr>
            <w:r>
              <w:rPr>
                <w:b w:val="false"/>
                <w:bCs w:val="false"/>
                <w:sz w:val="20"/>
                <w:szCs w:val="20"/>
              </w:rPr>
              <w:t xml:space="preserve">General</w:t>
            </w:r>
          </w:p>
        </w:tc>
        <w:tc>
          <w:tcPr>
            <w:tcW w:type="dxa" w:w="2400"/>
            <w:tcMar>
              <w:top w:type="dxa" w:w="80"/>
              <w:left w:type="dxa" w:w="100"/>
              <w:bottom w:type="dxa" w:w="80"/>
              <w:right w:type="dxa" w:w="100"/>
            </w:tcMar>
            <w:vAlign w:val="center"/>
          </w:tcPr>
          <w:p>
            <w:pPr>
              <w:jc w:val="left"/>
            </w:pPr>
            <w:r>
              <w:rPr>
                <w:b w:val="false"/>
                <w:bCs w:val="false"/>
                <w:sz w:val="20"/>
                <w:szCs w:val="20"/>
              </w:rPr>
              <w:t xml:space="preserve">Other</w:t>
            </w:r>
          </w:p>
        </w:tc>
        <w:tc>
          <w:tcPr>
            <w:tcW w:type="dxa" w:w="4300"/>
            <w:tcMar>
              <w:top w:type="dxa" w:w="80"/>
              <w:left w:type="dxa" w:w="100"/>
              <w:bottom w:type="dxa" w:w="80"/>
              <w:right w:type="dxa" w:w="100"/>
            </w:tcMar>
            <w:vAlign w:val="center"/>
          </w:tcPr>
          <w:p>
            <w:pPr>
              <w:jc w:val="left"/>
            </w:pPr>
            <w:r>
              <w:rPr>
                <w:b w:val="false"/>
                <w:bCs w:val="false"/>
                <w:sz w:val="20"/>
                <w:szCs w:val="20"/>
              </w:rPr>
              <w:t xml:space="preserve">No se identificaron otros vectores de amenaza adicionales aplicables al alcance actual de este assessment.</w:t>
            </w:r>
          </w:p>
        </w:tc>
        <w:tc>
          <w:tcPr>
            <w:tcW w:type="dxa" w:w="1400"/>
            <w:tcMar>
              <w:top w:type="dxa" w:w="80"/>
              <w:left w:type="dxa" w:w="100"/>
              <w:bottom w:type="dxa" w:w="80"/>
              <w:right w:type="dxa" w:w="100"/>
            </w:tcMar>
            <w:vAlign w:val="center"/>
          </w:tcPr>
          <w:p>
            <w:pPr>
              <w:jc w:val="left"/>
            </w:pPr>
            <w:r>
              <w:rPr>
                <w:b w:val="false"/>
                <w:bCs w:val="false"/>
                <w:sz w:val="20"/>
                <w:szCs w:val="20"/>
              </w:rPr>
              <w:t xml:space="preserve"/>
            </w:r>
          </w:p>
        </w:tc>
      </w:tr>
    </w:tbl>
    <w:p>
      <w:pPr>
        <w:pageBreakBefore/>
      </w:pPr>
    </w:p>
    <w:p>
      <w:pPr>
        <w:pStyle w:val="Heading1"/>
        <w:spacing w:after="150" w:before="300"/>
      </w:pPr>
      <w:r>
        <w:t xml:space="preserve">Annex A</w:t>
      </w:r>
    </w:p>
    <w:p>
      <w:pPr>
        <w:spacing w:after="150"/>
      </w:pPr>
      <w:r>
        <w:rPr>
          <w:b w:val="false"/>
          <w:bCs w:val="false"/>
          <w:i w:val="false"/>
          <w:iCs w:val="false"/>
          <w:sz w:val="22"/>
          <w:szCs w:val="22"/>
        </w:rPr>
        <w:t xml:space="preserve">Diagrama de arquitectura conceptual (Current / Interim / Target) de la migración de EDITRAN.</w:t>
      </w:r>
    </w:p>
    <w:p>
      <w:pPr>
        <w:spacing w:after="150"/>
      </w:pPr>
      <w:r>
        <w:rPr>
          <w:b w:val="false"/>
          <w:bCs w:val="false"/>
          <w:i/>
          <w:iCs/>
          <w:sz w:val="22"/>
          <w:szCs w:val="22"/>
        </w:rPr>
        <w:t xml:space="preserve">[INSERTAR AQUÍ: Diagrama "Conceptual Architecture Current" — muestra AS400, Control-M, Workstation con EDITRAN app, conexión TCP/IP vía Bancared hacia CCE]</w:t>
      </w:r>
    </w:p>
    <w:p>
      <w:pPr>
        <w:spacing w:after="150"/>
      </w:pPr>
      <w:r>
        <w:rPr>
          <w:b w:val="false"/>
          <w:bCs w:val="false"/>
          <w:i/>
          <w:iCs/>
          <w:sz w:val="22"/>
          <w:szCs w:val="22"/>
        </w:rPr>
        <w:t xml:space="preserve">[INSERTAR AQUÍ: Diagrama "Conceptual Architecture Interim/Target" — muestra servidores Windows Server 2019 (CSF/SBP) con Servicios Windows, Intranet FE/BE, SFTP, Control-M, y conexión hacia CCE vía Bancared]</w:t>
      </w:r>
    </w:p>
    <w:p>
      <w:pPr>
        <w:pageBreakBefore/>
      </w:pPr>
    </w:p>
    <w:p>
      <w:pPr>
        <w:pStyle w:val="Heading1"/>
        <w:spacing w:after="150" w:before="300"/>
      </w:pPr>
      <w:r>
        <w:t xml:space="preserve">Annex B</w:t>
      </w:r>
    </w:p>
    <w:p>
      <w:pPr>
        <w:spacing w:after="150"/>
      </w:pPr>
      <w:r>
        <w:rPr>
          <w:b w:val="false"/>
          <w:bCs w:val="false"/>
          <w:i w:val="false"/>
          <w:iCs w:val="false"/>
          <w:sz w:val="22"/>
          <w:szCs w:val="22"/>
        </w:rPr>
        <w:t xml:space="preserve">Evidencia de autorización y modelo de autorización entre entidades (Authorization Model, sección 14.9 del TDD).</w:t>
      </w:r>
    </w:p>
    <w:p>
      <w:pPr>
        <w:spacing w:after="150"/>
      </w:pPr>
      <w:r>
        <w:rPr>
          <w:b w:val="false"/>
          <w:bCs w:val="false"/>
          <w:i/>
          <w:iCs/>
          <w:sz w:val="22"/>
          <w:szCs w:val="22"/>
        </w:rPr>
        <w:t xml:space="preserve">[INSERTAR AQUÍ: Tabla de Authorization Model — MSSQL Server 2019 / Passport / Web Application / Editran components, mostrando Identity Issuance, Authentication y Authorization]</w:t>
      </w:r>
    </w:p>
    <w:p>
      <w:pPr>
        <w:pageBreakBefore/>
      </w:pPr>
    </w:p>
    <w:p>
      <w:pPr>
        <w:pStyle w:val="Heading1"/>
        <w:spacing w:after="150" w:before="300"/>
      </w:pPr>
      <w:r>
        <w:t xml:space="preserve">Annex C</w:t>
      </w:r>
    </w:p>
    <w:p>
      <w:pPr>
        <w:spacing w:after="150"/>
      </w:pPr>
      <w:r>
        <w:rPr>
          <w:b w:val="false"/>
          <w:bCs w:val="false"/>
          <w:i w:val="false"/>
          <w:iCs w:val="false"/>
          <w:sz w:val="22"/>
          <w:szCs w:val="22"/>
        </w:rPr>
        <w:t xml:space="preserve">Detalle de la sección Business Continuity Planning (BCP) y Disaster Recovery del TDD, referenciada en Control Defect #3.</w:t>
      </w:r>
    </w:p>
    <w:p>
      <w:pPr>
        <w:spacing w:after="150"/>
      </w:pPr>
      <w:r>
        <w:rPr>
          <w:b w:val="false"/>
          <w:bCs w:val="false"/>
          <w:i/>
          <w:iCs/>
          <w:sz w:val="22"/>
          <w:szCs w:val="22"/>
        </w:rPr>
        <w:t xml:space="preserve">[INSERTAR AQUÍ: Tabla "Continuity Assessment" para SBP (Tier 2, RTO 3h/RPO 24h) y CSF (Tier 5, RTO 10 días/RPO 10 días), y diagrama "Always On Availability Groups" con Primary Data Center / DR Data Center]</w:t>
      </w:r>
    </w:p>
    <w:p>
      <w:pPr>
        <w:pageBreakBefore/>
      </w:pPr>
    </w:p>
    <w:p>
      <w:pPr>
        <w:pStyle w:val="Heading1"/>
        <w:spacing w:after="150" w:before="300"/>
      </w:pPr>
      <w:r>
        <w:t xml:space="preserve">Network/System Diagram</w:t>
      </w:r>
    </w:p>
    <w:p>
      <w:pPr>
        <w:spacing w:after="150"/>
      </w:pPr>
      <w:r>
        <w:rPr>
          <w:b/>
          <w:bCs/>
          <w:i w:val="false"/>
          <w:iCs w:val="false"/>
          <w:sz w:val="22"/>
          <w:szCs w:val="22"/>
        </w:rPr>
        <w:t xml:space="preserve">Current Logical Architecture consists of the following components:</w:t>
      </w:r>
    </w:p>
    <w:p>
      <w:pPr>
        <w:pStyle w:val="ListParagraph"/>
        <w:numPr>
          <w:ilvl w:val="0"/>
          <w:numId w:val="1"/>
        </w:numPr>
        <w:spacing w:after="80"/>
      </w:pPr>
      <w:r>
        <w:t xml:space="preserve">AS-400 system genera los archivos regulatorios de transferencias diferidas y canje.</w:t>
      </w:r>
    </w:p>
    <w:p>
      <w:pPr>
        <w:pStyle w:val="ListParagraph"/>
        <w:numPr>
          <w:ilvl w:val="0"/>
          <w:numId w:val="1"/>
        </w:numPr>
        <w:spacing w:after="80"/>
      </w:pPr>
      <w:r>
        <w:t xml:space="preserve">Los archivos son procesados por servidores Windows Server 2019 dedicados (CSF y SBP), que ejecutan los servicios de Transmisión, Mantenimiento, Comando Especial y Sucesor de Eventos de EDITRAN.</w:t>
      </w:r>
    </w:p>
    <w:p>
      <w:pPr>
        <w:pStyle w:val="ListParagraph"/>
        <w:numPr>
          <w:ilvl w:val="0"/>
          <w:numId w:val="1"/>
        </w:numPr>
        <w:spacing w:after="80"/>
      </w:pPr>
      <w:r>
        <w:t xml:space="preserve">EDITRAN se conecta vía TCP/IP a través de la red Bancared hacia el servidor EDITRAN de la CCE, en los puertos registrados por entidad.</w:t>
      </w:r>
    </w:p>
    <w:p>
      <w:pPr>
        <w:pStyle w:val="ListParagraph"/>
        <w:numPr>
          <w:ilvl w:val="0"/>
          <w:numId w:val="1"/>
        </w:numPr>
        <w:spacing w:after="80"/>
      </w:pPr>
      <w:r>
        <w:t xml:space="preserve">El módulo web (Tracking Web/API) permite a los Operadores y personal de Seguridad dar seguimiento a los envíos/recepciones sin ingresar directamente al servidor EDITRAN, autenticándose vía Active Directory.</w:t>
      </w:r>
    </w:p>
    <w:p>
      <w:pPr>
        <w:spacing w:after="150"/>
      </w:pPr>
      <w:r>
        <w:rPr>
          <w:b w:val="false"/>
          <w:bCs w:val="false"/>
          <w:i/>
          <w:iCs/>
          <w:sz w:val="22"/>
          <w:szCs w:val="22"/>
        </w:rPr>
        <w:t xml:space="preserve">[INSERTAR AQUÍ: Diagrama de red físico con IPs/puertos de PRD y DR — Ref. sección 14.12.1 Network and Security Design del TDD]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2026-07-30T22:12:24.225Z</dcterms:created>
  <dcterms:modified xsi:type="dcterms:W3CDTF">2026-07-30T22:12:24.240Z</dcterms:modified>
</cp:coreProperties>
</file>

<file path=docProps/custom.xml><?xml version="1.0" encoding="utf-8"?>
<Properties xmlns="http://schemas.openxmlformats.org/officeDocument/2006/custom-properties" xmlns:vt="http://schemas.openxmlformats.org/officeDocument/2006/docPropsVTypes"/>
</file>