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ptos Display" w:hAnsi="Aptos Display"/>
          <w:b/>
          <w:color w:val="163A5F"/>
          <w:sz w:val="60"/>
        </w:rPr>
        <w:t>FINANCIEL PILOTE</w:t>
      </w:r>
    </w:p>
    <w:p>
      <w:pPr>
        <w:jc w:val="center"/>
      </w:pPr>
      <w:r>
        <w:rPr>
          <w:b/>
          <w:color w:val="C89B3C"/>
          <w:sz w:val="40"/>
        </w:rPr>
        <w:t>ROADMAP MASTER V2</w:t>
      </w:r>
    </w:p>
    <w:p>
      <w:pPr>
        <w:jc w:val="center"/>
      </w:pPr>
      <w:r>
        <w:rPr>
          <w:b/>
        </w:rPr>
        <w:t>Périmètre fonctionnel final • UI/UX évolutive • Certification • Audit • Cutover</w:t>
      </w:r>
    </w:p>
    <w:p>
      <w:pPr>
        <w:jc w:val="center"/>
      </w:pPr>
      <w:r>
        <w:t>Version du 10 octobre 2026</w:t>
      </w:r>
    </w:p>
    <w:p>
      <w:pPr>
        <w:spacing w:before="500"/>
        <w:jc w:val="center"/>
      </w:pPr>
      <w:r>
        <w:rPr>
          <w:i/>
          <w:color w:val="4F6F52"/>
        </w:rPr>
        <w:t>Pilotez. Planifiez. Épargnez. Prospérez.</w:t>
      </w:r>
    </w:p>
    <w:p/>
    <w:tbl>
      <w:tblPr>
        <w:tblW w:type="auto" w:w="0"/>
        <w:jc w:val="left"/>
        <w:tblLayout w:type="autofit"/>
        <w:tblLook w:firstColumn="1" w:firstRow="1" w:lastColumn="0" w:lastRow="0" w:noHBand="0" w:noVBand="1" w:val="04A0"/>
      </w:tblPr>
      <w:tblGrid>
        <w:gridCol w:w="10224"/>
      </w:tblGrid>
      <w:tr>
        <w:tc>
          <w:tcPr>
            <w:tcW w:type="dxa" w:w="10224"/>
            <w:shd w:fill="163A5F"/>
            <w:vAlign w:val="center"/>
          </w:tcPr>
          <w:p>
            <w:r/>
            <w:r>
              <w:rPr>
                <w:rFonts w:ascii="Aptos" w:hAnsi="Aptos"/>
                <w:b/>
                <w:color w:val="FFFFFF"/>
                <w:sz w:val="18"/>
              </w:rPr>
              <w:t>DOCUMENT DE RÉFÉRENCE À PARTAGER AVEC CODEX</w:t>
            </w:r>
          </w:p>
        </w:tc>
      </w:tr>
    </w:tbl>
    <w:p>
      <w:pPr>
        <w:spacing w:after="40"/>
      </w:pPr>
    </w:p>
    <w:p>
      <w:pPr>
        <w:jc w:val="center"/>
      </w:pPr>
      <w:r>
        <w:t>Cette roadmap remplace l’ancienne roadmap de développement comme référence de pilotage. Elle consolide l’état F1–F8, D1/D1.1, l’audit UI/UX (74 surfaces), les besoins encore à développer et la stratégie de finalisation avant utilisation réelle.</w:t>
      </w:r>
    </w:p>
    <w:p>
      <w:r>
        <w:br w:type="page"/>
      </w:r>
    </w:p>
    <w:p>
      <w:pPr>
        <w:pStyle w:val="Heading1"/>
      </w:pPr>
      <w:r>
        <w:t>1. Objet et règles de gouvernance</w:t>
      </w:r>
    </w:p>
    <w:p>
      <w:r>
        <w:t>L’objectif n’est plus de livrer seulement un « cœur V1 », mais de terminer FINANCIEL PILOTE dans le périmètre fonctionnel réellement attendu avant le passage à l’usage quotidien. Les statuts F1–F8 « PRÊT » signifient que le socle V1 formalisé a été développé et consolidé ; ils ne signifient pas que toutes les fonctions imaginées pour le produit final sont terminées.</w:t>
      </w:r>
    </w:p>
    <w:p>
      <w:pPr>
        <w:pStyle w:val="ListBullet"/>
        <w:spacing w:after="40"/>
      </w:pPr>
      <w:r>
        <w:t>Ne pas purger les données pilotes C3/C4B pendant le développement.</w:t>
      </w:r>
    </w:p>
    <w:p>
      <w:pPr>
        <w:pStyle w:val="ListBullet"/>
        <w:spacing w:after="40"/>
      </w:pPr>
      <w:r>
        <w:t>Ne pas créer les comptes réels de production avant la fin du produit, de l’audit et des corrections.</w:t>
      </w:r>
    </w:p>
    <w:p>
      <w:pPr>
        <w:pStyle w:val="ListBullet"/>
        <w:spacing w:after="40"/>
      </w:pPr>
      <w:r>
        <w:t>Le Google Sheet vivant reste la source opérationnelle jusqu’au cutover définitif.</w:t>
      </w:r>
    </w:p>
    <w:p>
      <w:pPr>
        <w:pStyle w:val="ListBullet"/>
        <w:spacing w:after="40"/>
      </w:pPr>
      <w:r>
        <w:t>Toute nouvelle fonction doit utiliser les sources canoniques existantes : FinancialEvent, Grand Ledger, envelope ledger, obligations et FinancialAvailability selon le cas.</w:t>
      </w:r>
    </w:p>
    <w:p>
      <w:pPr>
        <w:pStyle w:val="ListBullet"/>
        <w:spacing w:after="40"/>
      </w:pPr>
      <w:r>
        <w:t>Aucune refonte UI ne doit modifier les calculs, règles métier, RLS, contrats de données ou mécanismes de synchronisation pour des raisons graphiques.</w:t>
      </w:r>
    </w:p>
    <w:p>
      <w:pPr>
        <w:pStyle w:val="ListBullet"/>
        <w:spacing w:after="40"/>
      </w:pPr>
      <w:r>
        <w:t>Toute fonction nouvelle doit être générique 1/2/N membres, sans hypothèse codée en dur sur Ibrahim/Nora.</w:t>
      </w:r>
    </w:p>
    <w:p>
      <w:pPr>
        <w:pStyle w:val="ListBullet"/>
        <w:spacing w:after="40"/>
      </w:pPr>
      <w:r>
        <w:t>Windows, Web et Android sont obligatoires pour la V1 finale ; compatibilité iOS conservée et certification réelle sur environnement Apple lorsqu’elle est disponible.</w:t>
      </w:r>
    </w:p>
    <w:p>
      <w:pPr>
        <w:pStyle w:val="ListBullet"/>
        <w:spacing w:after="40"/>
      </w:pPr>
      <w:r>
        <w:t>Projection, simulation et recommandations ne doivent jamais écrire dans le réel sans confirmation explicite.</w:t>
      </w:r>
    </w:p>
    <w:p>
      <w:pPr>
        <w:pStyle w:val="Heading1"/>
      </w:pPr>
      <w:r>
        <w:t>2. État consolidé au 10/10/2026</w:t>
      </w:r>
    </w:p>
    <w:tbl>
      <w:tblPr>
        <w:tblW w:type="auto" w:w="0"/>
        <w:jc w:val="left"/>
        <w:tblLayout w:type="autofit"/>
        <w:tblLook w:firstColumn="1" w:firstRow="1" w:lastColumn="0" w:lastRow="0" w:noHBand="0" w:noVBand="1" w:val="04A0"/>
      </w:tblPr>
      <w:tblGrid>
        <w:gridCol w:w="10224"/>
      </w:tblGrid>
      <w:tr>
        <w:tc>
          <w:tcPr>
            <w:tcW w:type="dxa" w:w="10224"/>
            <w:shd w:fill="4F6F52"/>
            <w:vAlign w:val="center"/>
          </w:tcPr>
          <w:p>
            <w:r/>
            <w:r>
              <w:rPr>
                <w:rFonts w:ascii="Aptos" w:hAnsi="Aptos"/>
                <w:b/>
                <w:color w:val="FFFFFF"/>
                <w:sz w:val="18"/>
              </w:rPr>
              <w:t>SOCLE F1–F8 : DÉVELOPPÉ ET CONSOLIDÉ</w:t>
            </w:r>
          </w:p>
        </w:tc>
      </w:tr>
    </w:tbl>
    <w:p>
      <w:pPr>
        <w:spacing w:after="40"/>
      </w:pPr>
    </w:p>
    <w:tbl>
      <w:tblPr>
        <w:tblStyle w:val="TableGrid"/>
        <w:tblW w:type="auto" w:w="0"/>
        <w:jc w:val="center"/>
        <w:tblLook w:firstColumn="1" w:firstRow="1" w:lastColumn="0" w:lastRow="0" w:noHBand="0" w:noVBand="1" w:val="04A0"/>
      </w:tblPr>
      <w:tblGrid>
        <w:gridCol w:w="3408"/>
        <w:gridCol w:w="3408"/>
        <w:gridCol w:w="3408"/>
      </w:tblGrid>
      <w:tr>
        <w:tc>
          <w:tcPr>
            <w:tcW w:type="dxa" w:w="1008"/>
            <w:shd w:fill="163A5F"/>
            <w:vAlign w:val="center"/>
          </w:tcPr>
          <w:p>
            <w:r/>
            <w:r>
              <w:rPr>
                <w:rFonts w:ascii="Aptos" w:hAnsi="Aptos"/>
                <w:b/>
                <w:color w:val="FFFFFF"/>
                <w:sz w:val="16"/>
              </w:rPr>
              <w:t>Lot</w:t>
            </w:r>
          </w:p>
        </w:tc>
        <w:tc>
          <w:tcPr>
            <w:tcW w:type="dxa" w:w="3600"/>
            <w:shd w:fill="163A5F"/>
            <w:vAlign w:val="center"/>
          </w:tcPr>
          <w:p>
            <w:r/>
            <w:r>
              <w:rPr>
                <w:rFonts w:ascii="Aptos" w:hAnsi="Aptos"/>
                <w:b/>
                <w:color w:val="FFFFFF"/>
                <w:sz w:val="16"/>
              </w:rPr>
              <w:t>Périmètre</w:t>
            </w:r>
          </w:p>
        </w:tc>
        <w:tc>
          <w:tcPr>
            <w:tcW w:type="dxa" w:w="5760"/>
            <w:shd w:fill="163A5F"/>
            <w:vAlign w:val="center"/>
          </w:tcPr>
          <w:p>
            <w:r/>
            <w:r>
              <w:rPr>
                <w:rFonts w:ascii="Aptos" w:hAnsi="Aptos"/>
                <w:b/>
                <w:color w:val="FFFFFF"/>
                <w:sz w:val="16"/>
              </w:rPr>
              <w:t>État réel</w:t>
            </w:r>
          </w:p>
        </w:tc>
      </w:tr>
      <w:tr>
        <w:tc>
          <w:tcPr>
            <w:tcW w:type="dxa" w:w="1008"/>
            <w:vAlign w:val="center"/>
          </w:tcPr>
          <w:p>
            <w:r/>
            <w:r>
              <w:rPr>
                <w:rFonts w:ascii="Aptos" w:hAnsi="Aptos"/>
                <w:b w:val="0"/>
                <w:color w:val="1E2329"/>
                <w:sz w:val="15"/>
              </w:rPr>
              <w:t>F1</w:t>
            </w:r>
          </w:p>
        </w:tc>
        <w:tc>
          <w:tcPr>
            <w:tcW w:type="dxa" w:w="3600"/>
            <w:vAlign w:val="center"/>
          </w:tcPr>
          <w:p>
            <w:r/>
            <w:r>
              <w:rPr>
                <w:rFonts w:ascii="Aptos" w:hAnsi="Aptos"/>
                <w:b w:val="0"/>
                <w:color w:val="1E2329"/>
                <w:sz w:val="15"/>
              </w:rPr>
              <w:t>Auth / foyer / membres / rôles / invitations</w:t>
            </w:r>
          </w:p>
        </w:tc>
        <w:tc>
          <w:tcPr>
            <w:tcW w:type="dxa" w:w="5760"/>
            <w:vAlign w:val="center"/>
          </w:tcPr>
          <w:p>
            <w:r/>
            <w:r>
              <w:rPr>
                <w:rFonts w:ascii="Aptos" w:hAnsi="Aptos"/>
                <w:b w:val="0"/>
                <w:color w:val="1E2329"/>
                <w:sz w:val="15"/>
              </w:rPr>
              <w:t>Développé ; recette Auth réelle multi-plateforme reste P1</w:t>
            </w:r>
          </w:p>
        </w:tc>
      </w:tr>
      <w:tr>
        <w:tc>
          <w:tcPr>
            <w:tcW w:type="dxa" w:w="1008"/>
            <w:shd w:fill="F7F8F5"/>
            <w:vAlign w:val="center"/>
          </w:tcPr>
          <w:p>
            <w:r/>
            <w:r>
              <w:rPr>
                <w:rFonts w:ascii="Aptos" w:hAnsi="Aptos"/>
                <w:b w:val="0"/>
                <w:color w:val="1E2329"/>
                <w:sz w:val="15"/>
              </w:rPr>
              <w:t>F2</w:t>
            </w:r>
          </w:p>
        </w:tc>
        <w:tc>
          <w:tcPr>
            <w:tcW w:type="dxa" w:w="3600"/>
            <w:shd w:fill="F7F8F5"/>
            <w:vAlign w:val="center"/>
          </w:tcPr>
          <w:p>
            <w:r/>
            <w:r>
              <w:rPr>
                <w:rFonts w:ascii="Aptos" w:hAnsi="Aptos"/>
                <w:b w:val="0"/>
                <w:color w:val="1E2329"/>
                <w:sz w:val="15"/>
              </w:rPr>
              <w:t>Finance quotidienne</w:t>
            </w:r>
          </w:p>
        </w:tc>
        <w:tc>
          <w:tcPr>
            <w:tcW w:type="dxa" w:w="5760"/>
            <w:shd w:fill="F7F8F5"/>
            <w:vAlign w:val="center"/>
          </w:tcPr>
          <w:p>
            <w:r/>
            <w:r>
              <w:rPr>
                <w:rFonts w:ascii="Aptos" w:hAnsi="Aptos"/>
                <w:b w:val="0"/>
                <w:color w:val="1E2329"/>
                <w:sz w:val="15"/>
              </w:rPr>
              <w:t>Transactions canoniques, paiements, historique, reversals, justificatifs</w:t>
            </w:r>
          </w:p>
        </w:tc>
      </w:tr>
      <w:tr>
        <w:tc>
          <w:tcPr>
            <w:tcW w:type="dxa" w:w="1008"/>
            <w:vAlign w:val="center"/>
          </w:tcPr>
          <w:p>
            <w:r/>
            <w:r>
              <w:rPr>
                <w:rFonts w:ascii="Aptos" w:hAnsi="Aptos"/>
                <w:b w:val="0"/>
                <w:color w:val="1E2329"/>
                <w:sz w:val="15"/>
              </w:rPr>
              <w:t>F3</w:t>
            </w:r>
          </w:p>
        </w:tc>
        <w:tc>
          <w:tcPr>
            <w:tcW w:type="dxa" w:w="3600"/>
            <w:vAlign w:val="center"/>
          </w:tcPr>
          <w:p>
            <w:r/>
            <w:r>
              <w:rPr>
                <w:rFonts w:ascii="Aptos" w:hAnsi="Aptos"/>
                <w:b w:val="0"/>
                <w:color w:val="1E2329"/>
                <w:sz w:val="15"/>
              </w:rPr>
              <w:t>Compensations / rapprochements</w:t>
            </w:r>
          </w:p>
        </w:tc>
        <w:tc>
          <w:tcPr>
            <w:tcW w:type="dxa" w:w="5760"/>
            <w:vAlign w:val="center"/>
          </w:tcPr>
          <w:p>
            <w:r/>
            <w:r>
              <w:rPr>
                <w:rFonts w:ascii="Aptos" w:hAnsi="Aptos"/>
                <w:b w:val="0"/>
                <w:color w:val="1E2329"/>
                <w:sz w:val="15"/>
              </w:rPr>
              <w:t>Développé et testé ; base pour clôture mensuelle</w:t>
            </w:r>
          </w:p>
        </w:tc>
      </w:tr>
      <w:tr>
        <w:tc>
          <w:tcPr>
            <w:tcW w:type="dxa" w:w="1008"/>
            <w:shd w:fill="F7F8F5"/>
            <w:vAlign w:val="center"/>
          </w:tcPr>
          <w:p>
            <w:r/>
            <w:r>
              <w:rPr>
                <w:rFonts w:ascii="Aptos" w:hAnsi="Aptos"/>
                <w:b w:val="0"/>
                <w:color w:val="1E2329"/>
                <w:sz w:val="15"/>
              </w:rPr>
              <w:t>F4</w:t>
            </w:r>
          </w:p>
        </w:tc>
        <w:tc>
          <w:tcPr>
            <w:tcW w:type="dxa" w:w="3600"/>
            <w:shd w:fill="F7F8F5"/>
            <w:vAlign w:val="center"/>
          </w:tcPr>
          <w:p>
            <w:r/>
            <w:r>
              <w:rPr>
                <w:rFonts w:ascii="Aptos" w:hAnsi="Aptos"/>
                <w:b w:val="0"/>
                <w:color w:val="1E2329"/>
                <w:sz w:val="15"/>
              </w:rPr>
              <w:t>Budget / préparation / scénarios</w:t>
            </w:r>
          </w:p>
        </w:tc>
        <w:tc>
          <w:tcPr>
            <w:tcW w:type="dxa" w:w="5760"/>
            <w:shd w:fill="F7F8F5"/>
            <w:vAlign w:val="center"/>
          </w:tcPr>
          <w:p>
            <w:r/>
            <w:r>
              <w:rPr>
                <w:rFonts w:ascii="Aptos" w:hAnsi="Aptos"/>
                <w:b w:val="0"/>
                <w:color w:val="1E2329"/>
                <w:sz w:val="15"/>
              </w:rPr>
              <w:t>Développé ; continuité mensuelle et approbation</w:t>
            </w:r>
          </w:p>
        </w:tc>
      </w:tr>
      <w:tr>
        <w:tc>
          <w:tcPr>
            <w:tcW w:type="dxa" w:w="1008"/>
            <w:vAlign w:val="center"/>
          </w:tcPr>
          <w:p>
            <w:r/>
            <w:r>
              <w:rPr>
                <w:rFonts w:ascii="Aptos" w:hAnsi="Aptos"/>
                <w:b w:val="0"/>
                <w:color w:val="1E2329"/>
                <w:sz w:val="15"/>
              </w:rPr>
              <w:t>F5</w:t>
            </w:r>
          </w:p>
        </w:tc>
        <w:tc>
          <w:tcPr>
            <w:tcW w:type="dxa" w:w="3600"/>
            <w:vAlign w:val="center"/>
          </w:tcPr>
          <w:p>
            <w:r/>
            <w:r>
              <w:rPr>
                <w:rFonts w:ascii="Aptos" w:hAnsi="Aptos"/>
                <w:b w:val="0"/>
                <w:color w:val="1E2329"/>
                <w:sz w:val="15"/>
              </w:rPr>
              <w:t>Patrimoine / logement / véhicule / financement</w:t>
            </w:r>
          </w:p>
        </w:tc>
        <w:tc>
          <w:tcPr>
            <w:tcW w:type="dxa" w:w="5760"/>
            <w:vAlign w:val="center"/>
          </w:tcPr>
          <w:p>
            <w:r/>
            <w:r>
              <w:rPr>
                <w:rFonts w:ascii="Aptos" w:hAnsi="Aptos"/>
                <w:b w:val="0"/>
                <w:color w:val="1E2329"/>
                <w:sz w:val="15"/>
              </w:rPr>
              <w:t>Développé ; moteur à étendre pour simulateur emprunt complet</w:t>
            </w:r>
          </w:p>
        </w:tc>
      </w:tr>
      <w:tr>
        <w:tc>
          <w:tcPr>
            <w:tcW w:type="dxa" w:w="1008"/>
            <w:shd w:fill="F7F8F5"/>
            <w:vAlign w:val="center"/>
          </w:tcPr>
          <w:p>
            <w:r/>
            <w:r>
              <w:rPr>
                <w:rFonts w:ascii="Aptos" w:hAnsi="Aptos"/>
                <w:b w:val="0"/>
                <w:color w:val="1E2329"/>
                <w:sz w:val="15"/>
              </w:rPr>
              <w:t>F6</w:t>
            </w:r>
          </w:p>
        </w:tc>
        <w:tc>
          <w:tcPr>
            <w:tcW w:type="dxa" w:w="3600"/>
            <w:shd w:fill="F7F8F5"/>
            <w:vAlign w:val="center"/>
          </w:tcPr>
          <w:p>
            <w:r/>
            <w:r>
              <w:rPr>
                <w:rFonts w:ascii="Aptos" w:hAnsi="Aptos"/>
                <w:b w:val="0"/>
                <w:color w:val="1E2329"/>
                <w:sz w:val="15"/>
              </w:rPr>
              <w:t>Organisation / calendrier / alertes</w:t>
            </w:r>
          </w:p>
        </w:tc>
        <w:tc>
          <w:tcPr>
            <w:tcW w:type="dxa" w:w="5760"/>
            <w:shd w:fill="F7F8F5"/>
            <w:vAlign w:val="center"/>
          </w:tcPr>
          <w:p>
            <w:r/>
            <w:r>
              <w:rPr>
                <w:rFonts w:ascii="Aptos" w:hAnsi="Aptos"/>
                <w:b w:val="0"/>
                <w:color w:val="1E2329"/>
                <w:sz w:val="15"/>
              </w:rPr>
              <w:t>Développé ; notifications natives restent à certifier/développer</w:t>
            </w:r>
          </w:p>
        </w:tc>
      </w:tr>
      <w:tr>
        <w:tc>
          <w:tcPr>
            <w:tcW w:type="dxa" w:w="1008"/>
            <w:vAlign w:val="center"/>
          </w:tcPr>
          <w:p>
            <w:r/>
            <w:r>
              <w:rPr>
                <w:rFonts w:ascii="Aptos" w:hAnsi="Aptos"/>
                <w:b w:val="0"/>
                <w:color w:val="1E2329"/>
                <w:sz w:val="15"/>
              </w:rPr>
              <w:t>F7</w:t>
            </w:r>
          </w:p>
        </w:tc>
        <w:tc>
          <w:tcPr>
            <w:tcW w:type="dxa" w:w="3600"/>
            <w:vAlign w:val="center"/>
          </w:tcPr>
          <w:p>
            <w:r/>
            <w:r>
              <w:rPr>
                <w:rFonts w:ascii="Aptos" w:hAnsi="Aptos"/>
                <w:b w:val="0"/>
                <w:color w:val="1E2329"/>
                <w:sz w:val="15"/>
              </w:rPr>
              <w:t>Recherche / exports / Realtime / robustesse réseau</w:t>
            </w:r>
          </w:p>
        </w:tc>
        <w:tc>
          <w:tcPr>
            <w:tcW w:type="dxa" w:w="5760"/>
            <w:vAlign w:val="center"/>
          </w:tcPr>
          <w:p>
            <w:r/>
            <w:r>
              <w:rPr>
                <w:rFonts w:ascii="Aptos" w:hAnsi="Aptos"/>
                <w:b w:val="0"/>
                <w:color w:val="1E2329"/>
                <w:sz w:val="15"/>
              </w:rPr>
              <w:t>Développé ; offline-first réel non couvert</w:t>
            </w:r>
          </w:p>
        </w:tc>
      </w:tr>
      <w:tr>
        <w:tc>
          <w:tcPr>
            <w:tcW w:type="dxa" w:w="1008"/>
            <w:shd w:fill="F7F8F5"/>
            <w:vAlign w:val="center"/>
          </w:tcPr>
          <w:p>
            <w:r/>
            <w:r>
              <w:rPr>
                <w:rFonts w:ascii="Aptos" w:hAnsi="Aptos"/>
                <w:b w:val="0"/>
                <w:color w:val="1E2329"/>
                <w:sz w:val="15"/>
              </w:rPr>
              <w:t>F8</w:t>
            </w:r>
          </w:p>
        </w:tc>
        <w:tc>
          <w:tcPr>
            <w:tcW w:type="dxa" w:w="3600"/>
            <w:shd w:fill="F7F8F5"/>
            <w:vAlign w:val="center"/>
          </w:tcPr>
          <w:p>
            <w:r/>
            <w:r>
              <w:rPr>
                <w:rFonts w:ascii="Aptos" w:hAnsi="Aptos"/>
                <w:b w:val="0"/>
                <w:color w:val="1E2329"/>
                <w:sz w:val="15"/>
              </w:rPr>
              <w:t>Consolidation / sécurité / legacy / 1-2-N membres</w:t>
            </w:r>
          </w:p>
        </w:tc>
        <w:tc>
          <w:tcPr>
            <w:tcW w:type="dxa" w:w="5760"/>
            <w:shd w:fill="F7F8F5"/>
            <w:vAlign w:val="center"/>
          </w:tcPr>
          <w:p>
            <w:r/>
            <w:r>
              <w:rPr>
                <w:rFonts w:ascii="Aptos" w:hAnsi="Aptos"/>
                <w:b w:val="0"/>
                <w:color w:val="1E2329"/>
                <w:sz w:val="15"/>
              </w:rPr>
              <w:t>Développé ; socle canonique stabilisé</w:t>
            </w:r>
          </w:p>
        </w:tc>
      </w:tr>
      <w:tr>
        <w:tc>
          <w:tcPr>
            <w:tcW w:type="dxa" w:w="1008"/>
            <w:vAlign w:val="center"/>
          </w:tcPr>
          <w:p>
            <w:r/>
            <w:r>
              <w:rPr>
                <w:rFonts w:ascii="Aptos" w:hAnsi="Aptos"/>
                <w:b w:val="0"/>
                <w:color w:val="1E2329"/>
                <w:sz w:val="15"/>
              </w:rPr>
              <w:t>D1/D1.1</w:t>
            </w:r>
          </w:p>
        </w:tc>
        <w:tc>
          <w:tcPr>
            <w:tcW w:type="dxa" w:w="3600"/>
            <w:vAlign w:val="center"/>
          </w:tcPr>
          <w:p>
            <w:r/>
            <w:r>
              <w:rPr>
                <w:rFonts w:ascii="Aptos" w:hAnsi="Aptos"/>
                <w:b w:val="0"/>
                <w:color w:val="1E2329"/>
                <w:sz w:val="15"/>
              </w:rPr>
              <w:t>Design system + correctif Auth Windows</w:t>
            </w:r>
          </w:p>
        </w:tc>
        <w:tc>
          <w:tcPr>
            <w:tcW w:type="dxa" w:w="5760"/>
            <w:vAlign w:val="center"/>
          </w:tcPr>
          <w:p>
            <w:r/>
            <w:r>
              <w:rPr>
                <w:rFonts w:ascii="Aptos" w:hAnsi="Aptos"/>
                <w:b w:val="0"/>
                <w:color w:val="1E2329"/>
                <w:sz w:val="15"/>
              </w:rPr>
              <w:t>Techniquement prêts ; UX/UI finale non validée humainement</w:t>
            </w:r>
          </w:p>
        </w:tc>
      </w:tr>
    </w:tbl>
    <w:p>
      <w:pPr>
        <w:spacing w:after="40"/>
      </w:pPr>
    </w:p>
    <w:p>
      <w:r>
        <w:t>L’audit UI/UX de référence recense 74 surfaces significatives, 58 routes/états logiques et 20 workflows majeurs. Il confirme l’existence d’un Design System centralisé, mais la validation humaine a mis en évidence une composition encore trop générique ou sous-exploitée sur plusieurs écrans (Dashboard, Comptes, Transactions, Budget, Enveloppes, Préparer mon mois, etc.).</w:t>
      </w:r>
    </w:p>
    <w:p>
      <w:pPr>
        <w:pStyle w:val="Heading1"/>
      </w:pPr>
      <w:r>
        <w:t>3. Architecture cible de la suite du projet</w:t>
      </w:r>
    </w:p>
    <w:p>
      <w:r>
        <w:rPr>
          <w:b/>
        </w:rPr>
        <w:t xml:space="preserve">Principe directeur : </w:t>
      </w:r>
      <w:r>
        <w:t>développement fonctionnel restant + amélioration UI/UX évolutive en parallèle, puis gel fonctionnel et certification visuelle finale exhaustive.</w:t>
      </w:r>
    </w:p>
    <w:tbl>
      <w:tblPr>
        <w:tblStyle w:val="TableGrid"/>
        <w:tblW w:type="auto" w:w="0"/>
        <w:jc w:val="center"/>
        <w:tblLook w:firstColumn="1" w:firstRow="1" w:lastColumn="0" w:lastRow="0" w:noHBand="0" w:noVBand="1" w:val="04A0"/>
      </w:tblPr>
      <w:tblGrid>
        <w:gridCol w:w="3408"/>
        <w:gridCol w:w="3408"/>
        <w:gridCol w:w="3408"/>
      </w:tblGrid>
      <w:tr>
        <w:tc>
          <w:tcPr>
            <w:tcW w:type="dxa" w:w="720"/>
            <w:shd w:fill="163A5F"/>
            <w:vAlign w:val="center"/>
          </w:tcPr>
          <w:p>
            <w:r/>
            <w:r>
              <w:rPr>
                <w:rFonts w:ascii="Aptos" w:hAnsi="Aptos"/>
                <w:b/>
                <w:color w:val="FFFFFF"/>
                <w:sz w:val="16"/>
              </w:rPr>
              <w:t>Ordre</w:t>
            </w:r>
          </w:p>
        </w:tc>
        <w:tc>
          <w:tcPr>
            <w:tcW w:type="dxa" w:w="3312"/>
            <w:shd w:fill="163A5F"/>
            <w:vAlign w:val="center"/>
          </w:tcPr>
          <w:p>
            <w:r/>
            <w:r>
              <w:rPr>
                <w:rFonts w:ascii="Aptos" w:hAnsi="Aptos"/>
                <w:b/>
                <w:color w:val="FFFFFF"/>
                <w:sz w:val="16"/>
              </w:rPr>
              <w:t>Étape</w:t>
            </w:r>
          </w:p>
        </w:tc>
        <w:tc>
          <w:tcPr>
            <w:tcW w:type="dxa" w:w="6336"/>
            <w:shd w:fill="163A5F"/>
            <w:vAlign w:val="center"/>
          </w:tcPr>
          <w:p>
            <w:r/>
            <w:r>
              <w:rPr>
                <w:rFonts w:ascii="Aptos" w:hAnsi="Aptos"/>
                <w:b/>
                <w:color w:val="FFFFFF"/>
                <w:sz w:val="16"/>
              </w:rPr>
              <w:t>Finalité</w:t>
            </w:r>
          </w:p>
        </w:tc>
      </w:tr>
      <w:tr>
        <w:tc>
          <w:tcPr>
            <w:tcW w:type="dxa" w:w="720"/>
            <w:vAlign w:val="center"/>
          </w:tcPr>
          <w:p>
            <w:r/>
            <w:r>
              <w:rPr>
                <w:rFonts w:ascii="Aptos" w:hAnsi="Aptos"/>
                <w:b w:val="0"/>
                <w:color w:val="1E2329"/>
                <w:sz w:val="15"/>
              </w:rPr>
              <w:t>R0</w:t>
            </w:r>
          </w:p>
        </w:tc>
        <w:tc>
          <w:tcPr>
            <w:tcW w:type="dxa" w:w="3312"/>
            <w:vAlign w:val="center"/>
          </w:tcPr>
          <w:p>
            <w:r/>
            <w:r>
              <w:rPr>
                <w:rFonts w:ascii="Aptos" w:hAnsi="Aptos"/>
                <w:b w:val="0"/>
                <w:color w:val="1E2329"/>
                <w:sz w:val="15"/>
              </w:rPr>
              <w:t>Master Scope final V2</w:t>
            </w:r>
          </w:p>
        </w:tc>
        <w:tc>
          <w:tcPr>
            <w:tcW w:type="dxa" w:w="6336"/>
            <w:vAlign w:val="center"/>
          </w:tcPr>
          <w:p>
            <w:r/>
            <w:r>
              <w:rPr>
                <w:rFonts w:ascii="Aptos" w:hAnsi="Aptos"/>
                <w:b w:val="0"/>
                <w:color w:val="1E2329"/>
                <w:sz w:val="15"/>
              </w:rPr>
              <w:t>Figer ce qui est couvert, partiel, absent, à étendre ou à arbitrer.</w:t>
            </w:r>
          </w:p>
        </w:tc>
      </w:tr>
      <w:tr>
        <w:tc>
          <w:tcPr>
            <w:tcW w:type="dxa" w:w="720"/>
            <w:shd w:fill="F7F8F5"/>
            <w:vAlign w:val="center"/>
          </w:tcPr>
          <w:p>
            <w:r/>
            <w:r>
              <w:rPr>
                <w:rFonts w:ascii="Aptos" w:hAnsi="Aptos"/>
                <w:b w:val="0"/>
                <w:color w:val="1E2329"/>
                <w:sz w:val="15"/>
              </w:rPr>
              <w:t>R1</w:t>
            </w:r>
          </w:p>
        </w:tc>
        <w:tc>
          <w:tcPr>
            <w:tcW w:type="dxa" w:w="3312"/>
            <w:shd w:fill="F7F8F5"/>
            <w:vAlign w:val="center"/>
          </w:tcPr>
          <w:p>
            <w:r/>
            <w:r>
              <w:rPr>
                <w:rFonts w:ascii="Aptos" w:hAnsi="Aptos"/>
                <w:b w:val="0"/>
                <w:color w:val="1E2329"/>
                <w:sz w:val="15"/>
              </w:rPr>
              <w:t>UI/UX évolutive</w:t>
            </w:r>
          </w:p>
        </w:tc>
        <w:tc>
          <w:tcPr>
            <w:tcW w:type="dxa" w:w="6336"/>
            <w:shd w:fill="F7F8F5"/>
            <w:vAlign w:val="center"/>
          </w:tcPr>
          <w:p>
            <w:r/>
            <w:r>
              <w:rPr>
                <w:rFonts w:ascii="Aptos" w:hAnsi="Aptos"/>
                <w:b w:val="0"/>
                <w:color w:val="1E2329"/>
                <w:sz w:val="15"/>
              </w:rPr>
              <w:t>Améliorer l’existant et imposer le standard aux nouveaux modules.</w:t>
            </w:r>
          </w:p>
        </w:tc>
      </w:tr>
      <w:tr>
        <w:tc>
          <w:tcPr>
            <w:tcW w:type="dxa" w:w="720"/>
            <w:vAlign w:val="center"/>
          </w:tcPr>
          <w:p>
            <w:r/>
            <w:r>
              <w:rPr>
                <w:rFonts w:ascii="Aptos" w:hAnsi="Aptos"/>
                <w:b w:val="0"/>
                <w:color w:val="1E2329"/>
                <w:sz w:val="15"/>
              </w:rPr>
              <w:t>R2</w:t>
            </w:r>
          </w:p>
        </w:tc>
        <w:tc>
          <w:tcPr>
            <w:tcW w:type="dxa" w:w="3312"/>
            <w:vAlign w:val="center"/>
          </w:tcPr>
          <w:p>
            <w:r/>
            <w:r>
              <w:rPr>
                <w:rFonts w:ascii="Aptos" w:hAnsi="Aptos"/>
                <w:b w:val="0"/>
                <w:color w:val="1E2329"/>
                <w:sz w:val="15"/>
              </w:rPr>
              <w:t>Cycle mensuel &amp; fiabilité</w:t>
            </w:r>
          </w:p>
        </w:tc>
        <w:tc>
          <w:tcPr>
            <w:tcW w:type="dxa" w:w="6336"/>
            <w:vAlign w:val="center"/>
          </w:tcPr>
          <w:p>
            <w:r/>
            <w:r>
              <w:rPr>
                <w:rFonts w:ascii="Aptos" w:hAnsi="Aptos"/>
                <w:b w:val="0"/>
                <w:color w:val="1E2329"/>
                <w:sz w:val="15"/>
              </w:rPr>
              <w:t>Clôture, centre À faire, inventaires, écarts, régularisation fin de mois, KPI.</w:t>
            </w:r>
          </w:p>
        </w:tc>
      </w:tr>
      <w:tr>
        <w:tc>
          <w:tcPr>
            <w:tcW w:type="dxa" w:w="720"/>
            <w:shd w:fill="F7F8F5"/>
            <w:vAlign w:val="center"/>
          </w:tcPr>
          <w:p>
            <w:r/>
            <w:r>
              <w:rPr>
                <w:rFonts w:ascii="Aptos" w:hAnsi="Aptos"/>
                <w:b w:val="0"/>
                <w:color w:val="1E2329"/>
                <w:sz w:val="15"/>
              </w:rPr>
              <w:t>R3</w:t>
            </w:r>
          </w:p>
        </w:tc>
        <w:tc>
          <w:tcPr>
            <w:tcW w:type="dxa" w:w="3312"/>
            <w:shd w:fill="F7F8F5"/>
            <w:vAlign w:val="center"/>
          </w:tcPr>
          <w:p>
            <w:r/>
            <w:r>
              <w:rPr>
                <w:rFonts w:ascii="Aptos" w:hAnsi="Aptos"/>
                <w:b w:val="0"/>
                <w:color w:val="1E2329"/>
                <w:sz w:val="15"/>
              </w:rPr>
              <w:t>Prévision &amp; automatisation</w:t>
            </w:r>
          </w:p>
        </w:tc>
        <w:tc>
          <w:tcPr>
            <w:tcW w:type="dxa" w:w="6336"/>
            <w:shd w:fill="F7F8F5"/>
            <w:vAlign w:val="center"/>
          </w:tcPr>
          <w:p>
            <w:r/>
            <w:r>
              <w:rPr>
                <w:rFonts w:ascii="Aptos" w:hAnsi="Aptos"/>
                <w:b w:val="0"/>
                <w:color w:val="1E2329"/>
                <w:sz w:val="15"/>
              </w:rPr>
              <w:t>Récurrents, projection de trésorerie, rappels et règles.</w:t>
            </w:r>
          </w:p>
        </w:tc>
      </w:tr>
      <w:tr>
        <w:tc>
          <w:tcPr>
            <w:tcW w:type="dxa" w:w="720"/>
            <w:vAlign w:val="center"/>
          </w:tcPr>
          <w:p>
            <w:r/>
            <w:r>
              <w:rPr>
                <w:rFonts w:ascii="Aptos" w:hAnsi="Aptos"/>
                <w:b w:val="0"/>
                <w:color w:val="1E2329"/>
                <w:sz w:val="15"/>
              </w:rPr>
              <w:t>R4</w:t>
            </w:r>
          </w:p>
        </w:tc>
        <w:tc>
          <w:tcPr>
            <w:tcW w:type="dxa" w:w="3312"/>
            <w:vAlign w:val="center"/>
          </w:tcPr>
          <w:p>
            <w:r/>
            <w:r>
              <w:rPr>
                <w:rFonts w:ascii="Aptos" w:hAnsi="Aptos"/>
                <w:b w:val="0"/>
                <w:color w:val="1E2329"/>
                <w:sz w:val="15"/>
              </w:rPr>
              <w:t>Restitution &amp; portabilité</w:t>
            </w:r>
          </w:p>
        </w:tc>
        <w:tc>
          <w:tcPr>
            <w:tcW w:type="dxa" w:w="6336"/>
            <w:vAlign w:val="center"/>
          </w:tcPr>
          <w:p>
            <w:r/>
            <w:r>
              <w:rPr>
                <w:rFonts w:ascii="Aptos" w:hAnsi="Aptos"/>
                <w:b w:val="0"/>
                <w:color w:val="1E2329"/>
                <w:sz w:val="15"/>
              </w:rPr>
              <w:t>Exports intelligents, bilan annuel, amortissement, pack foyer.</w:t>
            </w:r>
          </w:p>
        </w:tc>
      </w:tr>
      <w:tr>
        <w:tc>
          <w:tcPr>
            <w:tcW w:type="dxa" w:w="720"/>
            <w:shd w:fill="F7F8F5"/>
            <w:vAlign w:val="center"/>
          </w:tcPr>
          <w:p>
            <w:r/>
            <w:r>
              <w:rPr>
                <w:rFonts w:ascii="Aptos" w:hAnsi="Aptos"/>
                <w:b w:val="0"/>
                <w:color w:val="1E2329"/>
                <w:sz w:val="15"/>
              </w:rPr>
              <w:t>R5</w:t>
            </w:r>
          </w:p>
        </w:tc>
        <w:tc>
          <w:tcPr>
            <w:tcW w:type="dxa" w:w="3312"/>
            <w:shd w:fill="F7F8F5"/>
            <w:vAlign w:val="center"/>
          </w:tcPr>
          <w:p>
            <w:r/>
            <w:r>
              <w:rPr>
                <w:rFonts w:ascii="Aptos" w:hAnsi="Aptos"/>
                <w:b w:val="0"/>
                <w:color w:val="1E2329"/>
                <w:sz w:val="15"/>
              </w:rPr>
              <w:t>Expérience produit</w:t>
            </w:r>
          </w:p>
        </w:tc>
        <w:tc>
          <w:tcPr>
            <w:tcW w:type="dxa" w:w="6336"/>
            <w:shd w:fill="F7F8F5"/>
            <w:vAlign w:val="center"/>
          </w:tcPr>
          <w:p>
            <w:r/>
            <w:r>
              <w:rPr>
                <w:rFonts w:ascii="Aptos" w:hAnsi="Aptos"/>
                <w:b w:val="0"/>
                <w:color w:val="1E2329"/>
                <w:sz w:val="15"/>
              </w:rPr>
              <w:t>Onboarding, aide, langues, landing page, invitation à la connexion.</w:t>
            </w:r>
          </w:p>
        </w:tc>
      </w:tr>
      <w:tr>
        <w:tc>
          <w:tcPr>
            <w:tcW w:type="dxa" w:w="720"/>
            <w:vAlign w:val="center"/>
          </w:tcPr>
          <w:p>
            <w:r/>
            <w:r>
              <w:rPr>
                <w:rFonts w:ascii="Aptos" w:hAnsi="Aptos"/>
                <w:b w:val="0"/>
                <w:color w:val="1E2329"/>
                <w:sz w:val="15"/>
              </w:rPr>
              <w:t>R6</w:t>
            </w:r>
          </w:p>
        </w:tc>
        <w:tc>
          <w:tcPr>
            <w:tcW w:type="dxa" w:w="3312"/>
            <w:vAlign w:val="center"/>
          </w:tcPr>
          <w:p>
            <w:r/>
            <w:r>
              <w:rPr>
                <w:rFonts w:ascii="Aptos" w:hAnsi="Aptos"/>
                <w:b w:val="0"/>
                <w:color w:val="1E2329"/>
                <w:sz w:val="15"/>
              </w:rPr>
              <w:t>Modules complémentaires</w:t>
            </w:r>
          </w:p>
        </w:tc>
        <w:tc>
          <w:tcPr>
            <w:tcW w:type="dxa" w:w="6336"/>
            <w:vAlign w:val="center"/>
          </w:tcPr>
          <w:p>
            <w:r/>
            <w:r>
              <w:rPr>
                <w:rFonts w:ascii="Aptos" w:hAnsi="Aptos"/>
                <w:b w:val="0"/>
                <w:color w:val="1E2329"/>
                <w:sz w:val="15"/>
              </w:rPr>
              <w:t>Organisation ménage, cycle, IA, autres fonctions Sheet confirmées.</w:t>
            </w:r>
          </w:p>
        </w:tc>
      </w:tr>
      <w:tr>
        <w:tc>
          <w:tcPr>
            <w:tcW w:type="dxa" w:w="720"/>
            <w:shd w:fill="F7F8F5"/>
            <w:vAlign w:val="center"/>
          </w:tcPr>
          <w:p>
            <w:r/>
            <w:r>
              <w:rPr>
                <w:rFonts w:ascii="Aptos" w:hAnsi="Aptos"/>
                <w:b w:val="0"/>
                <w:color w:val="1E2329"/>
                <w:sz w:val="15"/>
              </w:rPr>
              <w:t>R7</w:t>
            </w:r>
          </w:p>
        </w:tc>
        <w:tc>
          <w:tcPr>
            <w:tcW w:type="dxa" w:w="3312"/>
            <w:shd w:fill="F7F8F5"/>
            <w:vAlign w:val="center"/>
          </w:tcPr>
          <w:p>
            <w:r/>
            <w:r>
              <w:rPr>
                <w:rFonts w:ascii="Aptos" w:hAnsi="Aptos"/>
                <w:b w:val="0"/>
                <w:color w:val="1E2329"/>
                <w:sz w:val="15"/>
              </w:rPr>
              <w:t>Offline réel &amp; confidentialité avancée</w:t>
            </w:r>
          </w:p>
        </w:tc>
        <w:tc>
          <w:tcPr>
            <w:tcW w:type="dxa" w:w="6336"/>
            <w:shd w:fill="F7F8F5"/>
            <w:vAlign w:val="center"/>
          </w:tcPr>
          <w:p>
            <w:r/>
            <w:r>
              <w:rPr>
                <w:rFonts w:ascii="Aptos" w:hAnsi="Aptos"/>
                <w:b w:val="0"/>
                <w:color w:val="1E2329"/>
                <w:sz w:val="15"/>
              </w:rPr>
              <w:t>Saisie hors ligne et, si retenue, confidentialité fine.</w:t>
            </w:r>
          </w:p>
        </w:tc>
      </w:tr>
      <w:tr>
        <w:tc>
          <w:tcPr>
            <w:tcW w:type="dxa" w:w="720"/>
            <w:vAlign w:val="center"/>
          </w:tcPr>
          <w:p>
            <w:r/>
            <w:r>
              <w:rPr>
                <w:rFonts w:ascii="Aptos" w:hAnsi="Aptos"/>
                <w:b w:val="0"/>
                <w:color w:val="1E2329"/>
                <w:sz w:val="15"/>
              </w:rPr>
              <w:t>R8</w:t>
            </w:r>
          </w:p>
        </w:tc>
        <w:tc>
          <w:tcPr>
            <w:tcW w:type="dxa" w:w="3312"/>
            <w:vAlign w:val="center"/>
          </w:tcPr>
          <w:p>
            <w:r/>
            <w:r>
              <w:rPr>
                <w:rFonts w:ascii="Aptos" w:hAnsi="Aptos"/>
                <w:b w:val="0"/>
                <w:color w:val="1E2329"/>
                <w:sz w:val="15"/>
              </w:rPr>
              <w:t>Gel fonctionnel + D1 final</w:t>
            </w:r>
          </w:p>
        </w:tc>
        <w:tc>
          <w:tcPr>
            <w:tcW w:type="dxa" w:w="6336"/>
            <w:vAlign w:val="center"/>
          </w:tcPr>
          <w:p>
            <w:r/>
            <w:r>
              <w:rPr>
                <w:rFonts w:ascii="Aptos" w:hAnsi="Aptos"/>
                <w:b w:val="0"/>
                <w:color w:val="1E2329"/>
                <w:sz w:val="15"/>
              </w:rPr>
              <w:t>Recette visuelle humaine exhaustive des 74+ surfaces.</w:t>
            </w:r>
          </w:p>
        </w:tc>
      </w:tr>
      <w:tr>
        <w:tc>
          <w:tcPr>
            <w:tcW w:type="dxa" w:w="720"/>
            <w:shd w:fill="F7F8F5"/>
            <w:vAlign w:val="center"/>
          </w:tcPr>
          <w:p>
            <w:r/>
            <w:r>
              <w:rPr>
                <w:rFonts w:ascii="Aptos" w:hAnsi="Aptos"/>
                <w:b w:val="0"/>
                <w:color w:val="1E2329"/>
                <w:sz w:val="15"/>
              </w:rPr>
              <w:t>P1</w:t>
            </w:r>
          </w:p>
        </w:tc>
        <w:tc>
          <w:tcPr>
            <w:tcW w:type="dxa" w:w="3312"/>
            <w:shd w:fill="F7F8F5"/>
            <w:vAlign w:val="center"/>
          </w:tcPr>
          <w:p>
            <w:r/>
            <w:r>
              <w:rPr>
                <w:rFonts w:ascii="Aptos" w:hAnsi="Aptos"/>
                <w:b w:val="0"/>
                <w:color w:val="1E2329"/>
                <w:sz w:val="15"/>
              </w:rPr>
              <w:t>Certification plateformes</w:t>
            </w:r>
          </w:p>
        </w:tc>
        <w:tc>
          <w:tcPr>
            <w:tcW w:type="dxa" w:w="6336"/>
            <w:shd w:fill="F7F8F5"/>
            <w:vAlign w:val="center"/>
          </w:tcPr>
          <w:p>
            <w:r/>
            <w:r>
              <w:rPr>
                <w:rFonts w:ascii="Aptos" w:hAnsi="Aptos"/>
                <w:b w:val="0"/>
                <w:color w:val="1E2329"/>
                <w:sz w:val="15"/>
              </w:rPr>
              <w:t>Windows/Web/Android, Auth réelle, deep links, notifications ; iOS si environnement.</w:t>
            </w:r>
          </w:p>
        </w:tc>
      </w:tr>
      <w:tr>
        <w:tc>
          <w:tcPr>
            <w:tcW w:type="dxa" w:w="720"/>
            <w:vAlign w:val="center"/>
          </w:tcPr>
          <w:p>
            <w:r/>
            <w:r>
              <w:rPr>
                <w:rFonts w:ascii="Aptos" w:hAnsi="Aptos"/>
                <w:b w:val="0"/>
                <w:color w:val="1E2329"/>
                <w:sz w:val="15"/>
              </w:rPr>
              <w:t>A1/A2</w:t>
            </w:r>
          </w:p>
        </w:tc>
        <w:tc>
          <w:tcPr>
            <w:tcW w:type="dxa" w:w="3312"/>
            <w:vAlign w:val="center"/>
          </w:tcPr>
          <w:p>
            <w:r/>
            <w:r>
              <w:rPr>
                <w:rFonts w:ascii="Aptos" w:hAnsi="Aptos"/>
                <w:b w:val="0"/>
                <w:color w:val="1E2329"/>
                <w:sz w:val="15"/>
              </w:rPr>
              <w:t>Audit final + corrections</w:t>
            </w:r>
          </w:p>
        </w:tc>
        <w:tc>
          <w:tcPr>
            <w:tcW w:type="dxa" w:w="6336"/>
            <w:vAlign w:val="center"/>
          </w:tcPr>
          <w:p>
            <w:r/>
            <w:r>
              <w:rPr>
                <w:rFonts w:ascii="Aptos" w:hAnsi="Aptos"/>
                <w:b w:val="0"/>
                <w:color w:val="1E2329"/>
                <w:sz w:val="15"/>
              </w:rPr>
              <w:t>Sécurité, performance, Supabase, GitHub, scripts, CI/CD, régression.</w:t>
            </w:r>
          </w:p>
        </w:tc>
      </w:tr>
      <w:tr>
        <w:tc>
          <w:tcPr>
            <w:tcW w:type="dxa" w:w="720"/>
            <w:shd w:fill="F7F8F5"/>
            <w:vAlign w:val="center"/>
          </w:tcPr>
          <w:p>
            <w:r/>
            <w:r>
              <w:rPr>
                <w:rFonts w:ascii="Aptos" w:hAnsi="Aptos"/>
                <w:b w:val="0"/>
                <w:color w:val="1E2329"/>
                <w:sz w:val="15"/>
              </w:rPr>
              <w:t>FINAL</w:t>
            </w:r>
          </w:p>
        </w:tc>
        <w:tc>
          <w:tcPr>
            <w:tcW w:type="dxa" w:w="3312"/>
            <w:shd w:fill="F7F8F5"/>
            <w:vAlign w:val="center"/>
          </w:tcPr>
          <w:p>
            <w:r/>
            <w:r>
              <w:rPr>
                <w:rFonts w:ascii="Aptos" w:hAnsi="Aptos"/>
                <w:b w:val="0"/>
                <w:color w:val="1E2329"/>
                <w:sz w:val="15"/>
              </w:rPr>
              <w:t>Cutover définitif</w:t>
            </w:r>
          </w:p>
        </w:tc>
        <w:tc>
          <w:tcPr>
            <w:tcW w:type="dxa" w:w="6336"/>
            <w:shd w:fill="F7F8F5"/>
            <w:vAlign w:val="center"/>
          </w:tcPr>
          <w:p>
            <w:r/>
            <w:r>
              <w:rPr>
                <w:rFonts w:ascii="Aptos" w:hAnsi="Aptos"/>
                <w:b w:val="0"/>
                <w:color w:val="1E2329"/>
                <w:sz w:val="15"/>
              </w:rPr>
              <w:t>Purge pilote, comptes réels, dernier Sheet, import, réconciliation, bascule.</w:t>
            </w:r>
          </w:p>
        </w:tc>
      </w:tr>
    </w:tbl>
    <w:p>
      <w:pPr>
        <w:spacing w:after="40"/>
      </w:pPr>
    </w:p>
    <w:p>
      <w:pPr>
        <w:pStyle w:val="Heading1"/>
      </w:pPr>
      <w:r>
        <w:t>4. R0 — Master Scope final V2</w:t>
      </w:r>
    </w:p>
    <w:tbl>
      <w:tblPr>
        <w:tblW w:type="auto" w:w="0"/>
        <w:jc w:val="left"/>
        <w:tblLayout w:type="autofit"/>
        <w:tblLook w:firstColumn="1" w:firstRow="1" w:lastColumn="0" w:lastRow="0" w:noHBand="0" w:noVBand="1" w:val="04A0"/>
      </w:tblPr>
      <w:tblGrid>
        <w:gridCol w:w="10224"/>
      </w:tblGrid>
      <w:tr>
        <w:tc>
          <w:tcPr>
            <w:tcW w:type="dxa" w:w="10224"/>
            <w:shd w:fill="C89B3C"/>
            <w:vAlign w:val="center"/>
          </w:tcPr>
          <w:p>
            <w:r/>
            <w:r>
              <w:rPr>
                <w:rFonts w:ascii="Aptos" w:hAnsi="Aptos"/>
                <w:b/>
                <w:color w:val="1E2329"/>
                <w:sz w:val="18"/>
              </w:rPr>
              <w:t>À FAIRE AVANT DE CONSIDÉRER LE FONCTIONNEL COMPLET</w:t>
            </w:r>
          </w:p>
        </w:tc>
      </w:tr>
    </w:tbl>
    <w:p>
      <w:pPr>
        <w:spacing w:after="40"/>
      </w:pPr>
    </w:p>
    <w:p>
      <w:r>
        <w:t>Codex doit maintenir un inventaire maître de toutes les fonctions, avec un statut unique : COUVERTE / PARTIELLE / ABSENTE / À ÉTENDRE / À ARBITRER / POST-V1. Ce scope doit être comparé au code réel, à l’audit UI/UX et aux fonctions du Google Sheet encore utiles. Aucun besoin ne doit être déclaré absent ou couvert sur la seule base de son nom.</w:t>
      </w:r>
    </w:p>
    <w:p>
      <w:pPr>
        <w:pStyle w:val="ListBullet"/>
        <w:spacing w:after="40"/>
      </w:pPr>
      <w:r>
        <w:t>Recroiser les fonctions existantes avec le Google Sheet et l’explication du Sheet.</w:t>
      </w:r>
    </w:p>
    <w:p>
      <w:pPr>
        <w:pStyle w:val="ListBullet"/>
        <w:spacing w:after="40"/>
      </w:pPr>
      <w:r>
        <w:t>Identifier les fonctions du Sheet non encore reproduites et décider : reprendre, transformer ou abandonner explicitement.</w:t>
      </w:r>
    </w:p>
    <w:p>
      <w:pPr>
        <w:pStyle w:val="ListBullet"/>
        <w:spacing w:after="40"/>
      </w:pPr>
      <w:r>
        <w:t>Relier chaque besoin à ses écrans, routes, providers, tables/RPC et tests existants.</w:t>
      </w:r>
    </w:p>
    <w:p>
      <w:pPr>
        <w:pStyle w:val="ListBullet"/>
        <w:spacing w:after="40"/>
      </w:pPr>
      <w:r>
        <w:t>Documenter les dépendances et l’ordre d’implémentation.</w:t>
      </w:r>
    </w:p>
    <w:p>
      <w:pPr>
        <w:pStyle w:val="ListBullet"/>
        <w:spacing w:after="40"/>
      </w:pPr>
      <w:r>
        <w:t>Mettre à jour le scope après chaque lot sans réécrire l’historique.</w:t>
      </w:r>
    </w:p>
    <w:p>
      <w:pPr>
        <w:pStyle w:val="Heading1"/>
      </w:pPr>
      <w:r>
        <w:t>5. R1 — UI/UX évolutive pendant les développements restants</w:t>
      </w:r>
    </w:p>
    <w:p>
      <w:r>
        <w:t>La refonte ne doit plus attendre la toute fin. Les surfaces existantes peuvent être améliorées progressivement et toute nouvelle fonctionnalité doit naître directement dans le Design System FINANCIEL PILOTE. Une passe finale globale restera néanmoins obligatoire après le gel fonctionnel.</w:t>
      </w:r>
    </w:p>
    <w:p>
      <w:pPr>
        <w:pStyle w:val="ListBullet"/>
        <w:spacing w:after="40"/>
      </w:pPr>
      <w:r>
        <w:t>Conserver l’identité visuelle validée et le logo officiel ; centraliser les tokens et composants.</w:t>
      </w:r>
    </w:p>
    <w:p>
      <w:pPr>
        <w:pStyle w:val="ListBullet"/>
        <w:spacing w:after="40"/>
      </w:pPr>
      <w:r>
        <w:t>Différencier visuellement les familles d’écrans au lieu d’appliquer un modèle uniforme de cartes.</w:t>
      </w:r>
    </w:p>
    <w:p>
      <w:pPr>
        <w:pStyle w:val="ListBullet"/>
        <w:spacing w:after="40"/>
      </w:pPr>
      <w:r>
        <w:t>Exploiter réellement la largeur sur Windows/Web ; adapter navigation, densité, tableaux et formulaires.</w:t>
      </w:r>
    </w:p>
    <w:p>
      <w:pPr>
        <w:pStyle w:val="ListBullet"/>
        <w:spacing w:after="40"/>
      </w:pPr>
      <w:r>
        <w:t>Mobile : interactions tactiles, bottom sheets lorsque pertinentes, scroll sûr, safe areas et clavier.</w:t>
      </w:r>
    </w:p>
    <w:p>
      <w:pPr>
        <w:pStyle w:val="ListBullet"/>
        <w:spacing w:after="40"/>
      </w:pPr>
      <w:r>
        <w:t>Uniformiser les formats MAD, pourcentages, dates, périodes, négatifs et statuts.</w:t>
      </w:r>
    </w:p>
    <w:p>
      <w:pPr>
        <w:pStyle w:val="ListBullet"/>
        <w:spacing w:after="40"/>
      </w:pPr>
      <w:r>
        <w:t>Concevoir les états loading, empty, error, success et les écrans sans données comme de vrais parcours.</w:t>
      </w:r>
    </w:p>
    <w:p>
      <w:pPr>
        <w:pStyle w:val="ListBullet"/>
        <w:spacing w:after="40"/>
      </w:pPr>
      <w:r>
        <w:t>Éviter l’exposition inutile de terminologie technique ; conserver la terminologie métier lorsqu’elle est utile.</w:t>
      </w:r>
    </w:p>
    <w:p>
      <w:pPr>
        <w:pStyle w:val="ListBullet"/>
        <w:spacing w:after="40"/>
      </w:pPr>
      <w:r>
        <w:t>Aucune surface n’est déclarée visuellement finale sur la seule base des tests automatisés : validation humaine par captures obligatoire.</w:t>
      </w:r>
    </w:p>
    <w:p>
      <w:pPr>
        <w:pStyle w:val="Heading1"/>
      </w:pPr>
      <w:r>
        <w:t>6. R2 — Cycle mensuel, fiabilité et régularisation</w:t>
      </w:r>
    </w:p>
    <w:tbl>
      <w:tblPr>
        <w:tblW w:type="auto" w:w="0"/>
        <w:jc w:val="left"/>
        <w:tblLayout w:type="autofit"/>
        <w:tblLook w:firstColumn="1" w:firstRow="1" w:lastColumn="0" w:lastRow="0" w:noHBand="0" w:noVBand="1" w:val="04A0"/>
      </w:tblPr>
      <w:tblGrid>
        <w:gridCol w:w="10224"/>
      </w:tblGrid>
      <w:tr>
        <w:tc>
          <w:tcPr>
            <w:tcW w:type="dxa" w:w="10224"/>
            <w:shd w:fill="A33A3A"/>
            <w:vAlign w:val="center"/>
          </w:tcPr>
          <w:p>
            <w:r/>
            <w:r>
              <w:rPr>
                <w:rFonts w:ascii="Aptos" w:hAnsi="Aptos"/>
                <w:b/>
                <w:color w:val="FFFFFF"/>
                <w:sz w:val="18"/>
              </w:rPr>
              <w:t>PRIORITÉ FONCTIONNELLE N°1</w:t>
            </w:r>
          </w:p>
        </w:tc>
      </w:tr>
    </w:tbl>
    <w:p>
      <w:pPr>
        <w:spacing w:after="40"/>
      </w:pPr>
    </w:p>
    <w:p>
      <w:pPr>
        <w:pStyle w:val="Heading2"/>
      </w:pPr>
      <w:r>
        <w:t>6.1 Clôture mensuelle guidée</w:t>
      </w:r>
    </w:p>
    <w:p>
      <w:pPr>
        <w:pStyle w:val="ListBullet"/>
        <w:spacing w:after="40"/>
      </w:pPr>
      <w:r>
        <w:t>Checklist : saisies terminées, comptes rapprochés, espèces comptées, écarts traités, justificatifs contrôlés, compensations réglées, virements/retraits proposés puis réalisés.</w:t>
      </w:r>
    </w:p>
    <w:p>
      <w:pPr>
        <w:pStyle w:val="ListBullet"/>
        <w:spacing w:after="40"/>
      </w:pPr>
      <w:r>
        <w:t>Statut de fiabilité du mois et blocage explicable de la clôture lorsqu’un prérequis manque.</w:t>
      </w:r>
    </w:p>
    <w:p>
      <w:pPr>
        <w:pStyle w:val="ListBullet"/>
        <w:spacing w:after="40"/>
      </w:pPr>
      <w:r>
        <w:t>Clôture horodatée avec acteur ; réouverture contrôlée avec motif et historique/audit.</w:t>
      </w:r>
    </w:p>
    <w:p>
      <w:pPr>
        <w:pStyle w:val="ListBullet"/>
        <w:spacing w:after="40"/>
      </w:pPr>
      <w:r>
        <w:t>Respect de l’append-only : aucune réécriture sauvage des FinancialEvents ou du Grand Ledger.</w:t>
      </w:r>
    </w:p>
    <w:p>
      <w:pPr>
        <w:pStyle w:val="ListBullet"/>
        <w:spacing w:after="40"/>
      </w:pPr>
      <w:r>
        <w:t>Génération possible du rapport de clôture et transition vers la préparation du mois suivant.</w:t>
      </w:r>
    </w:p>
    <w:p>
      <w:pPr>
        <w:pStyle w:val="Heading2"/>
      </w:pPr>
      <w:r>
        <w:t>6.2 Centre « À faire » financier</w:t>
      </w:r>
    </w:p>
    <w:p>
      <w:pPr>
        <w:pStyle w:val="ListBullet"/>
        <w:spacing w:after="40"/>
      </w:pPr>
      <w:r>
        <w:t>Centraliser : opérations à rapprocher, inventaires à faire, écarts à traiter, confirmations de virements, justificatifs manquants, échéances, compensations et mois à clôturer.</w:t>
      </w:r>
    </w:p>
    <w:p>
      <w:pPr>
        <w:pStyle w:val="ListBullet"/>
        <w:spacing w:after="40"/>
      </w:pPr>
      <w:r>
        <w:t>Le Dashboard devient actionnable : chaque alerte mène à l’action ou à l’écran concerné.</w:t>
      </w:r>
    </w:p>
    <w:p>
      <w:pPr>
        <w:pStyle w:val="ListBullet"/>
        <w:spacing w:after="40"/>
      </w:pPr>
      <w:r>
        <w:t>Priorité, échéance, responsable éventuel, statut et résolution traçable.</w:t>
      </w:r>
    </w:p>
    <w:p>
      <w:pPr>
        <w:pStyle w:val="Heading2"/>
      </w:pPr>
      <w:r>
        <w:t>6.3 Simulateur de régularisation fin de mois</w:t>
      </w:r>
    </w:p>
    <w:p>
      <w:pPr>
        <w:pStyle w:val="ListBullet"/>
        <w:spacing w:after="40"/>
      </w:pPr>
      <w:r>
        <w:t>Exécution uniquement après inventaire et fiabilisation des soldes théoriques/réels et traitement des écarts.</w:t>
      </w:r>
    </w:p>
    <w:p>
      <w:pPr>
        <w:pStyle w:val="ListBullet"/>
        <w:spacing w:after="40"/>
      </w:pPr>
      <w:r>
        <w:t>Calculer la position cible par membre, puis permettre le détail par compte et par enveloppe.</w:t>
      </w:r>
    </w:p>
    <w:p>
      <w:pPr>
        <w:pStyle w:val="ListBullet"/>
        <w:spacing w:after="40"/>
      </w:pPr>
      <w:r>
        <w:t>Tenir compte des enveloppes liées à un compte, des exceptions réparties sur plusieurs comptes et des espèces.</w:t>
      </w:r>
    </w:p>
    <w:p>
      <w:pPr>
        <w:pStyle w:val="ListBullet"/>
        <w:spacing w:after="40"/>
      </w:pPr>
      <w:r>
        <w:t>Proposer un plan de virements/retraits qui minimise le nombre d’opérations, sans les exécuter automatiquement.</w:t>
      </w:r>
    </w:p>
    <w:p>
      <w:pPr>
        <w:pStyle w:val="ListBullet"/>
        <w:spacing w:after="40"/>
      </w:pPr>
      <w:r>
        <w:t>Après confirmation/réalisation, utiliser les mécanismes canoniques existants ; éviter toute double comptabilisation.</w:t>
      </w:r>
    </w:p>
    <w:p>
      <w:pPr>
        <w:pStyle w:val="Heading2"/>
      </w:pPr>
      <w:r>
        <w:t>6.4 KPI de qualité de gestion</w:t>
      </w:r>
    </w:p>
    <w:p>
      <w:pPr>
        <w:pStyle w:val="ListBullet"/>
        <w:spacing w:after="40"/>
      </w:pPr>
      <w:r>
        <w:t>Délai moyen de saisie par profil ; % saisi J+0/J+1/J+3 ; opérations en retard ; rappels nécessaires.</w:t>
      </w:r>
    </w:p>
    <w:p>
      <w:pPr>
        <w:pStyle w:val="ListBullet"/>
        <w:spacing w:after="40"/>
      </w:pPr>
      <w:r>
        <w:t>Taux et montant des écarts de rapprochement ; ancienneté des écarts ; taux de comptes rapprochés.</w:t>
      </w:r>
    </w:p>
    <w:p>
      <w:pPr>
        <w:pStyle w:val="ListBullet"/>
        <w:spacing w:after="40"/>
      </w:pPr>
      <w:r>
        <w:t>Qualité de clôture : contrôles terminés, anomalies ouvertes, délai de clôture.</w:t>
      </w:r>
    </w:p>
    <w:p>
      <w:pPr>
        <w:pStyle w:val="ListBullet"/>
        <w:spacing w:after="40"/>
      </w:pPr>
      <w:r>
        <w:t>Écarts par profil uniquement lorsqu’une attribution est démontrable par les données.</w:t>
      </w:r>
    </w:p>
    <w:p>
      <w:pPr>
        <w:pStyle w:val="ListBullet"/>
        <w:spacing w:after="40"/>
      </w:pPr>
      <w:r>
        <w:t>Espèces ou moyens partagés : écart « foyer/non attribué » par défaut si la responsabilité n’est pas traçable.</w:t>
      </w:r>
    </w:p>
    <w:p>
      <w:pPr>
        <w:pStyle w:val="ListBullet"/>
        <w:spacing w:after="40"/>
      </w:pPr>
      <w:r>
        <w:t>Ajouter des KPI de fiabilité, complétude des justificatifs, récurrence des anomalies et respect des échéances.</w:t>
      </w:r>
    </w:p>
    <w:p>
      <w:pPr>
        <w:pStyle w:val="Heading1"/>
      </w:pPr>
      <w:r>
        <w:t>7. R3 — Prévision, récurrence et automatisation</w:t>
      </w:r>
    </w:p>
    <w:p>
      <w:pPr>
        <w:pStyle w:val="Heading2"/>
      </w:pPr>
      <w:r>
        <w:t>7.1 Dépenses récurrentes et abonnements</w:t>
      </w:r>
    </w:p>
    <w:p>
      <w:pPr>
        <w:pStyle w:val="ListBullet"/>
        <w:spacing w:after="40"/>
      </w:pPr>
      <w:r>
        <w:t>Paramétrage ou détection assistée des mensualités, télécoms, assurances, abonnements, loyers et autres charges récurrentes.</w:t>
      </w:r>
    </w:p>
    <w:p>
      <w:pPr>
        <w:pStyle w:val="ListBullet"/>
        <w:spacing w:after="40"/>
      </w:pPr>
      <w:r>
        <w:t>Échéancier attendu et comparaison montant attendu / montant réel.</w:t>
      </w:r>
    </w:p>
    <w:p>
      <w:pPr>
        <w:pStyle w:val="ListBullet"/>
        <w:spacing w:after="40"/>
      </w:pPr>
      <w:r>
        <w:t>Aucune dépense réelle créée automatiquement sans confirmation explicite.</w:t>
      </w:r>
    </w:p>
    <w:p>
      <w:pPr>
        <w:pStyle w:val="ListBullet"/>
        <w:spacing w:after="40"/>
      </w:pPr>
      <w:r>
        <w:t>Alertes sur variation anormale, retard ou échéance.</w:t>
      </w:r>
    </w:p>
    <w:p>
      <w:pPr>
        <w:pStyle w:val="Heading2"/>
      </w:pPr>
      <w:r>
        <w:t>7.2 Projection de trésorerie</w:t>
      </w:r>
    </w:p>
    <w:p>
      <w:pPr>
        <w:pStyle w:val="ListBullet"/>
        <w:spacing w:after="40"/>
      </w:pPr>
      <w:r>
        <w:t>Projection J+30/J+90 et horizons pertinents à partir des revenus attendus, charges fixes, échéances, objectifs et engagements connus.</w:t>
      </w:r>
    </w:p>
    <w:p>
      <w:pPr>
        <w:pStyle w:val="ListBullet"/>
        <w:spacing w:after="40"/>
      </w:pPr>
      <w:r>
        <w:t>Séparation stricte réel / projeté / scénario.</w:t>
      </w:r>
    </w:p>
    <w:p>
      <w:pPr>
        <w:pStyle w:val="ListBullet"/>
        <w:spacing w:after="40"/>
      </w:pPr>
      <w:r>
        <w:t>Projection par foyer, membre, compte et enveloppe lorsque le niveau de détail est fiable.</w:t>
      </w:r>
    </w:p>
    <w:p>
      <w:pPr>
        <w:pStyle w:val="ListBullet"/>
        <w:spacing w:after="40"/>
      </w:pPr>
      <w:r>
        <w:t>Explication des hypothèses utilisées.</w:t>
      </w:r>
    </w:p>
    <w:p>
      <w:pPr>
        <w:pStyle w:val="Heading2"/>
      </w:pPr>
      <w:r>
        <w:t>7.3 Rappels et règles</w:t>
      </w:r>
    </w:p>
    <w:p>
      <w:pPr>
        <w:pStyle w:val="ListBullet"/>
        <w:spacing w:after="40"/>
      </w:pPr>
      <w:r>
        <w:t>Rappel quotidien configurable à 20h pour compléter les saisies.</w:t>
      </w:r>
    </w:p>
    <w:p>
      <w:pPr>
        <w:pStyle w:val="ListBullet"/>
        <w:spacing w:after="40"/>
      </w:pPr>
      <w:r>
        <w:t>Actions « Fait » / « Pas encore » ; si « Pas encore », reproposer après 15 minutes.</w:t>
      </w:r>
    </w:p>
    <w:p>
      <w:pPr>
        <w:pStyle w:val="ListBullet"/>
        <w:spacing w:after="40"/>
      </w:pPr>
      <w:r>
        <w:t>Pré-clôture automatique et rappels d’échéances.</w:t>
      </w:r>
    </w:p>
    <w:p>
      <w:pPr>
        <w:pStyle w:val="ListBullet"/>
        <w:spacing w:after="40"/>
      </w:pPr>
      <w:r>
        <w:t>Prévoir un centre de préférences de notifications par utilisateur.</w:t>
      </w:r>
    </w:p>
    <w:p>
      <w:pPr>
        <w:pStyle w:val="ListBullet"/>
        <w:spacing w:after="40"/>
      </w:pPr>
      <w:r>
        <w:t>La livraison native Android/iOS/Windows sera certifiée dans P1.</w:t>
      </w:r>
    </w:p>
    <w:p>
      <w:pPr>
        <w:pStyle w:val="Heading1"/>
      </w:pPr>
      <w:r>
        <w:t>8. R4 — Exports, reporting, emprunt et portabilité</w:t>
      </w:r>
    </w:p>
    <w:p>
      <w:pPr>
        <w:pStyle w:val="Heading2"/>
      </w:pPr>
      <w:r>
        <w:t>8.1 Conserver et enrichir les exports F7</w:t>
      </w:r>
    </w:p>
    <w:p>
      <w:pPr>
        <w:pStyle w:val="ListBullet"/>
        <w:spacing w:after="40"/>
      </w:pPr>
      <w:r>
        <w:t>Ne supprimer aucune extraction existante.</w:t>
      </w:r>
    </w:p>
    <w:p>
      <w:pPr>
        <w:pStyle w:val="ListBullet"/>
        <w:spacing w:after="40"/>
      </w:pPr>
      <w:r>
        <w:t>Ajouter un classeur Excel structuré : Solde enveloppes / Journal / Soldes cash (banques et espèces) / Situation dettes et créances.</w:t>
      </w:r>
    </w:p>
    <w:p>
      <w:pPr>
        <w:pStyle w:val="ListBullet"/>
        <w:spacing w:after="40"/>
      </w:pPr>
      <w:r>
        <w:t>Rapports PDF au choix : mensuel, trimestriel, semestriel, annuel.</w:t>
      </w:r>
    </w:p>
    <w:p>
      <w:pPr>
        <w:pStyle w:val="ListBullet"/>
        <w:spacing w:after="40"/>
      </w:pPr>
      <w:r>
        <w:t>Présentation PowerPoint prête à partager : synthèse, revenus/dépenses, enveloppes, épargne, patrimoine, dettes, objectifs, faits marquants et perspectives.</w:t>
      </w:r>
    </w:p>
    <w:p>
      <w:pPr>
        <w:pStyle w:val="ListBullet"/>
        <w:spacing w:after="40"/>
      </w:pPr>
      <w:r>
        <w:t>Tableau d’amortissement exportable.</w:t>
      </w:r>
    </w:p>
    <w:p>
      <w:pPr>
        <w:pStyle w:val="ListBullet"/>
        <w:spacing w:after="40"/>
      </w:pPr>
      <w:r>
        <w:t>Pack de clôture et bilan annuel N/N-1.</w:t>
      </w:r>
    </w:p>
    <w:p>
      <w:pPr>
        <w:pStyle w:val="ListBullet"/>
        <w:spacing w:after="40"/>
      </w:pPr>
      <w:r>
        <w:t>Échéancier global dettes/créances/financements, historique patrimoine et export fiscal logement lorsque pertinent.</w:t>
      </w:r>
    </w:p>
    <w:p>
      <w:pPr>
        <w:pStyle w:val="ListBullet"/>
        <w:spacing w:after="40"/>
      </w:pPr>
      <w:r>
        <w:t>Export de portabilité du foyer lisible et documenté ; étudier séparément la reconstruction/import de sauvegarde.</w:t>
      </w:r>
    </w:p>
    <w:p>
      <w:pPr>
        <w:pStyle w:val="Heading2"/>
      </w:pPr>
      <w:r>
        <w:t>8.2 Simulateur d’emprunt</w:t>
      </w:r>
    </w:p>
    <w:p>
      <w:pPr>
        <w:pStyle w:val="ListBullet"/>
        <w:spacing w:after="40"/>
      </w:pPr>
      <w:r>
        <w:t>Simulation soit par échéance cible, soit par taux/durée selon le comportement utile du Sheet.</w:t>
      </w:r>
    </w:p>
    <w:p>
      <w:pPr>
        <w:pStyle w:val="ListBullet"/>
        <w:spacing w:after="40"/>
      </w:pPr>
      <w:r>
        <w:t>Génération du tableau d’amortissement.</w:t>
      </w:r>
    </w:p>
    <w:p>
      <w:pPr>
        <w:pStyle w:val="ListBullet"/>
        <w:spacing w:after="40"/>
      </w:pPr>
      <w:r>
        <w:t>Remboursement anticipé et scénarios comparatifs.</w:t>
      </w:r>
    </w:p>
    <w:p>
      <w:pPr>
        <w:pStyle w:val="ListBullet"/>
        <w:spacing w:after="40"/>
      </w:pPr>
      <w:r>
        <w:t>Prise en compte paramétrable de l’impact IR selon les règles marocaines retenues et documentées ; séparer hypothèse, calcul et réel.</w:t>
      </w:r>
    </w:p>
    <w:p>
      <w:pPr>
        <w:pStyle w:val="ListBullet"/>
        <w:spacing w:after="40"/>
      </w:pPr>
      <w:r>
        <w:t>Réutiliser F5 sans dupliquer les moteurs de financement déjà canoniques.</w:t>
      </w:r>
    </w:p>
    <w:p>
      <w:pPr>
        <w:pStyle w:val="Heading2"/>
      </w:pPr>
      <w:r>
        <w:t>8.3 Bilan annuel du foyer</w:t>
      </w:r>
    </w:p>
    <w:p>
      <w:pPr>
        <w:pStyle w:val="ListBullet"/>
        <w:spacing w:after="40"/>
      </w:pPr>
      <w:r>
        <w:t>Revenus, dépenses, épargne, évolution patrimoine, dettes remboursées, objectifs atteints, principaux postes.</w:t>
      </w:r>
    </w:p>
    <w:p>
      <w:pPr>
        <w:pStyle w:val="ListBullet"/>
        <w:spacing w:after="40"/>
      </w:pPr>
      <w:r>
        <w:t>Comparaison N/N-1 et trajectoire de l’année suivante.</w:t>
      </w:r>
    </w:p>
    <w:p>
      <w:pPr>
        <w:pStyle w:val="ListBullet"/>
        <w:spacing w:after="40"/>
      </w:pPr>
      <w:r>
        <w:t>Vue lisible dans l’application + exports PDF/PPTX/XLSX cohérents.</w:t>
      </w:r>
    </w:p>
    <w:p>
      <w:pPr>
        <w:pStyle w:val="Heading1"/>
      </w:pPr>
      <w:r>
        <w:t>9. R5 — Expérience produit, onboarding et accès</w:t>
      </w:r>
    </w:p>
    <w:p>
      <w:pPr>
        <w:pStyle w:val="ListBullet"/>
        <w:spacing w:after="40"/>
      </w:pPr>
      <w:r>
        <w:t>Connexion : détecter et présenter clairement les invitations de foyer en attente.</w:t>
      </w:r>
    </w:p>
    <w:p>
      <w:pPr>
        <w:pStyle w:val="ListBullet"/>
        <w:spacing w:after="40"/>
      </w:pPr>
      <w:r>
        <w:t>Tutoriel de première utilisation : configuration guidée du foyer, progressive, non intrusive et skippable par module.</w:t>
      </w:r>
    </w:p>
    <w:p>
      <w:pPr>
        <w:pStyle w:val="ListBullet"/>
        <w:spacing w:after="40"/>
      </w:pPr>
      <w:r>
        <w:t>Centre Aide / Tutoriels / Mode d’emploi accessible à tout moment.</w:t>
      </w:r>
    </w:p>
    <w:p>
      <w:pPr>
        <w:pStyle w:val="ListBullet"/>
        <w:spacing w:after="40"/>
      </w:pPr>
      <w:r>
        <w:t>Internationalisation : français, arabe, darija et anglais ; prévoir RTL pour l’arabe, sans traductions hardcodées dispersées.</w:t>
      </w:r>
    </w:p>
    <w:p>
      <w:pPr>
        <w:pStyle w:val="ListBullet"/>
        <w:spacing w:after="40"/>
      </w:pPr>
      <w:r>
        <w:t>Landing page Web : présentation du service, téléchargement Windows/APK, connexion, inscription et parcours invitation foyer.</w:t>
      </w:r>
    </w:p>
    <w:p>
      <w:pPr>
        <w:pStyle w:val="ListBullet"/>
        <w:spacing w:after="40"/>
      </w:pPr>
      <w:r>
        <w:t>Recherche globale F7 à étendre en centre de commandes/actions rapides sur desktop et, si pertinent, mobile.</w:t>
      </w:r>
    </w:p>
    <w:p>
      <w:pPr>
        <w:pStyle w:val="ListBullet"/>
        <w:spacing w:after="40"/>
      </w:pPr>
      <w:r>
        <w:t>Accessibilité, navigation clavier desktop, tailles tactiles et lecteurs d’écran à contrôler.</w:t>
      </w:r>
    </w:p>
    <w:p>
      <w:pPr>
        <w:pStyle w:val="Heading1"/>
      </w:pPr>
      <w:r>
        <w:t>10. R6 — Modules complémentaires à cadrer</w:t>
      </w:r>
    </w:p>
    <w:p>
      <w:pPr>
        <w:pStyle w:val="Heading2"/>
      </w:pPr>
      <w:r>
        <w:t>10.1 Organisation ménage</w:t>
      </w:r>
    </w:p>
    <w:p>
      <w:r>
        <w:t>Comparer l’organisation/tâches/routines actuellement développée en F6 avec la logique réellement utilisée dans le Sheet. Compléter uniquement les écarts utiles : répartition, fréquence, responsable, historique, rappels, maintenance et vues calendrier.</w:t>
      </w:r>
    </w:p>
    <w:p>
      <w:pPr>
        <w:pStyle w:val="Heading2"/>
      </w:pPr>
      <w:r>
        <w:t>10.2 Suivi du cycle menstruel — CYCLE-01</w:t>
      </w:r>
    </w:p>
    <w:p>
      <w:pPr>
        <w:pStyle w:val="ListBullet"/>
        <w:spacing w:after="40"/>
      </w:pPr>
      <w:r>
        <w:t>Définir d’abord le propriétaire de la donnée, sa visibilité et sa confidentialité.</w:t>
      </w:r>
    </w:p>
    <w:p>
      <w:pPr>
        <w:pStyle w:val="ListBullet"/>
        <w:spacing w:after="40"/>
      </w:pPr>
      <w:r>
        <w:t>Décider si les données sont strictement personnelles ou partageables explicitement.</w:t>
      </w:r>
    </w:p>
    <w:p>
      <w:pPr>
        <w:pStyle w:val="ListBullet"/>
        <w:spacing w:after="40"/>
      </w:pPr>
      <w:r>
        <w:t>Calendrier, phases, symptômes/notes et rappels uniquement après arbitrage du périmètre.</w:t>
      </w:r>
    </w:p>
    <w:p>
      <w:pPr>
        <w:pStyle w:val="ListBullet"/>
        <w:spacing w:after="40"/>
      </w:pPr>
      <w:r>
        <w:t>Ne pas exposer ces données dans les KPI foyer, exports partagés ou IA sans consentement explicite.</w:t>
      </w:r>
    </w:p>
    <w:p>
      <w:pPr>
        <w:pStyle w:val="Heading2"/>
      </w:pPr>
      <w:r>
        <w:t>10.3 IA / conseils — AI-01</w:t>
      </w:r>
    </w:p>
    <w:p>
      <w:pPr>
        <w:pStyle w:val="ListBullet"/>
        <w:spacing w:after="40"/>
      </w:pPr>
      <w:r>
        <w:t>Aide à l’organisation du ménage, classement des PRIOS et suggestions d’achats selon disponibilité financière.</w:t>
      </w:r>
    </w:p>
    <w:p>
      <w:pPr>
        <w:pStyle w:val="ListBullet"/>
        <w:spacing w:after="40"/>
      </w:pPr>
      <w:r>
        <w:t>Explication du budget, détection d’anomalies, résumé mensuel et aide à la décision possibles.</w:t>
      </w:r>
    </w:p>
    <w:p>
      <w:pPr>
        <w:pStyle w:val="ListBullet"/>
        <w:spacing w:after="40"/>
      </w:pPr>
      <w:r>
        <w:t>Définir précisément les données accessibles, les garde-fous, la confidentialité et la différence conseil/décision.</w:t>
      </w:r>
    </w:p>
    <w:p>
      <w:pPr>
        <w:pStyle w:val="ListBullet"/>
        <w:spacing w:after="40"/>
      </w:pPr>
      <w:r>
        <w:t>L’IA ne doit jamais exécuter une opération financière réelle sans confirmation explicite.</w:t>
      </w:r>
    </w:p>
    <w:p>
      <w:pPr>
        <w:pStyle w:val="Heading2"/>
      </w:pPr>
      <w:r>
        <w:t>10.4 Autres fonctions du Sheet</w:t>
      </w:r>
    </w:p>
    <w:p>
      <w:r>
        <w:t>Aucune fonction du Sheet ne doit être reprise automatiquement. Le Master Scope V2 doit comparer chaque fonction restante au produit actuel, puis la classer : déjà couverte, à adapter, à remplacer par une meilleure mécanique ou à abandonner explicitement.</w:t>
      </w:r>
    </w:p>
    <w:p>
      <w:pPr>
        <w:pStyle w:val="Heading1"/>
      </w:pPr>
      <w:r>
        <w:t>11. R7 — Offline réel et confidentialité avancée</w:t>
      </w:r>
    </w:p>
    <w:p>
      <w:pPr>
        <w:pStyle w:val="Heading2"/>
      </w:pPr>
      <w:r>
        <w:t>11.1 Saisie offline</w:t>
      </w:r>
    </w:p>
    <w:p>
      <w:r>
        <w:t>F7 a renforcé la robustesse réseau, l’idempotence et la reprise après réponse perdue, mais cela ne constitue pas un moteur offline-first complet. La saisie réellement hors connexion reste un chantier distinct.</w:t>
      </w:r>
    </w:p>
    <w:p>
      <w:pPr>
        <w:pStyle w:val="ListBullet"/>
        <w:spacing w:after="40"/>
      </w:pPr>
      <w:r>
        <w:t>File locale chiffrée des mutations autorisées.</w:t>
      </w:r>
    </w:p>
    <w:p>
      <w:pPr>
        <w:pStyle w:val="ListBullet"/>
        <w:spacing w:after="40"/>
      </w:pPr>
      <w:r>
        <w:t>Identifiants d’idempotence stables et reprise de synchronisation.</w:t>
      </w:r>
    </w:p>
    <w:p>
      <w:pPr>
        <w:pStyle w:val="ListBullet"/>
        <w:spacing w:after="40"/>
      </w:pPr>
      <w:r>
        <w:t>Gestion des conflits et des versions ; aucune double écriture après reconnexion.</w:t>
      </w:r>
    </w:p>
    <w:p>
      <w:pPr>
        <w:pStyle w:val="ListBullet"/>
        <w:spacing w:after="40"/>
      </w:pPr>
      <w:r>
        <w:t>UX explicite : hors ligne, en attente, synchronisé, erreur à résoudre.</w:t>
      </w:r>
    </w:p>
    <w:p>
      <w:pPr>
        <w:pStyle w:val="ListBullet"/>
        <w:spacing w:after="40"/>
      </w:pPr>
      <w:r>
        <w:t>Limiter au départ les opérations offline aux flux dont les règles de conflit sont maîtrisables.</w:t>
      </w:r>
    </w:p>
    <w:p>
      <w:pPr>
        <w:pStyle w:val="Heading2"/>
      </w:pPr>
      <w:r>
        <w:t>11.2 Confidentialité fine par donnée/module</w:t>
      </w:r>
    </w:p>
    <w:p>
      <w:r>
        <w:t>Option utile si le foyer dépasse le couple, mais très structurante. Elle ne doit être développée qu’après conception du modèle d’autorisation, car elle touche RLS, providers, exports, recherche, notifications et historique.</w:t>
      </w:r>
    </w:p>
    <w:p>
      <w:pPr>
        <w:pStyle w:val="ListBullet"/>
        <w:spacing w:after="40"/>
      </w:pPr>
      <w:r>
        <w:t>Niveaux possibles à étudier : personnel / foyer / rôles autorisés.</w:t>
      </w:r>
    </w:p>
    <w:p>
      <w:pPr>
        <w:pStyle w:val="ListBullet"/>
        <w:spacing w:after="40"/>
      </w:pPr>
      <w:r>
        <w:t>Compatibilité avec historique, obligations, budget partagé et audit.</w:t>
      </w:r>
    </w:p>
    <w:p>
      <w:pPr>
        <w:pStyle w:val="ListBullet"/>
        <w:spacing w:after="40"/>
      </w:pPr>
      <w:r>
        <w:t>Aucune sécurité uniquement côté UI : enforcement serveur/RLS obligatoire.</w:t>
      </w:r>
    </w:p>
    <w:p>
      <w:pPr>
        <w:pStyle w:val="Heading1"/>
      </w:pPr>
      <w:r>
        <w:t>12. Fonctions additionnelles recommandées</w:t>
      </w:r>
    </w:p>
    <w:tbl>
      <w:tblPr>
        <w:tblStyle w:val="TableGrid"/>
        <w:tblW w:type="auto" w:w="0"/>
        <w:jc w:val="center"/>
        <w:tblLook w:firstColumn="1" w:firstRow="1" w:lastColumn="0" w:lastRow="0" w:noHBand="0" w:noVBand="1" w:val="04A0"/>
      </w:tblPr>
      <w:tblGrid>
        <w:gridCol w:w="3408"/>
        <w:gridCol w:w="3408"/>
        <w:gridCol w:w="3408"/>
      </w:tblGrid>
      <w:tr>
        <w:tc>
          <w:tcPr>
            <w:tcW w:type="dxa" w:w="2880"/>
            <w:shd w:fill="163A5F"/>
            <w:vAlign w:val="center"/>
          </w:tcPr>
          <w:p>
            <w:r/>
            <w:r>
              <w:rPr>
                <w:rFonts w:ascii="Aptos" w:hAnsi="Aptos"/>
                <w:b/>
                <w:color w:val="FFFFFF"/>
                <w:sz w:val="16"/>
              </w:rPr>
              <w:t>Fonction</w:t>
            </w:r>
          </w:p>
        </w:tc>
        <w:tc>
          <w:tcPr>
            <w:tcW w:type="dxa" w:w="4320"/>
            <w:shd w:fill="163A5F"/>
            <w:vAlign w:val="center"/>
          </w:tcPr>
          <w:p>
            <w:r/>
            <w:r>
              <w:rPr>
                <w:rFonts w:ascii="Aptos" w:hAnsi="Aptos"/>
                <w:b/>
                <w:color w:val="FFFFFF"/>
                <w:sz w:val="16"/>
              </w:rPr>
              <w:t>Valeur produit</w:t>
            </w:r>
          </w:p>
        </w:tc>
        <w:tc>
          <w:tcPr>
            <w:tcW w:type="dxa" w:w="2880"/>
            <w:shd w:fill="163A5F"/>
            <w:vAlign w:val="center"/>
          </w:tcPr>
          <w:p>
            <w:r/>
            <w:r>
              <w:rPr>
                <w:rFonts w:ascii="Aptos" w:hAnsi="Aptos"/>
                <w:b/>
                <w:color w:val="FFFFFF"/>
                <w:sz w:val="16"/>
              </w:rPr>
              <w:t>Décision proposée</w:t>
            </w:r>
          </w:p>
        </w:tc>
      </w:tr>
      <w:tr>
        <w:tc>
          <w:tcPr>
            <w:tcW w:type="dxa" w:w="2880"/>
            <w:vAlign w:val="center"/>
          </w:tcPr>
          <w:p>
            <w:r/>
            <w:r>
              <w:rPr>
                <w:rFonts w:ascii="Aptos" w:hAnsi="Aptos"/>
                <w:b w:val="0"/>
                <w:color w:val="1E2329"/>
                <w:sz w:val="15"/>
              </w:rPr>
              <w:t>Score de fiabilité du mois</w:t>
            </w:r>
          </w:p>
        </w:tc>
        <w:tc>
          <w:tcPr>
            <w:tcW w:type="dxa" w:w="4320"/>
            <w:vAlign w:val="center"/>
          </w:tcPr>
          <w:p>
            <w:r/>
            <w:r>
              <w:rPr>
                <w:rFonts w:ascii="Aptos" w:hAnsi="Aptos"/>
                <w:b w:val="0"/>
                <w:color w:val="1E2329"/>
                <w:sz w:val="15"/>
              </w:rPr>
              <w:t>Synthèse de complétude avant clôture</w:t>
            </w:r>
          </w:p>
        </w:tc>
        <w:tc>
          <w:tcPr>
            <w:tcW w:type="dxa" w:w="2880"/>
            <w:vAlign w:val="center"/>
          </w:tcPr>
          <w:p>
            <w:r/>
            <w:r>
              <w:rPr>
                <w:rFonts w:ascii="Aptos" w:hAnsi="Aptos"/>
                <w:b w:val="0"/>
                <w:color w:val="1E2329"/>
                <w:sz w:val="15"/>
              </w:rPr>
              <w:t>À intégrer à R2</w:t>
            </w:r>
          </w:p>
        </w:tc>
      </w:tr>
      <w:tr>
        <w:tc>
          <w:tcPr>
            <w:tcW w:type="dxa" w:w="2880"/>
            <w:shd w:fill="F7F8F5"/>
            <w:vAlign w:val="center"/>
          </w:tcPr>
          <w:p>
            <w:r/>
            <w:r>
              <w:rPr>
                <w:rFonts w:ascii="Aptos" w:hAnsi="Aptos"/>
                <w:b w:val="0"/>
                <w:color w:val="1E2329"/>
                <w:sz w:val="15"/>
              </w:rPr>
              <w:t>Pré-clôture automatique</w:t>
            </w:r>
          </w:p>
        </w:tc>
        <w:tc>
          <w:tcPr>
            <w:tcW w:type="dxa" w:w="4320"/>
            <w:shd w:fill="F7F8F5"/>
            <w:vAlign w:val="center"/>
          </w:tcPr>
          <w:p>
            <w:r/>
            <w:r>
              <w:rPr>
                <w:rFonts w:ascii="Aptos" w:hAnsi="Aptos"/>
                <w:b w:val="0"/>
                <w:color w:val="1E2329"/>
                <w:sz w:val="15"/>
              </w:rPr>
              <w:t>Liste dynamique de ce qui bloque la clôture</w:t>
            </w:r>
          </w:p>
        </w:tc>
        <w:tc>
          <w:tcPr>
            <w:tcW w:type="dxa" w:w="2880"/>
            <w:shd w:fill="F7F8F5"/>
            <w:vAlign w:val="center"/>
          </w:tcPr>
          <w:p>
            <w:r/>
            <w:r>
              <w:rPr>
                <w:rFonts w:ascii="Aptos" w:hAnsi="Aptos"/>
                <w:b w:val="0"/>
                <w:color w:val="1E2329"/>
                <w:sz w:val="15"/>
              </w:rPr>
              <w:t>À intégrer à R2</w:t>
            </w:r>
          </w:p>
        </w:tc>
      </w:tr>
      <w:tr>
        <w:tc>
          <w:tcPr>
            <w:tcW w:type="dxa" w:w="2880"/>
            <w:vAlign w:val="center"/>
          </w:tcPr>
          <w:p>
            <w:r/>
            <w:r>
              <w:rPr>
                <w:rFonts w:ascii="Aptos" w:hAnsi="Aptos"/>
                <w:b w:val="0"/>
                <w:color w:val="1E2329"/>
                <w:sz w:val="15"/>
              </w:rPr>
              <w:t>Prévu → réel → expliqué</w:t>
            </w:r>
          </w:p>
        </w:tc>
        <w:tc>
          <w:tcPr>
            <w:tcW w:type="dxa" w:w="4320"/>
            <w:vAlign w:val="center"/>
          </w:tcPr>
          <w:p>
            <w:r/>
            <w:r>
              <w:rPr>
                <w:rFonts w:ascii="Aptos" w:hAnsi="Aptos"/>
                <w:b w:val="0"/>
                <w:color w:val="1E2329"/>
                <w:sz w:val="15"/>
              </w:rPr>
              <w:t>Distingue anomalie et décision consciente</w:t>
            </w:r>
          </w:p>
        </w:tc>
        <w:tc>
          <w:tcPr>
            <w:tcW w:type="dxa" w:w="2880"/>
            <w:vAlign w:val="center"/>
          </w:tcPr>
          <w:p>
            <w:r/>
            <w:r>
              <w:rPr>
                <w:rFonts w:ascii="Aptos" w:hAnsi="Aptos"/>
                <w:b w:val="0"/>
                <w:color w:val="1E2329"/>
                <w:sz w:val="15"/>
              </w:rPr>
              <w:t>À intégrer Budget/Reporting</w:t>
            </w:r>
          </w:p>
        </w:tc>
      </w:tr>
      <w:tr>
        <w:tc>
          <w:tcPr>
            <w:tcW w:type="dxa" w:w="2880"/>
            <w:shd w:fill="F7F8F5"/>
            <w:vAlign w:val="center"/>
          </w:tcPr>
          <w:p>
            <w:r/>
            <w:r>
              <w:rPr>
                <w:rFonts w:ascii="Aptos" w:hAnsi="Aptos"/>
                <w:b w:val="0"/>
                <w:color w:val="1E2329"/>
                <w:sz w:val="15"/>
              </w:rPr>
              <w:t>Timeline financière du foyer</w:t>
            </w:r>
          </w:p>
        </w:tc>
        <w:tc>
          <w:tcPr>
            <w:tcW w:type="dxa" w:w="4320"/>
            <w:shd w:fill="F7F8F5"/>
            <w:vAlign w:val="center"/>
          </w:tcPr>
          <w:p>
            <w:r/>
            <w:r>
              <w:rPr>
                <w:rFonts w:ascii="Aptos" w:hAnsi="Aptos"/>
                <w:b w:val="0"/>
                <w:color w:val="1E2329"/>
                <w:sz w:val="15"/>
              </w:rPr>
              <w:t>Vue des événements significatifs, pas de toutes les lignes</w:t>
            </w:r>
          </w:p>
        </w:tc>
        <w:tc>
          <w:tcPr>
            <w:tcW w:type="dxa" w:w="2880"/>
            <w:shd w:fill="F7F8F5"/>
            <w:vAlign w:val="center"/>
          </w:tcPr>
          <w:p>
            <w:r/>
            <w:r>
              <w:rPr>
                <w:rFonts w:ascii="Aptos" w:hAnsi="Aptos"/>
                <w:b w:val="0"/>
                <w:color w:val="1E2329"/>
                <w:sz w:val="15"/>
              </w:rPr>
              <w:t>À étudier après R2</w:t>
            </w:r>
          </w:p>
        </w:tc>
      </w:tr>
      <w:tr>
        <w:tc>
          <w:tcPr>
            <w:tcW w:type="dxa" w:w="2880"/>
            <w:vAlign w:val="center"/>
          </w:tcPr>
          <w:p>
            <w:r/>
            <w:r>
              <w:rPr>
                <w:rFonts w:ascii="Aptos" w:hAnsi="Aptos"/>
                <w:b w:val="0"/>
                <w:color w:val="1E2329"/>
                <w:sz w:val="15"/>
              </w:rPr>
              <w:t>Centre de règles/automatisations</w:t>
            </w:r>
          </w:p>
        </w:tc>
        <w:tc>
          <w:tcPr>
            <w:tcW w:type="dxa" w:w="4320"/>
            <w:vAlign w:val="center"/>
          </w:tcPr>
          <w:p>
            <w:r/>
            <w:r>
              <w:rPr>
                <w:rFonts w:ascii="Aptos" w:hAnsi="Aptos"/>
                <w:b w:val="0"/>
                <w:color w:val="1E2329"/>
                <w:sz w:val="15"/>
              </w:rPr>
              <w:t>Unifie rappels, échéances, pré-clôture et alertes</w:t>
            </w:r>
          </w:p>
        </w:tc>
        <w:tc>
          <w:tcPr>
            <w:tcW w:type="dxa" w:w="2880"/>
            <w:vAlign w:val="center"/>
          </w:tcPr>
          <w:p>
            <w:r/>
            <w:r>
              <w:rPr>
                <w:rFonts w:ascii="Aptos" w:hAnsi="Aptos"/>
                <w:b w:val="0"/>
                <w:color w:val="1E2329"/>
                <w:sz w:val="15"/>
              </w:rPr>
              <w:t>Architecture légère en R3</w:t>
            </w:r>
          </w:p>
        </w:tc>
      </w:tr>
      <w:tr>
        <w:tc>
          <w:tcPr>
            <w:tcW w:type="dxa" w:w="2880"/>
            <w:shd w:fill="F7F8F5"/>
            <w:vAlign w:val="center"/>
          </w:tcPr>
          <w:p>
            <w:r/>
            <w:r>
              <w:rPr>
                <w:rFonts w:ascii="Aptos" w:hAnsi="Aptos"/>
                <w:b w:val="0"/>
                <w:color w:val="1E2329"/>
                <w:sz w:val="15"/>
              </w:rPr>
              <w:t>Santé des justificatifs</w:t>
            </w:r>
          </w:p>
        </w:tc>
        <w:tc>
          <w:tcPr>
            <w:tcW w:type="dxa" w:w="4320"/>
            <w:shd w:fill="F7F8F5"/>
            <w:vAlign w:val="center"/>
          </w:tcPr>
          <w:p>
            <w:r/>
            <w:r>
              <w:rPr>
                <w:rFonts w:ascii="Aptos" w:hAnsi="Aptos"/>
                <w:b w:val="0"/>
                <w:color w:val="1E2329"/>
                <w:sz w:val="15"/>
              </w:rPr>
              <w:t>Mesure pièces manquantes et ancienneté</w:t>
            </w:r>
          </w:p>
        </w:tc>
        <w:tc>
          <w:tcPr>
            <w:tcW w:type="dxa" w:w="2880"/>
            <w:shd w:fill="F7F8F5"/>
            <w:vAlign w:val="center"/>
          </w:tcPr>
          <w:p>
            <w:r/>
            <w:r>
              <w:rPr>
                <w:rFonts w:ascii="Aptos" w:hAnsi="Aptos"/>
                <w:b w:val="0"/>
                <w:color w:val="1E2329"/>
                <w:sz w:val="15"/>
              </w:rPr>
              <w:t>KPI R2</w:t>
            </w:r>
          </w:p>
        </w:tc>
      </w:tr>
    </w:tbl>
    <w:p>
      <w:pPr>
        <w:spacing w:after="40"/>
      </w:pPr>
    </w:p>
    <w:p>
      <w:pPr>
        <w:pStyle w:val="Heading1"/>
      </w:pPr>
      <w:r>
        <w:t>13. Gel fonctionnel et certification UI finale</w:t>
      </w:r>
    </w:p>
    <w:tbl>
      <w:tblPr>
        <w:tblW w:type="auto" w:w="0"/>
        <w:jc w:val="left"/>
        <w:tblLayout w:type="autofit"/>
        <w:tblLook w:firstColumn="1" w:firstRow="1" w:lastColumn="0" w:lastRow="0" w:noHBand="0" w:noVBand="1" w:val="04A0"/>
      </w:tblPr>
      <w:tblGrid>
        <w:gridCol w:w="10224"/>
      </w:tblGrid>
      <w:tr>
        <w:tc>
          <w:tcPr>
            <w:tcW w:type="dxa" w:w="10224"/>
            <w:shd w:fill="163A5F"/>
            <w:vAlign w:val="center"/>
          </w:tcPr>
          <w:p>
            <w:r/>
            <w:r>
              <w:rPr>
                <w:rFonts w:ascii="Aptos" w:hAnsi="Aptos"/>
                <w:b/>
                <w:color w:val="FFFFFF"/>
                <w:sz w:val="18"/>
              </w:rPr>
              <w:t>À EXÉCUTER APRÈS LES LOTS FONCTIONNELS RETENUS</w:t>
            </w:r>
          </w:p>
        </w:tc>
      </w:tr>
    </w:tbl>
    <w:p>
      <w:pPr>
        <w:spacing w:after="40"/>
      </w:pPr>
    </w:p>
    <w:p>
      <w:pPr>
        <w:pStyle w:val="ListBullet"/>
        <w:spacing w:after="40"/>
      </w:pPr>
      <w:r>
        <w:t>Figer le Master Scope : aucune fonction obligatoire encore ABSENTE ou PARTIELLE.</w:t>
      </w:r>
    </w:p>
    <w:p>
      <w:pPr>
        <w:pStyle w:val="ListBullet"/>
        <w:spacing w:after="40"/>
      </w:pPr>
      <w:r>
        <w:t>Repasser toutes les surfaces existantes et nouvelles dans la matrice UI/UX.</w:t>
      </w:r>
    </w:p>
    <w:p>
      <w:pPr>
        <w:pStyle w:val="ListBullet"/>
        <w:spacing w:after="40"/>
      </w:pPr>
      <w:r>
        <w:t>Validation humaine par captures Windows 1920×1080, Web 1440×900 et mobile représentatif.</w:t>
      </w:r>
    </w:p>
    <w:p>
      <w:pPr>
        <w:pStyle w:val="ListBullet"/>
        <w:spacing w:after="40"/>
      </w:pPr>
      <w:r>
        <w:t>Contrôler états populated/empty/loading/error, dialogues, formulaires, navigation, 1/2/N membres et clair/sombre si retenu.</w:t>
      </w:r>
    </w:p>
    <w:p>
      <w:pPr>
        <w:pStyle w:val="ListBullet"/>
        <w:spacing w:after="40"/>
      </w:pPr>
      <w:r>
        <w:t>Vérifier l’exploitation de l’espace, la densité, les formats, la terminologie, l’accessibilité et la cohérence sans uniformiser artificiellement les écrans.</w:t>
      </w:r>
    </w:p>
    <w:p>
      <w:pPr>
        <w:pStyle w:val="ListBullet"/>
        <w:spacing w:after="40"/>
      </w:pPr>
      <w:r>
        <w:t>Ne pas déclarer D1 final PRÊT uniquement sur flutter analyze/tests/build.</w:t>
      </w:r>
    </w:p>
    <w:p>
      <w:pPr>
        <w:pStyle w:val="Heading1"/>
      </w:pPr>
      <w:r>
        <w:t>14. P1 — Certification plateformes et Auth réelle</w:t>
      </w:r>
    </w:p>
    <w:p>
      <w:pPr>
        <w:pStyle w:val="ListBullet"/>
        <w:spacing w:after="40"/>
      </w:pPr>
      <w:r>
        <w:t>Windows final : build, installation, Auth, fichiers, exports, notifications, Realtime, reprise réseau.</w:t>
      </w:r>
    </w:p>
    <w:p>
      <w:pPr>
        <w:pStyle w:val="ListBullet"/>
        <w:spacing w:after="40"/>
      </w:pPr>
      <w:r>
        <w:t>Web : responsive, navigateur, téléchargements, Auth redirects/deep links, session et landing page.</w:t>
      </w:r>
    </w:p>
    <w:p>
      <w:pPr>
        <w:pStyle w:val="ListBullet"/>
        <w:spacing w:after="40"/>
      </w:pPr>
      <w:r>
        <w:t>Android : SDK/build propre, APK, permissions, lifecycle, back, tactile, fichiers, notifications, Auth/deep links.</w:t>
      </w:r>
    </w:p>
    <w:p>
      <w:pPr>
        <w:pStyle w:val="ListBullet"/>
        <w:spacing w:after="40"/>
      </w:pPr>
      <w:r>
        <w:t>iOS : compatibilité maintenue ; build/tests réels sur environnement Apple si disponible.</w:t>
      </w:r>
    </w:p>
    <w:p>
      <w:pPr>
        <w:pStyle w:val="ListBullet"/>
        <w:spacing w:after="40"/>
      </w:pPr>
      <w:r>
        <w:t>Tester inscription, connexion, mot de passe oublié, invitation, acceptation, changement de foyer et rôles avec identités de recette dédiées.</w:t>
      </w:r>
    </w:p>
    <w:p>
      <w:pPr>
        <w:pStyle w:val="ListBullet"/>
        <w:spacing w:after="40"/>
      </w:pPr>
      <w:r>
        <w:t>Ne pas créer les comptes définitifs Ibrahim/Nora pour l’usage réel à cette étape si le cutover final n’est pas encore autorisé.</w:t>
      </w:r>
    </w:p>
    <w:p>
      <w:pPr>
        <w:pStyle w:val="Heading1"/>
      </w:pPr>
      <w:r>
        <w:t>15. A1/A2 — Audit final de production et corrections</w:t>
      </w:r>
    </w:p>
    <w:p>
      <w:r>
        <w:t>Audit exhaustif de l’écosystème, pas seulement du code Flutter.</w:t>
      </w:r>
    </w:p>
    <w:p>
      <w:pPr>
        <w:pStyle w:val="ListBullet"/>
        <w:spacing w:after="40"/>
      </w:pPr>
      <w:r>
        <w:t>Flutter : architecture, duplication, performance, pagination, erreurs, logs, accessibilité, secrets, dépendances.</w:t>
      </w:r>
    </w:p>
    <w:p>
      <w:pPr>
        <w:pStyle w:val="ListBullet"/>
        <w:spacing w:after="40"/>
      </w:pPr>
      <w:r>
        <w:t>Supabase : schéma, RLS, Auth, Storage, Edge Functions, RPC SECURITY DEFINER, migrations, indexes, policies, audit.</w:t>
      </w:r>
    </w:p>
    <w:p>
      <w:pPr>
        <w:pStyle w:val="ListBullet"/>
        <w:spacing w:after="40"/>
      </w:pPr>
      <w:r>
        <w:t>Git/GitHub : branches, protections, CI/CD, permissions, secrets, dépendances et sécurité.</w:t>
      </w:r>
    </w:p>
    <w:p>
      <w:pPr>
        <w:pStyle w:val="ListBullet"/>
        <w:spacing w:after="40"/>
      </w:pPr>
      <w:r>
        <w:t>PowerShell/scripts/outillage/build/deploy/configuration réseau et synchronisation.</w:t>
      </w:r>
    </w:p>
    <w:p>
      <w:pPr>
        <w:pStyle w:val="ListBullet"/>
        <w:spacing w:after="40"/>
      </w:pPr>
      <w:r>
        <w:t>Tests de sécurité cross-household, idempotence, reversals, historique, exports et données privées.</w:t>
      </w:r>
    </w:p>
    <w:p>
      <w:pPr>
        <w:pStyle w:val="ListBullet"/>
        <w:spacing w:after="40"/>
      </w:pPr>
      <w:r>
        <w:t>Correction de toutes les anomalies bloquantes/majeures, puis régression complète.</w:t>
      </w:r>
    </w:p>
    <w:p>
      <w:pPr>
        <w:pStyle w:val="ListBullet"/>
        <w:spacing w:after="40"/>
      </w:pPr>
      <w:r>
        <w:t>Aucun passage au cutover tant que l’audit final n’est pas accepté.</w:t>
      </w:r>
    </w:p>
    <w:p>
      <w:pPr>
        <w:pStyle w:val="Heading1"/>
      </w:pPr>
      <w:r>
        <w:t>16. FINAL — Passage pilote → utilisation réelle</w:t>
      </w:r>
    </w:p>
    <w:tbl>
      <w:tblPr>
        <w:tblW w:type="auto" w:w="0"/>
        <w:jc w:val="left"/>
        <w:tblLayout w:type="autofit"/>
        <w:tblLook w:firstColumn="1" w:firstRow="1" w:lastColumn="0" w:lastRow="0" w:noHBand="0" w:noVBand="1" w:val="04A0"/>
      </w:tblPr>
      <w:tblGrid>
        <w:gridCol w:w="10224"/>
      </w:tblGrid>
      <w:tr>
        <w:tc>
          <w:tcPr>
            <w:tcW w:type="dxa" w:w="10224"/>
            <w:shd w:fill="C89B3C"/>
            <w:vAlign w:val="center"/>
          </w:tcPr>
          <w:p>
            <w:r/>
            <w:r>
              <w:rPr>
                <w:rFonts w:ascii="Aptos" w:hAnsi="Aptos"/>
                <w:b/>
                <w:color w:val="1E2329"/>
                <w:sz w:val="18"/>
              </w:rPr>
              <w:t>UNIQUEMENT APRÈS FONCTIONNEL + UI + P1 + A1/A2</w:t>
            </w:r>
          </w:p>
        </w:tc>
      </w:tr>
    </w:tbl>
    <w:p>
      <w:pPr>
        <w:spacing w:after="40"/>
      </w:pPr>
    </w:p>
    <w:p>
      <w:pPr>
        <w:spacing w:after="40"/>
      </w:pPr>
      <w:r>
        <w:rPr>
          <w:b/>
        </w:rPr>
        <w:t xml:space="preserve">1. </w:t>
      </w:r>
      <w:r>
        <w:t>Sauvegarder les données et artefacts pilotes nécessaires à la traçabilité.</w:t>
      </w:r>
    </w:p>
    <w:p>
      <w:pPr>
        <w:spacing w:after="40"/>
      </w:pPr>
      <w:r>
        <w:rPr>
          <w:b/>
        </w:rPr>
        <w:t xml:space="preserve">2. </w:t>
      </w:r>
      <w:r>
        <w:t>Purger de manière contrôlée les données pilote/test retenues pour suppression.</w:t>
      </w:r>
    </w:p>
    <w:p>
      <w:pPr>
        <w:spacing w:after="40"/>
      </w:pPr>
      <w:r>
        <w:rPr>
          <w:b/>
        </w:rPr>
        <w:t xml:space="preserve">3. </w:t>
      </w:r>
      <w:r>
        <w:t>Créer les vrais comptes utilisateurs via les parcours réels de l’application et les vraies adresses e-mail.</w:t>
      </w:r>
    </w:p>
    <w:p>
      <w:pPr>
        <w:spacing w:after="40"/>
      </w:pPr>
      <w:r>
        <w:rPr>
          <w:b/>
        </w:rPr>
        <w:t xml:space="preserve">4. </w:t>
      </w:r>
      <w:r>
        <w:t>Créer/rejoindre le foyer définitif et valider rôles/invitations.</w:t>
      </w:r>
    </w:p>
    <w:p>
      <w:pPr>
        <w:spacing w:after="40"/>
      </w:pPr>
      <w:r>
        <w:rPr>
          <w:b/>
        </w:rPr>
        <w:t xml:space="preserve">5. </w:t>
      </w:r>
      <w:r>
        <w:t>Geler le Google Sheet vivant à la date de bascule.</w:t>
      </w:r>
    </w:p>
    <w:p>
      <w:pPr>
        <w:spacing w:after="40"/>
      </w:pPr>
      <w:r>
        <w:rPr>
          <w:b/>
        </w:rPr>
        <w:t xml:space="preserve">6. </w:t>
      </w:r>
      <w:r>
        <w:t>Produire le dernier snapshot et exécuter l’import/cutover définitif.</w:t>
      </w:r>
    </w:p>
    <w:p>
      <w:pPr>
        <w:spacing w:after="40"/>
      </w:pPr>
      <w:r>
        <w:rPr>
          <w:b/>
        </w:rPr>
        <w:t xml:space="preserve">7. </w:t>
      </w:r>
      <w:r>
        <w:t>Réconcilier comptes, espèces, enveloppes, dettes, créances, financements et historiques attendus.</w:t>
      </w:r>
    </w:p>
    <w:p>
      <w:pPr>
        <w:spacing w:after="40"/>
      </w:pPr>
      <w:r>
        <w:rPr>
          <w:b/>
        </w:rPr>
        <w:t xml:space="preserve">8. </w:t>
      </w:r>
      <w:r>
        <w:t>Configurer et valider le premier mois réel.</w:t>
      </w:r>
    </w:p>
    <w:p>
      <w:pPr>
        <w:spacing w:after="40"/>
      </w:pPr>
      <w:r>
        <w:rPr>
          <w:b/>
        </w:rPr>
        <w:t xml:space="preserve">9. </w:t>
      </w:r>
      <w:r>
        <w:t>Effectuer la recette finale avec données réelles.</w:t>
      </w:r>
    </w:p>
    <w:p>
      <w:pPr>
        <w:spacing w:after="40"/>
      </w:pPr>
      <w:r>
        <w:rPr>
          <w:b/>
        </w:rPr>
        <w:t xml:space="preserve">10. </w:t>
      </w:r>
      <w:r>
        <w:t>Arrêter officiellement la saisie opérationnelle dans le Google Sheet.</w:t>
      </w:r>
    </w:p>
    <w:p>
      <w:pPr>
        <w:pStyle w:val="Heading1"/>
      </w:pPr>
      <w:r>
        <w:t>17. Définition de « FINANCIEL PILOTE terminé »</w:t>
      </w:r>
    </w:p>
    <w:p>
      <w:r>
        <w:t>Le projet n’est considéré terminé que lorsque toutes les conditions suivantes sont satisfaites :</w:t>
      </w:r>
    </w:p>
    <w:p>
      <w:pPr>
        <w:pStyle w:val="ListBullet"/>
        <w:spacing w:after="40"/>
      </w:pPr>
      <w:r>
        <w:t>Master Scope final : aucune fonction obligatoire non traitée.</w:t>
      </w:r>
    </w:p>
    <w:p>
      <w:pPr>
        <w:pStyle w:val="ListBullet"/>
        <w:spacing w:after="40"/>
      </w:pPr>
      <w:r>
        <w:t>Tous les nouveaux modules utilisent les sources canoniques et le Design System.</w:t>
      </w:r>
    </w:p>
    <w:p>
      <w:pPr>
        <w:pStyle w:val="ListBullet"/>
        <w:spacing w:after="40"/>
      </w:pPr>
      <w:r>
        <w:t>UI/UX finale validée humainement sur l’ensemble des surfaces.</w:t>
      </w:r>
    </w:p>
    <w:p>
      <w:pPr>
        <w:pStyle w:val="ListBullet"/>
        <w:spacing w:after="40"/>
      </w:pPr>
      <w:r>
        <w:t>Windows, Web et Android certifiés ; iOS selon environnement disponible.</w:t>
      </w:r>
    </w:p>
    <w:p>
      <w:pPr>
        <w:pStyle w:val="ListBullet"/>
        <w:spacing w:after="40"/>
      </w:pPr>
      <w:r>
        <w:t>Audit technique/sécurité complet terminé et anomalies corrigées.</w:t>
      </w:r>
    </w:p>
    <w:p>
      <w:pPr>
        <w:pStyle w:val="ListBullet"/>
        <w:spacing w:after="40"/>
      </w:pPr>
      <w:r>
        <w:t>Régression complète réussie.</w:t>
      </w:r>
    </w:p>
    <w:p>
      <w:pPr>
        <w:pStyle w:val="ListBullet"/>
        <w:spacing w:after="40"/>
      </w:pPr>
      <w:r>
        <w:t>Données pilotes traitées conformément au plan de cutover.</w:t>
      </w:r>
    </w:p>
    <w:p>
      <w:pPr>
        <w:pStyle w:val="ListBullet"/>
        <w:spacing w:after="40"/>
      </w:pPr>
      <w:r>
        <w:t>Comptes réels créés via l’application.</w:t>
      </w:r>
    </w:p>
    <w:p>
      <w:pPr>
        <w:pStyle w:val="ListBullet"/>
        <w:spacing w:after="40"/>
      </w:pPr>
      <w:r>
        <w:t>Dernier Google Sheet importé et réconcilié.</w:t>
      </w:r>
    </w:p>
    <w:p>
      <w:pPr>
        <w:pStyle w:val="ListBullet"/>
        <w:spacing w:after="40"/>
      </w:pPr>
      <w:r>
        <w:t>Premier mois réel accepté et Google Sheet abandonné comme outil opérationnel.</w:t>
      </w:r>
    </w:p>
    <w:p>
      <w:pPr>
        <w:pStyle w:val="Heading1"/>
      </w:pPr>
      <w:r>
        <w:t>18. Règles d’exécution pour Codex</w:t>
      </w:r>
    </w:p>
    <w:p>
      <w:pPr>
        <w:pStyle w:val="ListBullet"/>
        <w:spacing w:after="40"/>
      </w:pPr>
      <w:r>
        <w:t>Avant chaque lot : lire cette roadmap, le Master Scope courant et les invariants du module concerné.</w:t>
      </w:r>
    </w:p>
    <w:p>
      <w:pPr>
        <w:pStyle w:val="ListBullet"/>
        <w:spacing w:after="40"/>
      </w:pPr>
      <w:r>
        <w:t>Ne jamais reconstruire un moteur déjà canonique sans preuve d’un manque fonctionnel.</w:t>
      </w:r>
    </w:p>
    <w:p>
      <w:pPr>
        <w:pStyle w:val="ListBullet"/>
        <w:spacing w:after="40"/>
      </w:pPr>
      <w:r>
        <w:t>Migrations additives ; ne jamais modifier une migration déjà appliquée.</w:t>
      </w:r>
    </w:p>
    <w:p>
      <w:pPr>
        <w:pStyle w:val="ListBullet"/>
        <w:spacing w:after="40"/>
      </w:pPr>
      <w:r>
        <w:t>Mutations financières atomiques, household-scoped, idempotentes et sécurisées côté serveur.</w:t>
      </w:r>
    </w:p>
    <w:p>
      <w:pPr>
        <w:pStyle w:val="ListBullet"/>
        <w:spacing w:after="40"/>
      </w:pPr>
      <w:r>
        <w:t>Pas de données fictives persistantes pour faciliter une démo UI.</w:t>
      </w:r>
    </w:p>
    <w:p>
      <w:pPr>
        <w:pStyle w:val="ListBullet"/>
        <w:spacing w:after="40"/>
      </w:pPr>
      <w:r>
        <w:t>Ne pas modifier C3/C4B sauf mission explicitement autorisée.</w:t>
      </w:r>
    </w:p>
    <w:p>
      <w:pPr>
        <w:pStyle w:val="ListBullet"/>
        <w:spacing w:after="40"/>
      </w:pPr>
      <w:r>
        <w:t>Après chaque lot : flutter analyze, tests pertinents, tests de non-régression, builds réellement disponibles et rapport des contrôles non exécutés.</w:t>
      </w:r>
    </w:p>
    <w:p>
      <w:pPr>
        <w:pStyle w:val="ListBullet"/>
        <w:spacing w:after="40"/>
      </w:pPr>
      <w:r>
        <w:t>Maintenir un journal de progression UI/UX et un tableau de progression fonctionnelle lié au Master Scope.</w:t>
      </w:r>
    </w:p>
    <w:p>
      <w:pPr>
        <w:pStyle w:val="ListBullet"/>
        <w:spacing w:after="40"/>
      </w:pPr>
      <w:r>
        <w:t>Commit/push uniquement lorsque le lot est cohérent et contrôlé ; rapporter le hash et la divergence.</w:t>
      </w:r>
    </w:p>
    <w:p>
      <w:pPr>
        <w:pStyle w:val="ListBullet"/>
        <w:spacing w:after="40"/>
      </w:pPr>
      <w:r>
        <w:t>Ne jamais annoncer PRÊT sur un contrôle non exécuté.</w:t>
      </w:r>
    </w:p>
    <w:p>
      <w:pPr>
        <w:pStyle w:val="Heading1"/>
      </w:pPr>
      <w:r>
        <w:t>19. Matrice de priorisation synthétique</w:t>
      </w:r>
    </w:p>
    <w:tbl>
      <w:tblPr>
        <w:tblStyle w:val="TableGrid"/>
        <w:tblW w:type="auto" w:w="0"/>
        <w:jc w:val="center"/>
        <w:tblLook w:firstColumn="1" w:firstRow="1" w:lastColumn="0" w:lastRow="0" w:noHBand="0" w:noVBand="1" w:val="04A0"/>
      </w:tblPr>
      <w:tblGrid>
        <w:gridCol w:w="5112"/>
        <w:gridCol w:w="5112"/>
      </w:tblGrid>
      <w:tr>
        <w:tc>
          <w:tcPr>
            <w:tcW w:type="dxa" w:w="2016"/>
            <w:shd w:fill="163A5F"/>
            <w:vAlign w:val="center"/>
          </w:tcPr>
          <w:p>
            <w:r/>
            <w:r>
              <w:rPr>
                <w:rFonts w:ascii="Aptos" w:hAnsi="Aptos"/>
                <w:b/>
                <w:color w:val="FFFFFF"/>
                <w:sz w:val="16"/>
              </w:rPr>
              <w:t>Priorité</w:t>
            </w:r>
          </w:p>
        </w:tc>
        <w:tc>
          <w:tcPr>
            <w:tcW w:type="dxa" w:w="8352"/>
            <w:shd w:fill="163A5F"/>
            <w:vAlign w:val="center"/>
          </w:tcPr>
          <w:p>
            <w:r/>
            <w:r>
              <w:rPr>
                <w:rFonts w:ascii="Aptos" w:hAnsi="Aptos"/>
                <w:b/>
                <w:color w:val="FFFFFF"/>
                <w:sz w:val="16"/>
              </w:rPr>
              <w:t>Fonctions</w:t>
            </w:r>
          </w:p>
        </w:tc>
      </w:tr>
      <w:tr>
        <w:tc>
          <w:tcPr>
            <w:tcW w:type="dxa" w:w="2016"/>
            <w:vAlign w:val="center"/>
          </w:tcPr>
          <w:p>
            <w:r/>
            <w:r>
              <w:rPr>
                <w:rFonts w:ascii="Aptos" w:hAnsi="Aptos"/>
                <w:b w:val="0"/>
                <w:color w:val="1E2329"/>
                <w:sz w:val="15"/>
              </w:rPr>
              <w:t>P0 — indispensable avant gel</w:t>
            </w:r>
          </w:p>
        </w:tc>
        <w:tc>
          <w:tcPr>
            <w:tcW w:type="dxa" w:w="8352"/>
            <w:vAlign w:val="center"/>
          </w:tcPr>
          <w:p>
            <w:r/>
            <w:r>
              <w:rPr>
                <w:rFonts w:ascii="Aptos" w:hAnsi="Aptos"/>
                <w:b w:val="0"/>
                <w:color w:val="1E2329"/>
                <w:sz w:val="15"/>
              </w:rPr>
              <w:t>Master Scope V2 ; clôture mensuelle ; centre À faire ; inventaire/écarts ; régularisation fin de mois ; offline si retenu comme exigence de lancement.</w:t>
            </w:r>
          </w:p>
        </w:tc>
      </w:tr>
      <w:tr>
        <w:tc>
          <w:tcPr>
            <w:tcW w:type="dxa" w:w="2016"/>
            <w:shd w:fill="F7F8F5"/>
            <w:vAlign w:val="center"/>
          </w:tcPr>
          <w:p>
            <w:r/>
            <w:r>
              <w:rPr>
                <w:rFonts w:ascii="Aptos" w:hAnsi="Aptos"/>
                <w:b w:val="0"/>
                <w:color w:val="1E2329"/>
                <w:sz w:val="15"/>
              </w:rPr>
              <w:t>P1 — forte valeur</w:t>
            </w:r>
          </w:p>
        </w:tc>
        <w:tc>
          <w:tcPr>
            <w:tcW w:type="dxa" w:w="8352"/>
            <w:shd w:fill="F7F8F5"/>
            <w:vAlign w:val="center"/>
          </w:tcPr>
          <w:p>
            <w:r/>
            <w:r>
              <w:rPr>
                <w:rFonts w:ascii="Aptos" w:hAnsi="Aptos"/>
                <w:b w:val="0"/>
                <w:color w:val="1E2329"/>
                <w:sz w:val="15"/>
              </w:rPr>
              <w:t>Récurrents ; projection trésorerie ; KPI qualité ; exports enrichis ; simulateur emprunt ; onboarding ; invitation à la connexion ; notifications/règles.</w:t>
            </w:r>
          </w:p>
        </w:tc>
      </w:tr>
      <w:tr>
        <w:tc>
          <w:tcPr>
            <w:tcW w:type="dxa" w:w="2016"/>
            <w:vAlign w:val="center"/>
          </w:tcPr>
          <w:p>
            <w:r/>
            <w:r>
              <w:rPr>
                <w:rFonts w:ascii="Aptos" w:hAnsi="Aptos"/>
                <w:b w:val="0"/>
                <w:color w:val="1E2329"/>
                <w:sz w:val="15"/>
              </w:rPr>
              <w:t>P2 — expérience complète</w:t>
            </w:r>
          </w:p>
        </w:tc>
        <w:tc>
          <w:tcPr>
            <w:tcW w:type="dxa" w:w="8352"/>
            <w:vAlign w:val="center"/>
          </w:tcPr>
          <w:p>
            <w:r/>
            <w:r>
              <w:rPr>
                <w:rFonts w:ascii="Aptos" w:hAnsi="Aptos"/>
                <w:b w:val="0"/>
                <w:color w:val="1E2329"/>
                <w:sz w:val="15"/>
              </w:rPr>
              <w:t>Multilingue ; aide/tutos ; landing page ; bilan annuel ; commandes rapides ; organisation ménage complétée ; portabilité/reconstruction.</w:t>
            </w:r>
          </w:p>
        </w:tc>
      </w:tr>
      <w:tr>
        <w:tc>
          <w:tcPr>
            <w:tcW w:type="dxa" w:w="2016"/>
            <w:shd w:fill="F7F8F5"/>
            <w:vAlign w:val="center"/>
          </w:tcPr>
          <w:p>
            <w:r/>
            <w:r>
              <w:rPr>
                <w:rFonts w:ascii="Aptos" w:hAnsi="Aptos"/>
                <w:b w:val="0"/>
                <w:color w:val="1E2329"/>
                <w:sz w:val="15"/>
              </w:rPr>
              <w:t>À arbitrer</w:t>
            </w:r>
          </w:p>
        </w:tc>
        <w:tc>
          <w:tcPr>
            <w:tcW w:type="dxa" w:w="8352"/>
            <w:shd w:fill="F7F8F5"/>
            <w:vAlign w:val="center"/>
          </w:tcPr>
          <w:p>
            <w:r/>
            <w:r>
              <w:rPr>
                <w:rFonts w:ascii="Aptos" w:hAnsi="Aptos"/>
                <w:b w:val="0"/>
                <w:color w:val="1E2329"/>
                <w:sz w:val="15"/>
              </w:rPr>
              <w:t>Cycle menstruel ; IA ; confidentialité fine ; timeline ; profondeur du moteur d’automatisation.</w:t>
            </w:r>
          </w:p>
        </w:tc>
      </w:tr>
      <w:tr>
        <w:tc>
          <w:tcPr>
            <w:tcW w:type="dxa" w:w="2016"/>
            <w:vAlign w:val="center"/>
          </w:tcPr>
          <w:p>
            <w:r/>
            <w:r>
              <w:rPr>
                <w:rFonts w:ascii="Aptos" w:hAnsi="Aptos"/>
                <w:b w:val="0"/>
                <w:color w:val="1E2329"/>
                <w:sz w:val="15"/>
              </w:rPr>
              <w:t>Finalisation</w:t>
            </w:r>
          </w:p>
        </w:tc>
        <w:tc>
          <w:tcPr>
            <w:tcW w:type="dxa" w:w="8352"/>
            <w:vAlign w:val="center"/>
          </w:tcPr>
          <w:p>
            <w:r/>
            <w:r>
              <w:rPr>
                <w:rFonts w:ascii="Aptos" w:hAnsi="Aptos"/>
                <w:b w:val="0"/>
                <w:color w:val="1E2329"/>
                <w:sz w:val="15"/>
              </w:rPr>
              <w:t>Gel fonctionnel → UI finale → P1 → A1/A2 → cutover.</w:t>
            </w:r>
          </w:p>
        </w:tc>
      </w:tr>
    </w:tbl>
    <w:p>
      <w:pPr>
        <w:spacing w:after="40"/>
      </w:pPr>
    </w:p>
    <w:p>
      <w:pPr>
        <w:pStyle w:val="Heading1"/>
      </w:pPr>
      <w:r>
        <w:t>20. Sources de cette version</w:t>
      </w:r>
    </w:p>
    <w:p>
      <w:r>
        <w:t>Cette roadmap consolide : (1) l’ancienne ROADMAP.md du projet, qui décrivait les premières phases Fondation/Import/Budget/Objectifs/Simulations ; (2) l’audit UI/UX au commit 6e0d553b96c29283c7f8d67129488fab17654b13, qui recense 74 surfaces ; (3) l’état de développement F1–F8 et D1/D1.1 communiqué dans le projet ; (4) les besoins fonctionnels complémentaires formalisés le 10/10/2026. En cas de contradiction avec l’ancienne ROADMAP.md, le présent document est la référence de pilotage.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F6F52"/>
        <w:sz w:val="16"/>
      </w:rPr>
      <w:t>FINANCIEL PILOTE — Roadmap Master V2 — 10/10/2026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E2329"/>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63A5F"/>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4F6F52"/>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63A5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63A5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