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876" w:rsidRPr="00D04876" w:rsidRDefault="00D04876" w:rsidP="00D04876">
      <w:pPr>
        <w:spacing w:line="240" w:lineRule="auto"/>
        <w:rPr>
          <w:b/>
          <w:sz w:val="24"/>
          <w:szCs w:val="24"/>
          <w:lang w:val="en-US"/>
        </w:rPr>
      </w:pPr>
      <w:r w:rsidRPr="00D04876">
        <w:rPr>
          <w:b/>
          <w:sz w:val="24"/>
          <w:szCs w:val="24"/>
          <w:lang w:val="en-US"/>
        </w:rPr>
        <w:t>Global distribution of material inflows to in-use stocks and i</w:t>
      </w:r>
      <w:bookmarkStart w:id="0" w:name="_GoBack"/>
      <w:bookmarkEnd w:id="0"/>
      <w:r w:rsidRPr="00D04876">
        <w:rPr>
          <w:b/>
          <w:sz w:val="24"/>
          <w:szCs w:val="24"/>
          <w:lang w:val="en-US"/>
        </w:rPr>
        <w:t>ts implication for a circularity transition</w:t>
      </w:r>
    </w:p>
    <w:p w:rsidR="00542A22" w:rsidRPr="00D04876" w:rsidRDefault="00542A22" w:rsidP="00727939">
      <w:pPr>
        <w:spacing w:line="240" w:lineRule="auto"/>
        <w:rPr>
          <w:lang w:val="es-CR"/>
        </w:rPr>
      </w:pPr>
      <w:r w:rsidRPr="00D04876">
        <w:rPr>
          <w:lang w:val="es-CR"/>
        </w:rPr>
        <w:t>Glenn A.</w:t>
      </w:r>
      <w:r w:rsidR="00D04876">
        <w:rPr>
          <w:lang w:val="es-CR"/>
        </w:rPr>
        <w:t xml:space="preserve"> Aguilar-Hernandez, </w:t>
      </w:r>
      <w:r w:rsidR="00D04876" w:rsidRPr="00D04876">
        <w:rPr>
          <w:lang w:val="es-CR"/>
        </w:rPr>
        <w:t>Sebastiaan Deetman</w:t>
      </w:r>
      <w:r w:rsidRPr="00D04876">
        <w:rPr>
          <w:lang w:val="es-CR"/>
        </w:rPr>
        <w:t>, João F.D. Rodrigues, Arnold Tukker</w:t>
      </w:r>
    </w:p>
    <w:p w:rsidR="00542A22" w:rsidRDefault="00D04876" w:rsidP="00727939">
      <w:pPr>
        <w:rPr>
          <w:b/>
          <w:i/>
        </w:rPr>
      </w:pPr>
      <w:r>
        <w:rPr>
          <w:b/>
          <w:i/>
          <w:lang w:val="en-US"/>
        </w:rPr>
        <w:t>Appendix</w:t>
      </w:r>
    </w:p>
    <w:sdt>
      <w:sdtPr>
        <w:rPr>
          <w:rFonts w:ascii="Calibri" w:eastAsia="Calibri" w:hAnsi="Calibri" w:cstheme="minorBidi"/>
          <w:b w:val="0"/>
          <w:bCs w:val="0"/>
          <w:color w:val="00000A"/>
          <w:sz w:val="22"/>
          <w:szCs w:val="22"/>
          <w:lang w:val="en-GB" w:eastAsia="en-US"/>
        </w:rPr>
        <w:id w:val="-8618970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2A22" w:rsidRDefault="00542A22" w:rsidP="00727939">
          <w:pPr>
            <w:pStyle w:val="TOCHeading"/>
          </w:pPr>
          <w:r>
            <w:t>Contents</w:t>
          </w:r>
        </w:p>
        <w:p w:rsidR="008C03E6" w:rsidRDefault="00542A2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34159" w:history="1">
            <w:r w:rsidR="008C03E6" w:rsidRPr="009148BC">
              <w:rPr>
                <w:rStyle w:val="Hyperlink"/>
                <w:noProof/>
                <w:lang w:val="en-US"/>
              </w:rPr>
              <w:t>1.</w:t>
            </w:r>
            <w:r w:rsidR="008C03E6">
              <w:rPr>
                <w:rFonts w:asciiTheme="minorHAnsi" w:eastAsiaTheme="minorEastAsia" w:hAnsiTheme="minorHAnsi"/>
                <w:noProof/>
                <w:color w:val="auto"/>
                <w:lang w:val="en-AU" w:eastAsia="en-AU"/>
              </w:rPr>
              <w:tab/>
            </w:r>
            <w:r w:rsidR="008C03E6" w:rsidRPr="009148BC">
              <w:rPr>
                <w:rStyle w:val="Hyperlink"/>
                <w:noProof/>
                <w:lang w:val="en-US"/>
              </w:rPr>
              <w:t>Procedure</w:t>
            </w:r>
            <w:r w:rsidR="008C03E6">
              <w:rPr>
                <w:noProof/>
                <w:webHidden/>
              </w:rPr>
              <w:tab/>
            </w:r>
            <w:r w:rsidR="008C03E6">
              <w:rPr>
                <w:noProof/>
                <w:webHidden/>
              </w:rPr>
              <w:fldChar w:fldCharType="begin"/>
            </w:r>
            <w:r w:rsidR="008C03E6">
              <w:rPr>
                <w:noProof/>
                <w:webHidden/>
              </w:rPr>
              <w:instrText xml:space="preserve"> PAGEREF _Toc36734159 \h </w:instrText>
            </w:r>
            <w:r w:rsidR="008C03E6">
              <w:rPr>
                <w:noProof/>
                <w:webHidden/>
              </w:rPr>
            </w:r>
            <w:r w:rsidR="008C03E6">
              <w:rPr>
                <w:noProof/>
                <w:webHidden/>
              </w:rPr>
              <w:fldChar w:fldCharType="separate"/>
            </w:r>
            <w:r w:rsidR="008C03E6">
              <w:rPr>
                <w:noProof/>
                <w:webHidden/>
              </w:rPr>
              <w:t>1</w:t>
            </w:r>
            <w:r w:rsidR="008C03E6">
              <w:rPr>
                <w:noProof/>
                <w:webHidden/>
              </w:rPr>
              <w:fldChar w:fldCharType="end"/>
            </w:r>
          </w:hyperlink>
        </w:p>
        <w:p w:rsidR="008C03E6" w:rsidRDefault="002D6836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hyperlink w:anchor="_Toc36734160" w:history="1">
            <w:r w:rsidR="008C03E6" w:rsidRPr="009148BC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8C03E6">
              <w:rPr>
                <w:rFonts w:asciiTheme="minorHAnsi" w:eastAsiaTheme="minorEastAsia" w:hAnsiTheme="minorHAnsi"/>
                <w:noProof/>
                <w:color w:val="auto"/>
                <w:lang w:val="en-AU" w:eastAsia="en-AU"/>
              </w:rPr>
              <w:tab/>
            </w:r>
            <w:r w:rsidR="008C03E6" w:rsidRPr="009148BC">
              <w:rPr>
                <w:rStyle w:val="Hyperlink"/>
                <w:noProof/>
                <w:lang w:val="en-US"/>
              </w:rPr>
              <w:t>Import data</w:t>
            </w:r>
            <w:r w:rsidR="008C03E6">
              <w:rPr>
                <w:noProof/>
                <w:webHidden/>
              </w:rPr>
              <w:tab/>
            </w:r>
            <w:r w:rsidR="008C03E6">
              <w:rPr>
                <w:noProof/>
                <w:webHidden/>
              </w:rPr>
              <w:fldChar w:fldCharType="begin"/>
            </w:r>
            <w:r w:rsidR="008C03E6">
              <w:rPr>
                <w:noProof/>
                <w:webHidden/>
              </w:rPr>
              <w:instrText xml:space="preserve"> PAGEREF _Toc36734160 \h </w:instrText>
            </w:r>
            <w:r w:rsidR="008C03E6">
              <w:rPr>
                <w:noProof/>
                <w:webHidden/>
              </w:rPr>
            </w:r>
            <w:r w:rsidR="008C03E6">
              <w:rPr>
                <w:noProof/>
                <w:webHidden/>
              </w:rPr>
              <w:fldChar w:fldCharType="separate"/>
            </w:r>
            <w:r w:rsidR="008C03E6">
              <w:rPr>
                <w:noProof/>
                <w:webHidden/>
              </w:rPr>
              <w:t>1</w:t>
            </w:r>
            <w:r w:rsidR="008C03E6">
              <w:rPr>
                <w:noProof/>
                <w:webHidden/>
              </w:rPr>
              <w:fldChar w:fldCharType="end"/>
            </w:r>
          </w:hyperlink>
        </w:p>
        <w:p w:rsidR="008C03E6" w:rsidRDefault="002D6836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hyperlink w:anchor="_Toc36734161" w:history="1">
            <w:r w:rsidR="008C03E6" w:rsidRPr="009148BC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8C03E6">
              <w:rPr>
                <w:rFonts w:asciiTheme="minorHAnsi" w:eastAsiaTheme="minorEastAsia" w:hAnsiTheme="minorHAnsi"/>
                <w:noProof/>
                <w:color w:val="auto"/>
                <w:lang w:val="en-AU" w:eastAsia="en-AU"/>
              </w:rPr>
              <w:tab/>
            </w:r>
            <w:r w:rsidR="008C03E6" w:rsidRPr="009148BC">
              <w:rPr>
                <w:rStyle w:val="Hyperlink"/>
                <w:noProof/>
                <w:lang w:val="en-US"/>
              </w:rPr>
              <w:t>Use main.py, Data_S1.xls, Data_S2.xls, and Data_S3.xls</w:t>
            </w:r>
            <w:r w:rsidR="008C03E6">
              <w:rPr>
                <w:noProof/>
                <w:webHidden/>
              </w:rPr>
              <w:tab/>
            </w:r>
            <w:r w:rsidR="008C03E6">
              <w:rPr>
                <w:noProof/>
                <w:webHidden/>
              </w:rPr>
              <w:fldChar w:fldCharType="begin"/>
            </w:r>
            <w:r w:rsidR="008C03E6">
              <w:rPr>
                <w:noProof/>
                <w:webHidden/>
              </w:rPr>
              <w:instrText xml:space="preserve"> PAGEREF _Toc36734161 \h </w:instrText>
            </w:r>
            <w:r w:rsidR="008C03E6">
              <w:rPr>
                <w:noProof/>
                <w:webHidden/>
              </w:rPr>
            </w:r>
            <w:r w:rsidR="008C03E6">
              <w:rPr>
                <w:noProof/>
                <w:webHidden/>
              </w:rPr>
              <w:fldChar w:fldCharType="separate"/>
            </w:r>
            <w:r w:rsidR="008C03E6">
              <w:rPr>
                <w:noProof/>
                <w:webHidden/>
              </w:rPr>
              <w:t>2</w:t>
            </w:r>
            <w:r w:rsidR="008C03E6">
              <w:rPr>
                <w:noProof/>
                <w:webHidden/>
              </w:rPr>
              <w:fldChar w:fldCharType="end"/>
            </w:r>
          </w:hyperlink>
        </w:p>
        <w:p w:rsidR="008C03E6" w:rsidRDefault="002D683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hyperlink w:anchor="_Toc36734162" w:history="1">
            <w:r w:rsidR="008C03E6" w:rsidRPr="009148BC">
              <w:rPr>
                <w:rStyle w:val="Hyperlink"/>
                <w:noProof/>
                <w:lang w:val="en-US"/>
              </w:rPr>
              <w:t>2.</w:t>
            </w:r>
            <w:r w:rsidR="008C03E6">
              <w:rPr>
                <w:rFonts w:asciiTheme="minorHAnsi" w:eastAsiaTheme="minorEastAsia" w:hAnsiTheme="minorHAnsi"/>
                <w:noProof/>
                <w:color w:val="auto"/>
                <w:lang w:val="en-AU" w:eastAsia="en-AU"/>
              </w:rPr>
              <w:tab/>
            </w:r>
            <w:r w:rsidR="008C03E6" w:rsidRPr="009148BC">
              <w:rPr>
                <w:rStyle w:val="Hyperlink"/>
                <w:noProof/>
                <w:lang w:val="en-US"/>
              </w:rPr>
              <w:t>Comparison between material inflow to in-use stocks data from EXIOBASE v3.3.17 and other studies</w:t>
            </w:r>
            <w:r w:rsidR="008C03E6">
              <w:rPr>
                <w:noProof/>
                <w:webHidden/>
              </w:rPr>
              <w:tab/>
            </w:r>
            <w:r w:rsidR="008C03E6">
              <w:rPr>
                <w:noProof/>
                <w:webHidden/>
              </w:rPr>
              <w:fldChar w:fldCharType="begin"/>
            </w:r>
            <w:r w:rsidR="008C03E6">
              <w:rPr>
                <w:noProof/>
                <w:webHidden/>
              </w:rPr>
              <w:instrText xml:space="preserve"> PAGEREF _Toc36734162 \h </w:instrText>
            </w:r>
            <w:r w:rsidR="008C03E6">
              <w:rPr>
                <w:noProof/>
                <w:webHidden/>
              </w:rPr>
            </w:r>
            <w:r w:rsidR="008C03E6">
              <w:rPr>
                <w:noProof/>
                <w:webHidden/>
              </w:rPr>
              <w:fldChar w:fldCharType="separate"/>
            </w:r>
            <w:r w:rsidR="008C03E6">
              <w:rPr>
                <w:noProof/>
                <w:webHidden/>
              </w:rPr>
              <w:t>3</w:t>
            </w:r>
            <w:r w:rsidR="008C03E6">
              <w:rPr>
                <w:noProof/>
                <w:webHidden/>
              </w:rPr>
              <w:fldChar w:fldCharType="end"/>
            </w:r>
          </w:hyperlink>
        </w:p>
        <w:p w:rsidR="008C03E6" w:rsidRDefault="002D6836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hyperlink w:anchor="_Toc36734163" w:history="1">
            <w:r w:rsidR="008C03E6" w:rsidRPr="009148BC">
              <w:rPr>
                <w:rStyle w:val="Hyperlink"/>
                <w:noProof/>
                <w:lang w:val="en-US"/>
              </w:rPr>
              <w:t>3.</w:t>
            </w:r>
            <w:r w:rsidR="008C03E6">
              <w:rPr>
                <w:rFonts w:asciiTheme="minorHAnsi" w:eastAsiaTheme="minorEastAsia" w:hAnsiTheme="minorHAnsi"/>
                <w:noProof/>
                <w:color w:val="auto"/>
                <w:lang w:val="en-AU" w:eastAsia="en-AU"/>
              </w:rPr>
              <w:tab/>
            </w:r>
            <w:r w:rsidR="008C03E6" w:rsidRPr="009148BC">
              <w:rPr>
                <w:rStyle w:val="Hyperlink"/>
                <w:noProof/>
                <w:lang w:val="en-US"/>
              </w:rPr>
              <w:t>Literature</w:t>
            </w:r>
            <w:r w:rsidR="008C03E6">
              <w:rPr>
                <w:noProof/>
                <w:webHidden/>
              </w:rPr>
              <w:tab/>
            </w:r>
            <w:r w:rsidR="008C03E6">
              <w:rPr>
                <w:noProof/>
                <w:webHidden/>
              </w:rPr>
              <w:fldChar w:fldCharType="begin"/>
            </w:r>
            <w:r w:rsidR="008C03E6">
              <w:rPr>
                <w:noProof/>
                <w:webHidden/>
              </w:rPr>
              <w:instrText xml:space="preserve"> PAGEREF _Toc36734163 \h </w:instrText>
            </w:r>
            <w:r w:rsidR="008C03E6">
              <w:rPr>
                <w:noProof/>
                <w:webHidden/>
              </w:rPr>
            </w:r>
            <w:r w:rsidR="008C03E6">
              <w:rPr>
                <w:noProof/>
                <w:webHidden/>
              </w:rPr>
              <w:fldChar w:fldCharType="separate"/>
            </w:r>
            <w:r w:rsidR="008C03E6">
              <w:rPr>
                <w:noProof/>
                <w:webHidden/>
              </w:rPr>
              <w:t>3</w:t>
            </w:r>
            <w:r w:rsidR="008C03E6">
              <w:rPr>
                <w:noProof/>
                <w:webHidden/>
              </w:rPr>
              <w:fldChar w:fldCharType="end"/>
            </w:r>
          </w:hyperlink>
        </w:p>
        <w:p w:rsidR="00542A22" w:rsidRPr="0024638F" w:rsidRDefault="00542A22" w:rsidP="00727939">
          <w:r>
            <w:rPr>
              <w:b/>
              <w:bCs/>
              <w:noProof/>
            </w:rPr>
            <w:fldChar w:fldCharType="end"/>
          </w:r>
        </w:p>
      </w:sdtContent>
    </w:sdt>
    <w:p w:rsidR="00542A22" w:rsidRDefault="00686EC2" w:rsidP="003C33D7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1" w:name="_Toc36734159"/>
      <w:r>
        <w:rPr>
          <w:lang w:val="en-US"/>
        </w:rPr>
        <w:t>Procedure</w:t>
      </w:r>
      <w:bookmarkEnd w:id="1"/>
    </w:p>
    <w:p w:rsidR="004575BE" w:rsidRPr="0024638F" w:rsidRDefault="00063129" w:rsidP="00727939">
      <w:pPr>
        <w:spacing w:line="480" w:lineRule="auto"/>
        <w:rPr>
          <w:lang w:val="en-US"/>
        </w:rPr>
      </w:pPr>
      <w:r>
        <w:rPr>
          <w:lang w:val="en-US"/>
        </w:rPr>
        <w:t xml:space="preserve">The following presents </w:t>
      </w:r>
      <w:r w:rsidR="00DA4F1C" w:rsidRPr="0024638F">
        <w:rPr>
          <w:lang w:val="en-US"/>
        </w:rPr>
        <w:t xml:space="preserve">the procedure </w:t>
      </w:r>
      <w:r w:rsidR="00B34025" w:rsidRPr="0024638F">
        <w:rPr>
          <w:lang w:val="en-US"/>
        </w:rPr>
        <w:t>to import</w:t>
      </w:r>
      <w:r w:rsidR="00DA4F1C" w:rsidRPr="0024638F">
        <w:rPr>
          <w:lang w:val="en-US"/>
        </w:rPr>
        <w:t xml:space="preserve"> </w:t>
      </w:r>
      <w:r w:rsidR="004575BE" w:rsidRPr="0024638F">
        <w:rPr>
          <w:lang w:val="en-US"/>
        </w:rPr>
        <w:t xml:space="preserve">from </w:t>
      </w:r>
      <w:r>
        <w:rPr>
          <w:lang w:val="en-US"/>
        </w:rPr>
        <w:t>EXIOBASE v3.3.17</w:t>
      </w:r>
      <w:r w:rsidR="004575BE" w:rsidRPr="0024638F">
        <w:rPr>
          <w:lang w:val="en-US"/>
        </w:rPr>
        <w:t xml:space="preserve">, use </w:t>
      </w:r>
      <w:r w:rsidR="00BA6190" w:rsidRPr="009745B3">
        <w:rPr>
          <w:b/>
          <w:i/>
          <w:lang w:val="en-US"/>
        </w:rPr>
        <w:t>main</w:t>
      </w:r>
      <w:r w:rsidR="00DA4F1C" w:rsidRPr="009745B3">
        <w:rPr>
          <w:b/>
          <w:i/>
          <w:lang w:val="en-US"/>
        </w:rPr>
        <w:t>.py</w:t>
      </w:r>
      <w:r w:rsidR="004575BE" w:rsidRPr="0024638F">
        <w:rPr>
          <w:lang w:val="en-US"/>
        </w:rPr>
        <w:t xml:space="preserve">, obtain </w:t>
      </w:r>
      <w:r>
        <w:rPr>
          <w:b/>
          <w:i/>
          <w:lang w:val="en-US"/>
        </w:rPr>
        <w:t>Data_S1</w:t>
      </w:r>
      <w:r w:rsidR="004575BE" w:rsidRPr="009745B3">
        <w:rPr>
          <w:b/>
          <w:i/>
        </w:rPr>
        <w:t>.xls</w:t>
      </w:r>
      <w:r w:rsidR="00892D50">
        <w:rPr>
          <w:lang w:val="en-US"/>
        </w:rPr>
        <w:t xml:space="preserve">, </w:t>
      </w:r>
      <w:r>
        <w:rPr>
          <w:b/>
          <w:i/>
          <w:lang w:val="en-US"/>
        </w:rPr>
        <w:t>Data_S2</w:t>
      </w:r>
      <w:r w:rsidR="004575BE" w:rsidRPr="009745B3">
        <w:rPr>
          <w:b/>
          <w:i/>
          <w:lang w:val="en-US"/>
        </w:rPr>
        <w:t>.xls</w:t>
      </w:r>
      <w:r>
        <w:rPr>
          <w:lang w:val="en-US"/>
        </w:rPr>
        <w:t>,</w:t>
      </w:r>
      <w:r w:rsidR="00892D50">
        <w:rPr>
          <w:lang w:val="en-US"/>
        </w:rPr>
        <w:t xml:space="preserve"> </w:t>
      </w:r>
      <w:r w:rsidR="00892D50">
        <w:rPr>
          <w:b/>
          <w:i/>
          <w:lang w:val="en-US"/>
        </w:rPr>
        <w:t>Data_S3</w:t>
      </w:r>
      <w:r w:rsidR="00892D50" w:rsidRPr="009745B3">
        <w:rPr>
          <w:b/>
          <w:i/>
          <w:lang w:val="en-US"/>
        </w:rPr>
        <w:t>.xls</w:t>
      </w:r>
      <w:r w:rsidR="00892D50">
        <w:rPr>
          <w:b/>
          <w:i/>
          <w:lang w:val="en-US"/>
        </w:rPr>
        <w:t>,</w:t>
      </w:r>
      <w:r>
        <w:rPr>
          <w:lang w:val="en-US"/>
        </w:rPr>
        <w:t xml:space="preserve"> and creating the global map shown in Figure 2 from ‘</w:t>
      </w:r>
      <w:r w:rsidRPr="00063129">
        <w:rPr>
          <w:lang w:val="en-US"/>
        </w:rPr>
        <w:t>Global distribution of material inflows to in-use stocks and its implication for a circularity transition</w:t>
      </w:r>
      <w:r>
        <w:rPr>
          <w:lang w:val="en-US"/>
        </w:rPr>
        <w:t>’ paper.</w:t>
      </w:r>
    </w:p>
    <w:p w:rsidR="004575BE" w:rsidRPr="0024638F" w:rsidRDefault="004575BE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2" w:name="_Toc36734160"/>
      <w:r w:rsidRPr="0024638F">
        <w:rPr>
          <w:lang w:val="en-US"/>
        </w:rPr>
        <w:t>Import data</w:t>
      </w:r>
      <w:bookmarkEnd w:id="2"/>
    </w:p>
    <w:p w:rsidR="00DA4F1C" w:rsidRPr="0024638F" w:rsidRDefault="00B34025" w:rsidP="00036193">
      <w:pPr>
        <w:spacing w:line="480" w:lineRule="auto"/>
        <w:rPr>
          <w:lang w:val="en-US"/>
        </w:rPr>
      </w:pPr>
      <w:r w:rsidRPr="0024638F">
        <w:rPr>
          <w:lang w:val="en-US"/>
        </w:rPr>
        <w:t>The dataset is stored</w:t>
      </w:r>
      <w:r w:rsidR="00DA4F1C" w:rsidRPr="0024638F">
        <w:rPr>
          <w:lang w:val="en-US"/>
        </w:rPr>
        <w:t xml:space="preserve"> as tab-delimited text file (txt.file) in the folder </w:t>
      </w:r>
      <w:r w:rsidR="00063129">
        <w:rPr>
          <w:b/>
          <w:i/>
          <w:lang w:val="en-US"/>
        </w:rPr>
        <w:t>EXIOBASE_3.3.17</w:t>
      </w:r>
      <w:r w:rsidR="00DA4F1C" w:rsidRPr="009745B3">
        <w:rPr>
          <w:b/>
          <w:i/>
          <w:lang w:val="en-US"/>
        </w:rPr>
        <w:t>_</w:t>
      </w:r>
      <w:r w:rsidR="00063129">
        <w:rPr>
          <w:b/>
          <w:i/>
          <w:lang w:val="en-US"/>
        </w:rPr>
        <w:t>hsut_</w:t>
      </w:r>
      <w:r w:rsidR="00DA4F1C" w:rsidRPr="009745B3">
        <w:rPr>
          <w:b/>
          <w:i/>
          <w:lang w:val="en-US"/>
        </w:rPr>
        <w:t>2011</w:t>
      </w:r>
      <w:r w:rsidR="00DA4F1C" w:rsidRPr="0024638F">
        <w:rPr>
          <w:lang w:val="en-US"/>
        </w:rPr>
        <w:t xml:space="preserve">. In </w:t>
      </w:r>
      <w:r w:rsidR="00063129">
        <w:rPr>
          <w:lang w:val="en-US"/>
        </w:rPr>
        <w:t>order to obtain EXIOBASE v3.3.17</w:t>
      </w:r>
      <w:r w:rsidR="00DA4F1C" w:rsidRPr="0024638F">
        <w:rPr>
          <w:lang w:val="en-US"/>
        </w:rPr>
        <w:t xml:space="preserve"> txt.file, the following steps are </w:t>
      </w:r>
      <w:r w:rsidRPr="0024638F">
        <w:rPr>
          <w:lang w:val="en-US"/>
        </w:rPr>
        <w:t>implemented:</w:t>
      </w:r>
      <w:r w:rsidR="00DA4F1C" w:rsidRPr="0024638F">
        <w:rPr>
          <w:lang w:val="en-US"/>
        </w:rPr>
        <w:t xml:space="preserve">  </w:t>
      </w:r>
    </w:p>
    <w:p w:rsidR="00542A22" w:rsidRPr="0024638F" w:rsidRDefault="00DA4F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From </w:t>
      </w:r>
      <w:r w:rsidR="00B34025" w:rsidRPr="0024638F">
        <w:rPr>
          <w:lang w:val="en-US"/>
        </w:rPr>
        <w:t xml:space="preserve">‘Data Download’ in </w:t>
      </w:r>
      <w:r w:rsidRPr="0024638F">
        <w:rPr>
          <w:lang w:val="en-US"/>
        </w:rPr>
        <w:t>EXIOBASE website (</w:t>
      </w:r>
      <w:hyperlink r:id="rId8" w:history="1">
        <w:r w:rsidRPr="0024638F">
          <w:rPr>
            <w:rStyle w:val="Hyperlink"/>
            <w:lang w:val="en-US"/>
          </w:rPr>
          <w:t>http://www.exiobase.eu/</w:t>
        </w:r>
      </w:hyperlink>
      <w:r w:rsidRPr="0024638F">
        <w:rPr>
          <w:lang w:val="en-US"/>
        </w:rPr>
        <w:t>)</w:t>
      </w:r>
      <w:r w:rsidR="00B34025" w:rsidRPr="0024638F">
        <w:rPr>
          <w:lang w:val="en-US"/>
        </w:rPr>
        <w:t>,</w:t>
      </w:r>
      <w:r w:rsidRPr="0024638F">
        <w:rPr>
          <w:lang w:val="en-US"/>
        </w:rPr>
        <w:t xml:space="preserve"> download </w:t>
      </w:r>
      <w:r w:rsidR="00063129">
        <w:rPr>
          <w:lang w:val="en-US"/>
        </w:rPr>
        <w:t>‘EXIOBASE_3.3.17_hsut_2011</w:t>
      </w:r>
      <w:r w:rsidR="00B34025" w:rsidRPr="0024638F">
        <w:rPr>
          <w:lang w:val="en-US"/>
        </w:rPr>
        <w:t>’</w:t>
      </w:r>
    </w:p>
    <w:p w:rsidR="00B34025" w:rsidRPr="0024638F" w:rsidRDefault="00063129" w:rsidP="00063129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From folder ‘EXIOBASE_3.3.17_hsut_2011</w:t>
      </w:r>
      <w:r w:rsidRPr="0024638F">
        <w:rPr>
          <w:lang w:val="en-US"/>
        </w:rPr>
        <w:t>’</w:t>
      </w:r>
      <w:r>
        <w:rPr>
          <w:lang w:val="en-US"/>
        </w:rPr>
        <w:t>, open ‘MR_HSUT_2011_v3_3_17</w:t>
      </w:r>
      <w:r w:rsidR="00B34025" w:rsidRPr="0024638F">
        <w:rPr>
          <w:lang w:val="en-US"/>
        </w:rPr>
        <w:t xml:space="preserve">_extensions.xlsb’. This file contains </w:t>
      </w:r>
      <w:r w:rsidR="00617D1C" w:rsidRPr="0024638F">
        <w:rPr>
          <w:lang w:val="en-US"/>
        </w:rPr>
        <w:t xml:space="preserve">spreadsheets with </w:t>
      </w:r>
      <w:r w:rsidR="00B34025" w:rsidRPr="0024638F">
        <w:rPr>
          <w:lang w:val="en-US"/>
        </w:rPr>
        <w:t xml:space="preserve">the accounts of: </w:t>
      </w:r>
      <w:r>
        <w:rPr>
          <w:lang w:val="en-US"/>
        </w:rPr>
        <w:t xml:space="preserve">material inflows to </w:t>
      </w:r>
      <w:r w:rsidR="00617D1C" w:rsidRPr="0024638F">
        <w:rPr>
          <w:lang w:val="en-US"/>
        </w:rPr>
        <w:t>in-use stock additions (‘stock_add_act’ and ‘st</w:t>
      </w:r>
      <w:r>
        <w:rPr>
          <w:lang w:val="en-US"/>
        </w:rPr>
        <w:t>ock_add_FD’), and stock additions from transport equipment (‘</w:t>
      </w:r>
      <w:r w:rsidRPr="00063129">
        <w:rPr>
          <w:lang w:val="en-US"/>
        </w:rPr>
        <w:t>mach_use_waste_act</w:t>
      </w:r>
      <w:r>
        <w:rPr>
          <w:lang w:val="en-US"/>
        </w:rPr>
        <w:t>’ and ‘mach_use_waste_fd’)</w:t>
      </w:r>
      <w:r w:rsidR="00617D1C" w:rsidRPr="0024638F">
        <w:rPr>
          <w:lang w:val="en-US"/>
        </w:rPr>
        <w:t>.</w:t>
      </w:r>
    </w:p>
    <w:p w:rsidR="00617D1C" w:rsidRPr="0024638F" w:rsidRDefault="00617D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lastRenderedPageBreak/>
        <w:t>Copy each spreadsheet in a separate Excel file.</w:t>
      </w:r>
      <w:r w:rsidR="00063129">
        <w:rPr>
          <w:lang w:val="en-US"/>
        </w:rPr>
        <w:t xml:space="preserve"> Apply</w:t>
      </w:r>
      <w:r w:rsidR="007A228B" w:rsidRPr="0024638F">
        <w:rPr>
          <w:lang w:val="en-US"/>
        </w:rPr>
        <w:t>:</w:t>
      </w:r>
    </w:p>
    <w:p w:rsidR="007A228B" w:rsidRPr="0024638F" w:rsidRDefault="00617D1C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Delete rows with sector codes leaving only country abbreviation and activity name </w:t>
      </w:r>
      <w:r w:rsidR="007A228B" w:rsidRPr="0024638F">
        <w:rPr>
          <w:lang w:val="en-US"/>
        </w:rPr>
        <w:t>as headers</w:t>
      </w:r>
      <w:r w:rsidRPr="0024638F">
        <w:rPr>
          <w:lang w:val="en-US"/>
        </w:rPr>
        <w:t xml:space="preserve"> (usually correspond to rows 3 and 4 of the array)</w:t>
      </w:r>
      <w:r w:rsidR="007A228B" w:rsidRPr="0024638F">
        <w:rPr>
          <w:lang w:val="en-US"/>
        </w:rPr>
        <w:t>.</w:t>
      </w:r>
    </w:p>
    <w:p w:rsidR="00617D1C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Save file</w:t>
      </w:r>
      <w:r w:rsidR="00D507ED" w:rsidRPr="0024638F">
        <w:rPr>
          <w:lang w:val="en-US"/>
        </w:rPr>
        <w:t>s</w:t>
      </w:r>
      <w:r w:rsidR="00D62AF2">
        <w:rPr>
          <w:lang w:val="en-US"/>
        </w:rPr>
        <w:t xml:space="preserve"> as tab delimited files (.txt)</w:t>
      </w:r>
    </w:p>
    <w:p w:rsidR="00D62AF2" w:rsidRDefault="007A228B" w:rsidP="00D62AF2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Re-name files as follow: ‘stock_add_act’ = SA_ACT ; ‘stock_add_FD’ = SA_FD</w:t>
      </w:r>
      <w:r w:rsidR="00D62AF2">
        <w:rPr>
          <w:lang w:val="en-US"/>
        </w:rPr>
        <w:t>.txt</w:t>
      </w:r>
      <w:r w:rsidR="00063129">
        <w:rPr>
          <w:lang w:val="en-US"/>
        </w:rPr>
        <w:t>; ‘</w:t>
      </w:r>
      <w:r w:rsidR="00063129" w:rsidRPr="00063129">
        <w:rPr>
          <w:lang w:val="en-US"/>
        </w:rPr>
        <w:t>mach_use_waste_act</w:t>
      </w:r>
      <w:r w:rsidR="00063129">
        <w:rPr>
          <w:lang w:val="en-US"/>
        </w:rPr>
        <w:t>’ = TR_act; and ‘mach_use_waste_fd’ = TR_FD</w:t>
      </w:r>
    </w:p>
    <w:p w:rsidR="007A228B" w:rsidRPr="0024638F" w:rsidRDefault="007A228B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For population:</w:t>
      </w:r>
    </w:p>
    <w:p w:rsidR="00D507ED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Download d</w:t>
      </w:r>
      <w:r w:rsidR="0040791A">
        <w:rPr>
          <w:lang w:val="en-US"/>
        </w:rPr>
        <w:t xml:space="preserve">ata from World Bank Statistics </w:t>
      </w:r>
      <w:r w:rsidR="008C61EC">
        <w:rPr>
          <w:lang w:val="en-US"/>
        </w:rPr>
        <w:fldChar w:fldCharType="begin" w:fldLock="1"/>
      </w:r>
      <w:r w:rsidR="008C61EC">
        <w:rPr>
          <w:lang w:val="en-US"/>
        </w:rPr>
        <w:instrText>ADDIN CSL_CITATION {"citationItems":[{"id":"ITEM-1","itemData":{"author":[{"dropping-particle":"","family":"World-Bank","given":"","non-dropping-particle":"","parse-names":false,"suffix":""}],"id":"ITEM-1","issued":{"date-parts":[["2020"]]},"title":"World Bank Open Data","type":"webpage"},"suppress-author":1,"uris":["http://www.mendeley.com/documents/?uuid=31ef3dc2-deab-4630-a636-dc84c196d8eb"]}],"mendeley":{"formattedCitation":"(2020)","plainTextFormattedCitation":"(2020)","previouslyFormattedCitation":"(2020)"},"properties":{"noteIndex":0},"schema":"https://github.com/citation-style-language/schema/raw/master/csl-citation.json"}</w:instrText>
      </w:r>
      <w:r w:rsidR="008C61EC">
        <w:rPr>
          <w:lang w:val="en-US"/>
        </w:rPr>
        <w:fldChar w:fldCharType="separate"/>
      </w:r>
      <w:r w:rsidR="008C61EC" w:rsidRPr="008C61EC">
        <w:rPr>
          <w:noProof/>
          <w:lang w:val="en-US"/>
        </w:rPr>
        <w:t>(2020)</w:t>
      </w:r>
      <w:r w:rsidR="008C61EC">
        <w:rPr>
          <w:lang w:val="en-US"/>
        </w:rPr>
        <w:fldChar w:fldCharType="end"/>
      </w:r>
      <w:r w:rsidR="00B416D1">
        <w:rPr>
          <w:lang w:val="en-US"/>
        </w:rPr>
        <w:t xml:space="preserve"> </w:t>
      </w:r>
      <w:r w:rsidRPr="0024638F">
        <w:rPr>
          <w:lang w:val="en-US"/>
        </w:rPr>
        <w:t>website</w:t>
      </w:r>
      <w:r w:rsidR="00D507ED" w:rsidRPr="0024638F">
        <w:rPr>
          <w:lang w:val="en-US"/>
        </w:rPr>
        <w:t xml:space="preserve"> (</w:t>
      </w:r>
      <w:hyperlink r:id="rId9" w:history="1">
        <w:r w:rsidR="00D507ED" w:rsidRPr="0024638F">
          <w:rPr>
            <w:rStyle w:val="Hyperlink"/>
            <w:lang w:val="en-US"/>
          </w:rPr>
          <w:t>https://data.worldbank.org/indicator/SP.POP.TOTL</w:t>
        </w:r>
      </w:hyperlink>
      <w:r w:rsidR="00D507ED" w:rsidRPr="0024638F">
        <w:rPr>
          <w:lang w:val="en-US"/>
        </w:rPr>
        <w:t>)</w:t>
      </w:r>
    </w:p>
    <w:p w:rsidR="00D507ED" w:rsidRPr="0024638F" w:rsidRDefault="00D507ED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Copy dataset in Wo</w:t>
      </w:r>
      <w:r w:rsidR="008C61EC">
        <w:rPr>
          <w:lang w:val="en-US"/>
        </w:rPr>
        <w:t>rd Bank to EXIOBASE convertor (</w:t>
      </w:r>
      <w:r w:rsidRPr="0024638F">
        <w:rPr>
          <w:lang w:val="en-US"/>
        </w:rPr>
        <w:t xml:space="preserve">in </w:t>
      </w:r>
      <w:r w:rsidRPr="009745B3">
        <w:rPr>
          <w:b/>
          <w:i/>
          <w:lang w:val="en-US"/>
        </w:rPr>
        <w:t>wb_to_exio_conv.xls</w:t>
      </w:r>
      <w:r w:rsidR="008C61EC" w:rsidRPr="008C61EC">
        <w:rPr>
          <w:lang w:val="en-US"/>
        </w:rPr>
        <w:t>, from</w:t>
      </w:r>
      <w:r w:rsidR="008C61EC">
        <w:rPr>
          <w:lang w:val="en-US"/>
        </w:rPr>
        <w:t xml:space="preserve"> Aguilar-Hernandez et al. </w:t>
      </w:r>
      <w:r w:rsidR="008C61EC">
        <w:rPr>
          <w:lang w:val="en-US"/>
        </w:rPr>
        <w:fldChar w:fldCharType="begin" w:fldLock="1"/>
      </w:r>
      <w:r w:rsidR="00CA7A4E">
        <w:rPr>
          <w:lang w:val="en-US"/>
        </w:rPr>
        <w:instrText>ADDIN CSL_CITATION {"citationItems":[{"id":"ITEM-1","itemData":{"DOI":"10.1016/j.resconrec.2019.104452","ISSN":"09213449","author":[{"dropping-particle":"","family":"Aguilar-Hernandez","given":"Glenn A.","non-dropping-particle":"","parse-names":false,"suffix":""},{"dropping-particle":"","family":"Sigüenza-Sanchez","given":"Carlos Pablo","non-dropping-particle":"","parse-names":false,"suffix":""},{"dropping-particle":"","family":"Donati","given":"Franco","non-dropping-particle":"","parse-names":false,"suffix":""},{"dropping-particle":"","family":"Merciai","given":"Stefano","non-dropping-particle":"","parse-names":false,"suffix":""},{"dropping-particle":"","family":"Schmidt","given":"Jannick","non-dropping-particle":"","parse-names":false,"suffix":""},{"dropping-particle":"","family":"Rodrigues","given":"João F.D.","non-dropping-particle":"","parse-names":false,"suffix":""},{"dropping-particle":"","family":"Tukker","given":"Arnold","non-dropping-particle":"","parse-names":false,"suffix":""}],"container-title":"Resources, Conservation and Recycling","id":"ITEM-1","issued":{"date-parts":[["2019","12"]]},"page":"104452","title":"The circularity gap of nations: A multiregional analysis of waste generation, recovery, and stock depletion in 2011","type":"article-journal","volume":"151"},"suppress-author":1,"uris":["http://www.mendeley.com/documents/?uuid=c8155bc9-ceb7-3bee-a2d1-3e9417b72b01"]}],"mendeley":{"formattedCitation":"(2019)","plainTextFormattedCitation":"(2019)","previouslyFormattedCitation":"(2019)"},"properties":{"noteIndex":0},"schema":"https://github.com/citation-style-language/schema/raw/master/csl-citation.json"}</w:instrText>
      </w:r>
      <w:r w:rsidR="008C61EC">
        <w:rPr>
          <w:lang w:val="en-US"/>
        </w:rPr>
        <w:fldChar w:fldCharType="separate"/>
      </w:r>
      <w:r w:rsidR="008C61EC" w:rsidRPr="008C61EC">
        <w:rPr>
          <w:noProof/>
          <w:lang w:val="en-US"/>
        </w:rPr>
        <w:t>(2019)</w:t>
      </w:r>
      <w:r w:rsidR="008C61EC">
        <w:rPr>
          <w:lang w:val="en-US"/>
        </w:rPr>
        <w:fldChar w:fldCharType="end"/>
      </w:r>
      <w:r w:rsidRPr="0024638F">
        <w:rPr>
          <w:lang w:val="en-US"/>
        </w:rPr>
        <w:t>)</w:t>
      </w:r>
    </w:p>
    <w:p w:rsidR="00662B4D" w:rsidRPr="008C61EC" w:rsidRDefault="00D507ED" w:rsidP="008C61EC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In ‘coverted_data’ spreadsheed,</w:t>
      </w:r>
      <w:r w:rsidR="00D62AF2">
        <w:rPr>
          <w:lang w:val="en-US"/>
        </w:rPr>
        <w:t xml:space="preserve"> copy and save array as </w:t>
      </w:r>
      <w:r w:rsidR="000F1E16">
        <w:rPr>
          <w:lang w:val="en-US"/>
        </w:rPr>
        <w:t>tab-delimited text file (.txt)</w:t>
      </w:r>
      <w:r w:rsidR="008C61EC">
        <w:rPr>
          <w:lang w:val="en-US"/>
        </w:rPr>
        <w:t>, and r</w:t>
      </w:r>
      <w:r w:rsidR="00662B4D" w:rsidRPr="008C61EC">
        <w:rPr>
          <w:lang w:val="en-US"/>
        </w:rPr>
        <w:t>e-nam</w:t>
      </w:r>
      <w:r w:rsidR="008C61EC" w:rsidRPr="008C61EC">
        <w:rPr>
          <w:lang w:val="en-US"/>
        </w:rPr>
        <w:t>e file as:</w:t>
      </w:r>
      <w:r w:rsidR="00662B4D" w:rsidRPr="008C61EC">
        <w:rPr>
          <w:lang w:val="en-US"/>
        </w:rPr>
        <w:t xml:space="preserve"> population data = POP</w:t>
      </w:r>
      <w:r w:rsidR="008C61EC" w:rsidRPr="008C61EC">
        <w:rPr>
          <w:lang w:val="en-US"/>
        </w:rPr>
        <w:t xml:space="preserve">.txt </w:t>
      </w:r>
    </w:p>
    <w:p w:rsidR="00D507ED" w:rsidRPr="0024638F" w:rsidRDefault="00D507ED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Save all</w:t>
      </w:r>
      <w:r w:rsidR="00D62AF2">
        <w:rPr>
          <w:lang w:val="en-US"/>
        </w:rPr>
        <w:t xml:space="preserve"> </w:t>
      </w:r>
      <w:r w:rsidRPr="0024638F">
        <w:rPr>
          <w:lang w:val="en-US"/>
        </w:rPr>
        <w:t>files in folder</w:t>
      </w:r>
      <w:r w:rsidR="004575BE" w:rsidRPr="0024638F">
        <w:rPr>
          <w:lang w:val="en-US"/>
        </w:rPr>
        <w:t xml:space="preserve"> as</w:t>
      </w:r>
      <w:r w:rsidR="009745B3" w:rsidRPr="009745B3">
        <w:rPr>
          <w:b/>
          <w:lang w:val="en-US"/>
        </w:rPr>
        <w:t xml:space="preserve"> </w:t>
      </w:r>
      <w:r w:rsidR="008C61EC">
        <w:rPr>
          <w:b/>
          <w:i/>
          <w:lang w:val="en-US"/>
        </w:rPr>
        <w:t>EXIOBASE_3.3.17</w:t>
      </w:r>
      <w:r w:rsidR="004575BE" w:rsidRPr="009745B3">
        <w:rPr>
          <w:b/>
          <w:i/>
          <w:lang w:val="en-US"/>
        </w:rPr>
        <w:t>_</w:t>
      </w:r>
      <w:r w:rsidR="008C61EC">
        <w:rPr>
          <w:b/>
          <w:i/>
          <w:lang w:val="en-US"/>
        </w:rPr>
        <w:t>hsut_</w:t>
      </w:r>
      <w:r w:rsidR="004575BE" w:rsidRPr="009745B3">
        <w:rPr>
          <w:b/>
          <w:i/>
          <w:lang w:val="en-US"/>
        </w:rPr>
        <w:t>2011</w:t>
      </w:r>
    </w:p>
    <w:p w:rsidR="004575BE" w:rsidRPr="0024638F" w:rsidRDefault="008C61EC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3" w:name="_Toc36734161"/>
      <w:r>
        <w:rPr>
          <w:lang w:val="en-US"/>
        </w:rPr>
        <w:t xml:space="preserve">Use </w:t>
      </w:r>
      <w:r w:rsidR="00BA6190">
        <w:rPr>
          <w:lang w:val="en-US"/>
        </w:rPr>
        <w:t>main</w:t>
      </w:r>
      <w:r>
        <w:rPr>
          <w:lang w:val="en-US"/>
        </w:rPr>
        <w:t>.py, Data_S1.xls, Data_S2</w:t>
      </w:r>
      <w:r w:rsidR="004575BE" w:rsidRPr="0024638F">
        <w:rPr>
          <w:lang w:val="en-US"/>
        </w:rPr>
        <w:t>.xls</w:t>
      </w:r>
      <w:r>
        <w:rPr>
          <w:lang w:val="en-US"/>
        </w:rPr>
        <w:t>, and Data_S3</w:t>
      </w:r>
      <w:r w:rsidRPr="0024638F">
        <w:rPr>
          <w:lang w:val="en-US"/>
        </w:rPr>
        <w:t>.xls</w:t>
      </w:r>
      <w:bookmarkEnd w:id="3"/>
      <w:r>
        <w:rPr>
          <w:lang w:val="en-US"/>
        </w:rPr>
        <w:t xml:space="preserve"> </w:t>
      </w:r>
      <w:r w:rsidR="004575BE" w:rsidRPr="0024638F">
        <w:rPr>
          <w:lang w:val="en-US"/>
        </w:rPr>
        <w:t xml:space="preserve"> 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Run </w:t>
      </w:r>
      <w:r w:rsidR="00BA6190" w:rsidRPr="009745B3">
        <w:rPr>
          <w:b/>
          <w:i/>
          <w:lang w:val="en-US"/>
        </w:rPr>
        <w:t>main</w:t>
      </w:r>
      <w:r w:rsidRPr="009745B3">
        <w:rPr>
          <w:b/>
          <w:i/>
          <w:lang w:val="en-US"/>
        </w:rPr>
        <w:t>.py</w:t>
      </w:r>
      <w:r w:rsidR="008C61EC">
        <w:rPr>
          <w:lang w:val="en-US"/>
        </w:rPr>
        <w:t xml:space="preserve"> using Python 3.</w:t>
      </w:r>
      <w:r w:rsidR="006F281D">
        <w:rPr>
          <w:lang w:val="en-US"/>
        </w:rPr>
        <w:t>7.6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</w:t>
      </w:r>
      <w:r w:rsidR="006F281D">
        <w:rPr>
          <w:b/>
          <w:i/>
          <w:lang w:val="en-US"/>
        </w:rPr>
        <w:t>Data_S1</w:t>
      </w:r>
      <w:r w:rsidRPr="009745B3">
        <w:rPr>
          <w:b/>
          <w:i/>
          <w:lang w:val="en-US"/>
        </w:rPr>
        <w:t>.xls</w:t>
      </w:r>
      <w:r w:rsidR="006F281D">
        <w:rPr>
          <w:lang w:val="en-US"/>
        </w:rPr>
        <w:t xml:space="preserve"> is a modified Excel file with all results from by using </w:t>
      </w:r>
      <w:r w:rsidR="009745B3" w:rsidRPr="009745B3">
        <w:rPr>
          <w:b/>
          <w:i/>
          <w:lang w:val="en-US"/>
        </w:rPr>
        <w:t>save_res</w:t>
      </w:r>
      <w:r w:rsidR="006F281D">
        <w:rPr>
          <w:b/>
          <w:i/>
          <w:lang w:val="en-US"/>
        </w:rPr>
        <w:t>ult</w:t>
      </w:r>
      <w:r w:rsidR="009745B3" w:rsidRPr="009745B3">
        <w:rPr>
          <w:b/>
          <w:i/>
          <w:lang w:val="en-US"/>
        </w:rPr>
        <w:t>( )</w:t>
      </w:r>
      <w:r w:rsidR="006F281D">
        <w:rPr>
          <w:b/>
          <w:i/>
          <w:lang w:val="en-US"/>
        </w:rPr>
        <w:t xml:space="preserve"> </w:t>
      </w:r>
      <w:r w:rsidR="006F281D" w:rsidRPr="006F281D">
        <w:rPr>
          <w:lang w:val="en-US"/>
        </w:rPr>
        <w:t>function</w:t>
      </w:r>
    </w:p>
    <w:p w:rsidR="0024638F" w:rsidRDefault="006F281D" w:rsidP="00A66FE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b/>
          <w:i/>
          <w:lang w:val="en-US"/>
        </w:rPr>
        <w:t>Data_S2.</w:t>
      </w:r>
      <w:r w:rsidR="0024638F" w:rsidRPr="009745B3">
        <w:rPr>
          <w:b/>
          <w:i/>
          <w:lang w:val="en-US"/>
        </w:rPr>
        <w:t>xls</w:t>
      </w:r>
      <w:r>
        <w:rPr>
          <w:lang w:val="en-US"/>
        </w:rPr>
        <w:t xml:space="preserve"> combines data from ‘sa_all_tot’ </w:t>
      </w:r>
      <w:r>
        <w:rPr>
          <w:b/>
          <w:i/>
          <w:lang w:val="en-US"/>
        </w:rPr>
        <w:t>Data_S1</w:t>
      </w:r>
      <w:r w:rsidRPr="009745B3">
        <w:rPr>
          <w:b/>
          <w:i/>
          <w:lang w:val="en-US"/>
        </w:rPr>
        <w:t>.xls</w:t>
      </w:r>
      <w:r>
        <w:rPr>
          <w:b/>
          <w:i/>
          <w:lang w:val="en-US"/>
        </w:rPr>
        <w:t xml:space="preserve"> </w:t>
      </w:r>
      <w:r w:rsidRPr="006F281D">
        <w:rPr>
          <w:lang w:val="en-US"/>
        </w:rPr>
        <w:t>and</w:t>
      </w:r>
      <w:r>
        <w:rPr>
          <w:lang w:val="en-US"/>
        </w:rPr>
        <w:t xml:space="preserve"> income classification World Bank Statistics </w:t>
      </w:r>
      <w:r>
        <w:rPr>
          <w:lang w:val="en-US"/>
        </w:rPr>
        <w:fldChar w:fldCharType="begin" w:fldLock="1"/>
      </w:r>
      <w:r>
        <w:rPr>
          <w:lang w:val="en-US"/>
        </w:rPr>
        <w:instrText>ADDIN CSL_CITATION {"citationItems":[{"id":"ITEM-1","itemData":{"author":[{"dropping-particle":"","family":"World-Bank","given":"","non-dropping-particle":"","parse-names":false,"suffix":""}],"id":"ITEM-1","issued":{"date-parts":[["2020"]]},"title":"World Bank Open Data","type":"webpage"},"suppress-author":1,"uris":["http://www.mendeley.com/documents/?uuid=31ef3dc2-deab-4630-a636-dc84c196d8eb"]}],"mendeley":{"formattedCitation":"(2020)","plainTextFormattedCitation":"(2020)","previouslyFormattedCitation":"(2020)"},"properties":{"noteIndex":0},"schema":"https://github.com/citation-style-language/schema/raw/master/csl-citation.json"}</w:instrText>
      </w:r>
      <w:r>
        <w:rPr>
          <w:lang w:val="en-US"/>
        </w:rPr>
        <w:fldChar w:fldCharType="separate"/>
      </w:r>
      <w:r w:rsidRPr="008C61EC">
        <w:rPr>
          <w:noProof/>
          <w:lang w:val="en-US"/>
        </w:rPr>
        <w:t>(2020)</w:t>
      </w:r>
      <w:r>
        <w:rPr>
          <w:lang w:val="en-US"/>
        </w:rPr>
        <w:fldChar w:fldCharType="end"/>
      </w:r>
      <w:r>
        <w:rPr>
          <w:lang w:val="en-US"/>
        </w:rPr>
        <w:t xml:space="preserve">. This file was uploaded to </w:t>
      </w:r>
      <w:r w:rsidR="006366AB">
        <w:rPr>
          <w:lang w:val="en-US"/>
        </w:rPr>
        <w:t xml:space="preserve">Tableau Public </w:t>
      </w:r>
      <w:r w:rsidR="00CA7A4E">
        <w:rPr>
          <w:lang w:val="en-US"/>
        </w:rPr>
        <w:t>version 2019.4</w:t>
      </w:r>
      <w:r w:rsidR="006366AB">
        <w:rPr>
          <w:lang w:val="en-US"/>
        </w:rPr>
        <w:t xml:space="preserve"> Sof</w:t>
      </w:r>
      <w:r w:rsidR="00CA7A4E">
        <w:rPr>
          <w:lang w:val="en-US"/>
        </w:rPr>
        <w:t xml:space="preserve">tware </w:t>
      </w:r>
      <w:r w:rsidR="00A66FE3">
        <w:rPr>
          <w:lang w:val="en-US"/>
        </w:rPr>
        <w:fldChar w:fldCharType="begin" w:fldLock="1"/>
      </w:r>
      <w:r w:rsidR="00A66FE3">
        <w:rPr>
          <w:lang w:val="en-US"/>
        </w:rPr>
        <w:instrText>ADDIN CSL_CITATION {"citationItems":[{"id":"ITEM-1","itemData":{"author":[{"dropping-particle":"","family":"Tableau","given":"","non-dropping-particle":"","parse-names":false,"suffix":""}],"id":"ITEM-1","issued":{"date-parts":[["2019"]]},"number":"2019.4","title":"Tableau Public 2019.4","type":"article"},"suppress-author":1,"uris":["http://www.mendeley.com/documents/?uuid=0a4ba6d5-03d2-4427-af4d-d1a6b57fe20d"]}],"mendeley":{"formattedCitation":"(2019)","plainTextFormattedCitation":"(2019)","previouslyFormattedCitation":"(2019)"},"properties":{"noteIndex":0},"schema":"https://github.com/citation-style-language/schema/raw/master/csl-citation.json"}</w:instrText>
      </w:r>
      <w:r w:rsidR="00A66FE3">
        <w:rPr>
          <w:lang w:val="en-US"/>
        </w:rPr>
        <w:fldChar w:fldCharType="separate"/>
      </w:r>
      <w:r w:rsidR="00A66FE3" w:rsidRPr="00A66FE3">
        <w:rPr>
          <w:noProof/>
          <w:lang w:val="en-US"/>
        </w:rPr>
        <w:t>(2019)</w:t>
      </w:r>
      <w:r w:rsidR="00A66FE3">
        <w:rPr>
          <w:lang w:val="en-US"/>
        </w:rPr>
        <w:fldChar w:fldCharType="end"/>
      </w:r>
      <w:r w:rsidR="006366AB">
        <w:rPr>
          <w:lang w:val="en-US"/>
        </w:rPr>
        <w:t xml:space="preserve"> </w:t>
      </w:r>
    </w:p>
    <w:p w:rsidR="00A66FE3" w:rsidRPr="00A66FE3" w:rsidRDefault="00A66FE3" w:rsidP="00A66FE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b/>
          <w:i/>
          <w:lang w:val="en-US"/>
        </w:rPr>
        <w:t>Data_S3.</w:t>
      </w:r>
      <w:r w:rsidRPr="009745B3">
        <w:rPr>
          <w:b/>
          <w:i/>
          <w:lang w:val="en-US"/>
        </w:rPr>
        <w:t>xls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brings the EXIOBASE classification combined with World Bank groups.</w:t>
      </w:r>
    </w:p>
    <w:p w:rsidR="001B371D" w:rsidRPr="00661527" w:rsidRDefault="001B371D" w:rsidP="00036193">
      <w:pPr>
        <w:pStyle w:val="ListParagraph"/>
        <w:spacing w:line="480" w:lineRule="auto"/>
        <w:rPr>
          <w:lang w:val="en-US"/>
        </w:rPr>
      </w:pPr>
    </w:p>
    <w:p w:rsidR="001B371D" w:rsidRPr="00036193" w:rsidRDefault="00A66FE3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4" w:name="_Toc36734162"/>
      <w:r>
        <w:rPr>
          <w:lang w:val="en-US"/>
        </w:rPr>
        <w:lastRenderedPageBreak/>
        <w:t>Comparison between material in</w:t>
      </w:r>
      <w:r w:rsidR="00727939">
        <w:rPr>
          <w:lang w:val="en-US"/>
        </w:rPr>
        <w:t>flow</w:t>
      </w:r>
      <w:r>
        <w:rPr>
          <w:lang w:val="en-US"/>
        </w:rPr>
        <w:t xml:space="preserve"> to in-use stocks</w:t>
      </w:r>
      <w:r w:rsidR="00727939">
        <w:rPr>
          <w:lang w:val="en-US"/>
        </w:rPr>
        <w:t xml:space="preserve"> data from EXIOBASE v3.3.1</w:t>
      </w:r>
      <w:r w:rsidR="00ED76D2">
        <w:rPr>
          <w:lang w:val="en-US"/>
        </w:rPr>
        <w:t>7 and previous</w:t>
      </w:r>
      <w:r>
        <w:rPr>
          <w:lang w:val="en-US"/>
        </w:rPr>
        <w:t xml:space="preserve"> studies</w:t>
      </w:r>
      <w:bookmarkEnd w:id="4"/>
    </w:p>
    <w:p w:rsidR="001B371D" w:rsidRPr="001B371D" w:rsidRDefault="00686EC2" w:rsidP="00036193">
      <w:pPr>
        <w:spacing w:line="480" w:lineRule="auto"/>
        <w:rPr>
          <w:lang w:val="en-US"/>
        </w:rPr>
      </w:pPr>
      <w:r>
        <w:rPr>
          <w:lang w:val="en-US"/>
        </w:rPr>
        <w:t>Table 1 shows a comparison be</w:t>
      </w:r>
      <w:r w:rsidR="00892D50">
        <w:rPr>
          <w:lang w:val="en-US"/>
        </w:rPr>
        <w:t>tween data from EXIOBASE v3.3.17</w:t>
      </w:r>
      <w:r>
        <w:rPr>
          <w:lang w:val="en-US"/>
        </w:rPr>
        <w:t xml:space="preserve"> and </w:t>
      </w:r>
      <w:r w:rsidR="0088760F">
        <w:rPr>
          <w:lang w:val="en-US"/>
        </w:rPr>
        <w:t>other sources</w:t>
      </w:r>
      <w:r w:rsidR="00727939">
        <w:rPr>
          <w:lang w:val="en-US"/>
        </w:rPr>
        <w:t xml:space="preserve"> of material flow accounts</w:t>
      </w:r>
      <w:r w:rsidR="0088760F">
        <w:rPr>
          <w:lang w:val="en-US"/>
        </w:rPr>
        <w:t xml:space="preserve">. </w:t>
      </w:r>
      <w:r w:rsidR="008C03E6">
        <w:rPr>
          <w:lang w:val="en-US"/>
        </w:rPr>
        <w:t xml:space="preserve"> This allows to demonstrate that the sum of inflows to in-use stocks in EXIOBASE v3.3.17 extensions is similar to those reported by p</w:t>
      </w:r>
      <w:r w:rsidR="0088760F">
        <w:rPr>
          <w:lang w:val="en-US"/>
        </w:rPr>
        <w:t>revious studies.</w:t>
      </w:r>
    </w:p>
    <w:p w:rsidR="00542A22" w:rsidRDefault="00727939" w:rsidP="00036193">
      <w:pPr>
        <w:spacing w:line="480" w:lineRule="auto"/>
        <w:rPr>
          <w:lang w:val="en-US"/>
        </w:rPr>
      </w:pPr>
      <w:r>
        <w:rPr>
          <w:lang w:val="en-US"/>
        </w:rPr>
        <w:t>Table 1. Com</w:t>
      </w:r>
      <w:r w:rsidR="008C03E6">
        <w:rPr>
          <w:lang w:val="en-US"/>
        </w:rPr>
        <w:t>parison between material inflows to in-use stocks (or stock additions) of EXIOBASE v3.3.17 and other studies</w:t>
      </w:r>
    </w:p>
    <w:tbl>
      <w:tblPr>
        <w:tblW w:w="95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92"/>
        <w:gridCol w:w="1985"/>
        <w:gridCol w:w="2409"/>
        <w:gridCol w:w="2177"/>
      </w:tblGrid>
      <w:tr w:rsidR="00036193" w:rsidRPr="00542A22" w:rsidTr="008C03E6">
        <w:trPr>
          <w:trHeight w:val="546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036193" w:rsidP="003C33D7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Source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C33D7" w:rsidRDefault="00A66FE3" w:rsidP="003C33D7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</w:pPr>
            <w:r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>EXIOBASE v3.3.17</w:t>
            </w:r>
          </w:p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="008C03E6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"citationItems":[{"id":"ITEM-1","itemData":{"DOI":"10.1111/jiec.12713","author":[{"dropping-particle":"","family":"Merciai","given":"Stefano","non-dropping-particle":"","parse-names":false,"suffix":""},{"dropping-particle":"","family":"Schmidt","given":"Jannick","non-dropping-particle":"","parse-names":false,"suffix":""}],"container-title":"Journal of Industrial Ecology","id":"ITEM-1","issue":"0","issued":{"date-parts":[["2018"]]},"page":"1-16","title":"Methodology for the Construction of Global Multi-Regional Hybrid Supply and Use Tables for the EXIOBASE v3 Database","type":"article-journal","volume":"00"},"uris":["http://www.mendeley.com/documents/?uuid=afe53b53-8575-4434-bd69-480697797a04"]},{"id":"ITEM-2","itemData":{"author":[{"dropping-particle":"","family":"Schmidt","given":"Jannick","non-dropping-particle":"","parse-names":false,"suffix":""},{"dropping-particle":"","family":"Merciai","given":"Stefano","non-dropping-particle":"","parse-names":false,"suffix":""}],"id":"ITEM-2","issued":{"date-parts":[["2017"]]},"title":"Physical/hybrid supply and use tables – methodological report. DESIRE deliverable","type":"report"},"uris":["http://www.mendeley.com/documents/?uuid=4375c2f3-8754-43a8-b665-be224f317fe6"]}],"mendeley":{"formattedCitation":"(Merciai and Schmidt 2018; Schmidt and Merciai 2017)","plainTextFormattedCitation":"(Merciai and Schmidt 2018; Schmidt and Merciai 2017)","previouslyFormattedCitation":"(Merciai and Schmidt 2018; Schmidt and Merciai 2017)"},"properties":{"noteIndex":0},"schema":"https://github.com/citation-style-language/schema/raw/master/csl-citation.json"}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="00A66FE3" w:rsidRPr="00A66FE3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(Merciai and Schmidt 2018; Schmidt and Merciai 2017)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A66FE3" w:rsidRDefault="00A66FE3" w:rsidP="003C33D7">
            <w:pPr>
              <w:spacing w:after="0" w:line="240" w:lineRule="auto"/>
              <w:jc w:val="center"/>
              <w:textAlignment w:val="bottom"/>
              <w:rPr>
                <w:rFonts w:asciiTheme="minorHAnsi" w:hAnsiTheme="minorHAnsi"/>
                <w:color w:val="auto"/>
                <w:lang w:val="es-CR"/>
              </w:rPr>
            </w:pPr>
            <w:r w:rsidRPr="00A66FE3">
              <w:rPr>
                <w:rFonts w:eastAsia="Times New Roman" w:cs="Arial"/>
                <w:bCs/>
                <w:color w:val="000000" w:themeColor="text1"/>
                <w:kern w:val="24"/>
                <w:lang w:val="es-CR" w:eastAsia="en-GB"/>
              </w:rPr>
              <w:t xml:space="preserve">MISO database </w:t>
            </w:r>
            <w:r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>
              <w:rPr>
                <w:rFonts w:eastAsia="Times New Roman" w:cs="Arial"/>
                <w:bCs/>
                <w:color w:val="000000" w:themeColor="text1"/>
                <w:kern w:val="24"/>
                <w:lang w:val="es-CR" w:eastAsia="en-GB"/>
              </w:rPr>
              <w:instrText>ADDIN CSL_CITATION {"citationItems":[{"id":"ITEM-1","itemData":{"DOI":"10.1016/j.ecolecon.2018.09.010","ISSN":"0921-8009","author":[{"dropping-particle":"","family":"Wiedenhofer","given":"Dominik","non-dropping-particle":"","parse-names":false,"suffix":""},{"dropping-particle":"","family":"Fishman","given":"Tomer","non-dropping-particle":"","parse-names":false,"suffix":""},{"dropping-particle":"","family":"Lauk","given":"Christian","non-dropping-particle":"","parse-names":false,"suffix":""},{"dropping-particle":"","family":"Haas","given":"Willi","non-dropping-particle":"","parse-names":false,"suffix":""},{"dropping-particle":"","family":"Krausmann","given":"Fridolin","non-dropping-particle":"","parse-names":false,"suffix":""}],"container-title":"Ecological Economics","id":"ITEM-1","issued":{"date-parts":[["2019"]]},"page":"121-133","publisher":"Elsevier","title":"Integrating Material Stock Dynamics Into Economy-Wide Material Flow Accounting : Concepts , Modelling , and Global Application for 1900 – 2050","type":"article-journal","volume":"156"},"uris":["http://www.mendeley.com/documents/?uuid=a644af37-a0c1-4ae8-a0e3-31c42c01ac14"]}],"mendeley":{"formattedCitation":"(Wiedenhofer et al. 2019)","plainTextFormattedCitation":"(Wiedenhofer et al. 2019)","previouslyFormattedCitation":"(Wiedenhofer et al. 2019)"},"properties":{"noteIndex":0},"schema":"https://github.com/citation-style-language/schema/raw/master/csl-citation.json"}</w:instrText>
            </w:r>
            <w:r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A66FE3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s-CR" w:eastAsia="en-GB"/>
              </w:rPr>
              <w:t>(Wiedenhofer et al. 2019)</w:t>
            </w:r>
            <w:r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 xml:space="preserve">Haas et al. 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="008C61EC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{"citationItems":[{"id":"ITEM-1","itemData":{"DOI":"10.1111/jiec.12244","ISBN":"1530-9290","ISSN":"15309290","abstract":"It is increasingly recognized that the growing metabolism of society is approaching limitations both with respect to sources for resource inputs and sinks for waste and emission outflows. The circular economy {(CE)} is a simple, but convincing, strategy, which aims at reducing both input of virgin materials and output of wastes by closing economic and ecological loops of resource flows. This article applies a sociometabolic approach to assess the circularity of global material flows. All societal material flows globally and in the European Union {(EU-27)} are traced from extraction to disposal and presented for main material groups for 2005. Our estimate shows that while globally roughly 4 gigatonnes per year {(Gt/yr)} of waste materials are recycled, this flow is of moderate size compared to {62~Gt/yr} of processed materials and outputs of {41~Gt/yr.} The low degree of circularity has two main reasons: First, 44% of processed materials are used to provide energy and are thus not available for recycling. Second, socioeconomic stocks are still growing at a high rate with net additions to stocks of {17~Gt/yr.} Despite having considerably higher end-of-life recycling rates in the {EU,} the overall degree of circularity is low for similar reasons. Our results indicate that strategies targeting the output side (end of pipe) are limited given present proportions of flows, whereas a shift to renewable energy, a significant reduction of societal stock growth, and decisive eco-design are required to advance toward a {CE.}","author":[{"dropping-particle":"","family":"Haas","given":"Willi","non-dropping-particle":"","parse-names":false,"suffix":""},{"dropping-particle":"","family":"Krausmann","given":"Fridolin","non-dropping-particle":"","parse-names":false,"suffix":""},{"dropping-particle":"","family":"Wiedenhofer","given":"Dominik","non-dropping-particle":"","parse-names":false,"suffix":""},{"dropping-particle":"","family":"Heinz","given":"Markus","non-dropping-particle":"","parse-names":false,"suffix":""}],"container-title":"Journal of Industrial Ecology","id":"ITEM-1","issue":"5","issued":{"date-parts":[["2015"]]},"page":"765-777","title":"How circular is the global economy?: An assessment of material flows, waste production, and recycling in the European union and the world in 2005","type":"article-journal","volume":"19"},"suppress-author":1,"uris":["http://www.mendeley.com/documents/?uuid=d0e07d48-01fd-458b-9133-1b5c99469bd1"]}],"mendeley":{"formattedCitation":"(2015)","plainTextFormattedCitation":"(2015)","previouslyFormattedCitation":"(2015)"},"properties":{"noteIndex":0},"schema":"https://github.com/citation-style-language/schema/raw/master/csl-citation.json"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(2015)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</w:tr>
      <w:tr w:rsidR="00036193" w:rsidRPr="00542A22" w:rsidTr="008C03E6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Year</w:t>
            </w:r>
            <w:r w:rsidR="00036193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 xml:space="preserve"> reference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2005</w:t>
            </w:r>
          </w:p>
        </w:tc>
      </w:tr>
      <w:tr w:rsidR="00036193" w:rsidRPr="00542A22" w:rsidTr="008C03E6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8C03E6" w:rsidP="0088760F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Global s</w:t>
            </w:r>
            <w:r w:rsidR="00A66FE3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tock additions (Gigatonnes)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A66FE3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29.4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A66FE3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29.8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8C03E6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26.0</w:t>
            </w:r>
          </w:p>
        </w:tc>
      </w:tr>
    </w:tbl>
    <w:p w:rsidR="0040791A" w:rsidRPr="0088760F" w:rsidRDefault="0040791A" w:rsidP="0040791A">
      <w:pPr>
        <w:spacing w:after="0" w:line="480" w:lineRule="auto"/>
        <w:rPr>
          <w:lang w:val="en-US"/>
        </w:rPr>
      </w:pPr>
      <w:r>
        <w:rPr>
          <w:lang w:val="en-US"/>
        </w:rPr>
        <w:t xml:space="preserve">  </w:t>
      </w:r>
    </w:p>
    <w:p w:rsidR="00542A22" w:rsidRPr="00036193" w:rsidRDefault="00542A22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5" w:name="_Toc36734163"/>
      <w:r w:rsidRPr="00542A22">
        <w:rPr>
          <w:lang w:val="en-US"/>
        </w:rPr>
        <w:t>Literature</w:t>
      </w:r>
      <w:bookmarkEnd w:id="5"/>
    </w:p>
    <w:p w:rsidR="008C03E6" w:rsidRPr="008C03E6" w:rsidRDefault="003C33D7" w:rsidP="008C03E6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Calibri"/>
          <w:noProof/>
          <w:szCs w:val="24"/>
        </w:rPr>
      </w:pPr>
      <w:r w:rsidRPr="003C33D7">
        <w:rPr>
          <w:lang w:val="en-US"/>
        </w:rPr>
        <w:fldChar w:fldCharType="begin" w:fldLock="1"/>
      </w:r>
      <w:r w:rsidRPr="003C33D7">
        <w:rPr>
          <w:lang w:val="en-US"/>
        </w:rPr>
        <w:instrText xml:space="preserve">ADDIN Mendeley Bibliography CSL_BIBLIOGRAPHY </w:instrText>
      </w:r>
      <w:r w:rsidRPr="003C33D7">
        <w:rPr>
          <w:lang w:val="en-US"/>
        </w:rPr>
        <w:fldChar w:fldCharType="separate"/>
      </w:r>
      <w:r w:rsidR="008C03E6" w:rsidRPr="008C03E6">
        <w:rPr>
          <w:rFonts w:cs="Calibri"/>
          <w:noProof/>
          <w:szCs w:val="24"/>
        </w:rPr>
        <w:t xml:space="preserve">Aguilar-Hernandez, G.A., C.P. Sigüenza-Sanchez, F. Donati, S. Merciai, J. Schmidt, J.F.D. Rodrigues, and A. Tukker. 2019. The circularity gap of nations: A multiregional analysis of waste generation, recovery, and stock depletion in 2011. </w:t>
      </w:r>
      <w:r w:rsidR="008C03E6" w:rsidRPr="008C03E6">
        <w:rPr>
          <w:rFonts w:cs="Calibri"/>
          <w:i/>
          <w:iCs/>
          <w:noProof/>
          <w:szCs w:val="24"/>
        </w:rPr>
        <w:t>Resources, Conservation and Recycling</w:t>
      </w:r>
      <w:r w:rsidR="008C03E6" w:rsidRPr="008C03E6">
        <w:rPr>
          <w:rFonts w:cs="Calibri"/>
          <w:noProof/>
          <w:szCs w:val="24"/>
        </w:rPr>
        <w:t xml:space="preserve"> 151: 104452. https://linkinghub.elsevier.com/retrieve/pii/S0921344919303581.</w:t>
      </w:r>
    </w:p>
    <w:p w:rsidR="008C03E6" w:rsidRPr="008C03E6" w:rsidRDefault="008C03E6" w:rsidP="008C03E6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Calibri"/>
          <w:noProof/>
          <w:szCs w:val="24"/>
        </w:rPr>
      </w:pPr>
      <w:r w:rsidRPr="008C03E6">
        <w:rPr>
          <w:rFonts w:cs="Calibri"/>
          <w:noProof/>
          <w:szCs w:val="24"/>
        </w:rPr>
        <w:t xml:space="preserve">Haas, W., F. Krausmann, D. Wiedenhofer, and M. Heinz. 2015. How circular is the global economy?: An assessment of material flows, waste production, and recycling in the European union and the world in 2005. </w:t>
      </w:r>
      <w:r w:rsidRPr="008C03E6">
        <w:rPr>
          <w:rFonts w:cs="Calibri"/>
          <w:i/>
          <w:iCs/>
          <w:noProof/>
          <w:szCs w:val="24"/>
        </w:rPr>
        <w:t>Journal of Industrial Ecology</w:t>
      </w:r>
      <w:r w:rsidRPr="008C03E6">
        <w:rPr>
          <w:rFonts w:cs="Calibri"/>
          <w:noProof/>
          <w:szCs w:val="24"/>
        </w:rPr>
        <w:t xml:space="preserve"> 19(5): 765–777.</w:t>
      </w:r>
    </w:p>
    <w:p w:rsidR="008C03E6" w:rsidRPr="008C03E6" w:rsidRDefault="008C03E6" w:rsidP="008C03E6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Calibri"/>
          <w:noProof/>
          <w:szCs w:val="24"/>
        </w:rPr>
      </w:pPr>
      <w:r w:rsidRPr="008C03E6">
        <w:rPr>
          <w:rFonts w:cs="Calibri"/>
          <w:noProof/>
          <w:szCs w:val="24"/>
        </w:rPr>
        <w:t xml:space="preserve">Merciai, S. and J. Schmidt. 2018. Methodology for the Construction of Global Multi-Regional Hybrid Supply and Use Tables for the EXIOBASE v3 Database. </w:t>
      </w:r>
      <w:r w:rsidRPr="008C03E6">
        <w:rPr>
          <w:rFonts w:cs="Calibri"/>
          <w:i/>
          <w:iCs/>
          <w:noProof/>
          <w:szCs w:val="24"/>
        </w:rPr>
        <w:t>Journal of Industrial Ecology</w:t>
      </w:r>
      <w:r w:rsidRPr="008C03E6">
        <w:rPr>
          <w:rFonts w:cs="Calibri"/>
          <w:noProof/>
          <w:szCs w:val="24"/>
        </w:rPr>
        <w:t xml:space="preserve"> 00(0): 1–16.</w:t>
      </w:r>
    </w:p>
    <w:p w:rsidR="008C03E6" w:rsidRPr="008C03E6" w:rsidRDefault="008C03E6" w:rsidP="008C03E6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Calibri"/>
          <w:noProof/>
          <w:szCs w:val="24"/>
        </w:rPr>
      </w:pPr>
      <w:r w:rsidRPr="008C03E6">
        <w:rPr>
          <w:rFonts w:cs="Calibri"/>
          <w:noProof/>
          <w:szCs w:val="24"/>
        </w:rPr>
        <w:t xml:space="preserve">Schmidt, J. and S. Merciai. 2017. </w:t>
      </w:r>
      <w:r w:rsidRPr="008C03E6">
        <w:rPr>
          <w:rFonts w:cs="Calibri"/>
          <w:i/>
          <w:iCs/>
          <w:noProof/>
          <w:szCs w:val="24"/>
        </w:rPr>
        <w:t xml:space="preserve">Physical/hybrid supply and use tables – methodological report. </w:t>
      </w:r>
      <w:r w:rsidRPr="008C03E6">
        <w:rPr>
          <w:rFonts w:cs="Calibri"/>
          <w:i/>
          <w:iCs/>
          <w:noProof/>
          <w:szCs w:val="24"/>
        </w:rPr>
        <w:lastRenderedPageBreak/>
        <w:t>DESIRE deliverable</w:t>
      </w:r>
      <w:r w:rsidRPr="008C03E6">
        <w:rPr>
          <w:rFonts w:cs="Calibri"/>
          <w:noProof/>
          <w:szCs w:val="24"/>
        </w:rPr>
        <w:t>.</w:t>
      </w:r>
    </w:p>
    <w:p w:rsidR="008C03E6" w:rsidRPr="008C03E6" w:rsidRDefault="008C03E6" w:rsidP="008C03E6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Calibri"/>
          <w:noProof/>
          <w:szCs w:val="24"/>
        </w:rPr>
      </w:pPr>
      <w:r w:rsidRPr="008C03E6">
        <w:rPr>
          <w:rFonts w:cs="Calibri"/>
          <w:noProof/>
          <w:szCs w:val="24"/>
        </w:rPr>
        <w:t>Tableau. 2019. Tableau Public 2019.4. https://public.tableau.com/en-us/s/.</w:t>
      </w:r>
    </w:p>
    <w:p w:rsidR="008C03E6" w:rsidRPr="008C03E6" w:rsidRDefault="008C03E6" w:rsidP="008C03E6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Calibri"/>
          <w:noProof/>
          <w:szCs w:val="24"/>
        </w:rPr>
      </w:pPr>
      <w:r w:rsidRPr="008C03E6">
        <w:rPr>
          <w:rFonts w:cs="Calibri"/>
          <w:noProof/>
          <w:szCs w:val="24"/>
        </w:rPr>
        <w:t xml:space="preserve">Wiedenhofer, D., T. Fishman, C. Lauk, W. Haas, and F. Krausmann. 2019. Integrating Material Stock Dynamics Into Economy-Wide Material Flow Accounting : Concepts , Modelling , and Global Application for 1900 – 2050. </w:t>
      </w:r>
      <w:r w:rsidRPr="008C03E6">
        <w:rPr>
          <w:rFonts w:cs="Calibri"/>
          <w:i/>
          <w:iCs/>
          <w:noProof/>
          <w:szCs w:val="24"/>
        </w:rPr>
        <w:t>Ecological Economics</w:t>
      </w:r>
      <w:r w:rsidRPr="008C03E6">
        <w:rPr>
          <w:rFonts w:cs="Calibri"/>
          <w:noProof/>
          <w:szCs w:val="24"/>
        </w:rPr>
        <w:t xml:space="preserve"> 156: 121–133.</w:t>
      </w:r>
    </w:p>
    <w:p w:rsidR="008C03E6" w:rsidRPr="008C03E6" w:rsidRDefault="008C03E6" w:rsidP="008C03E6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Calibri"/>
          <w:noProof/>
        </w:rPr>
      </w:pPr>
      <w:r w:rsidRPr="008C03E6">
        <w:rPr>
          <w:rFonts w:cs="Calibri"/>
          <w:noProof/>
          <w:szCs w:val="24"/>
        </w:rPr>
        <w:t>World-Bank. 2020. World Bank Open Data.</w:t>
      </w:r>
    </w:p>
    <w:p w:rsidR="003C33D7" w:rsidRPr="00542A22" w:rsidRDefault="003C33D7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Theme="minorHAnsi" w:hAnsiTheme="minorHAnsi"/>
          <w:color w:val="auto"/>
          <w:lang w:val="en-US"/>
        </w:rPr>
      </w:pPr>
      <w:r w:rsidRPr="003C33D7">
        <w:rPr>
          <w:lang w:val="en-US"/>
        </w:rPr>
        <w:fldChar w:fldCharType="end"/>
      </w:r>
    </w:p>
    <w:p w:rsidR="006E5321" w:rsidRPr="00542A22" w:rsidRDefault="002D6836" w:rsidP="00542A22">
      <w:pPr>
        <w:rPr>
          <w:rFonts w:asciiTheme="minorHAnsi" w:hAnsiTheme="minorHAnsi"/>
          <w:color w:val="auto"/>
          <w:lang w:val="en-US"/>
        </w:rPr>
      </w:pPr>
    </w:p>
    <w:sectPr w:rsidR="006E5321" w:rsidRPr="00542A2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836" w:rsidRDefault="002D6836" w:rsidP="00AB05C7">
      <w:pPr>
        <w:spacing w:after="0" w:line="240" w:lineRule="auto"/>
      </w:pPr>
      <w:r>
        <w:separator/>
      </w:r>
    </w:p>
  </w:endnote>
  <w:endnote w:type="continuationSeparator" w:id="0">
    <w:p w:rsidR="002D6836" w:rsidRDefault="002D6836" w:rsidP="00AB0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554697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B05C7" w:rsidRDefault="00AB05C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2D5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2D5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05C7" w:rsidRDefault="00AB05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836" w:rsidRDefault="002D6836" w:rsidP="00AB05C7">
      <w:pPr>
        <w:spacing w:after="0" w:line="240" w:lineRule="auto"/>
      </w:pPr>
      <w:r>
        <w:separator/>
      </w:r>
    </w:p>
  </w:footnote>
  <w:footnote w:type="continuationSeparator" w:id="0">
    <w:p w:rsidR="002D6836" w:rsidRDefault="002D6836" w:rsidP="00AB0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C9B"/>
    <w:multiLevelType w:val="hybridMultilevel"/>
    <w:tmpl w:val="710A0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10054"/>
    <w:multiLevelType w:val="hybridMultilevel"/>
    <w:tmpl w:val="E6FE3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C4D6D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D4C487C"/>
    <w:multiLevelType w:val="hybridMultilevel"/>
    <w:tmpl w:val="79F08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F5E77"/>
    <w:multiLevelType w:val="hybridMultilevel"/>
    <w:tmpl w:val="51965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90"/>
    <w:rsid w:val="00036193"/>
    <w:rsid w:val="00063129"/>
    <w:rsid w:val="000F1E16"/>
    <w:rsid w:val="000F287A"/>
    <w:rsid w:val="001026CF"/>
    <w:rsid w:val="001B371D"/>
    <w:rsid w:val="0024638F"/>
    <w:rsid w:val="002C4C50"/>
    <w:rsid w:val="002D6836"/>
    <w:rsid w:val="002F3084"/>
    <w:rsid w:val="003C33D7"/>
    <w:rsid w:val="0040791A"/>
    <w:rsid w:val="004575BE"/>
    <w:rsid w:val="005247C1"/>
    <w:rsid w:val="00542A22"/>
    <w:rsid w:val="005E7670"/>
    <w:rsid w:val="00617D1C"/>
    <w:rsid w:val="00630190"/>
    <w:rsid w:val="006366AB"/>
    <w:rsid w:val="00643953"/>
    <w:rsid w:val="00661527"/>
    <w:rsid w:val="00662B4D"/>
    <w:rsid w:val="00686EC2"/>
    <w:rsid w:val="006F281D"/>
    <w:rsid w:val="00727939"/>
    <w:rsid w:val="007A228B"/>
    <w:rsid w:val="007B29A5"/>
    <w:rsid w:val="007E77DA"/>
    <w:rsid w:val="00883533"/>
    <w:rsid w:val="0088760F"/>
    <w:rsid w:val="00892D50"/>
    <w:rsid w:val="008C03E6"/>
    <w:rsid w:val="008C61EC"/>
    <w:rsid w:val="009579B5"/>
    <w:rsid w:val="009745B3"/>
    <w:rsid w:val="009A596D"/>
    <w:rsid w:val="00A66ED2"/>
    <w:rsid w:val="00A66FE3"/>
    <w:rsid w:val="00AB05C7"/>
    <w:rsid w:val="00B34025"/>
    <w:rsid w:val="00B416D1"/>
    <w:rsid w:val="00BA6190"/>
    <w:rsid w:val="00C70AF5"/>
    <w:rsid w:val="00CA7A4E"/>
    <w:rsid w:val="00D04876"/>
    <w:rsid w:val="00D507ED"/>
    <w:rsid w:val="00D62AF2"/>
    <w:rsid w:val="00D75467"/>
    <w:rsid w:val="00DA4F1C"/>
    <w:rsid w:val="00ED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0F0E54-7E70-427A-8B11-AECE5497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A22"/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B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A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2A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2"/>
    <w:rPr>
      <w:rFonts w:ascii="Tahoma" w:eastAsia="Calibri" w:hAnsi="Tahoma" w:cs="Tahoma"/>
      <w:color w:val="00000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5BE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75BE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638F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05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05C7"/>
    <w:rPr>
      <w:rFonts w:ascii="Calibri" w:eastAsia="Calibri" w:hAnsi="Calibri"/>
      <w:color w:val="00000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05C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B0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5C7"/>
    <w:rPr>
      <w:rFonts w:ascii="Calibri" w:eastAsia="Calibri" w:hAnsi="Calibri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AB0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5C7"/>
    <w:rPr>
      <w:rFonts w:ascii="Calibri" w:eastAsia="Calibri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iobase.e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ata.worldbank.org/indicator/SP.POP.TO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2DA2B7B-3180-447D-B823-FDB6BD81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2178</Words>
  <Characters>12416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14565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Hernandez, G.A.</dc:creator>
  <cp:keywords/>
  <dc:description/>
  <cp:lastModifiedBy>Glenn Alonso Aguilar Hernandez</cp:lastModifiedBy>
  <cp:revision>33</cp:revision>
  <dcterms:created xsi:type="dcterms:W3CDTF">2018-10-30T15:11:00Z</dcterms:created>
  <dcterms:modified xsi:type="dcterms:W3CDTF">2020-04-03T14:07:00Z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http://www.zotero.org/styles/journal-of-industrial-ecology</vt:lpwstr>
  </property>
  <property fmtid="{D5CDD505-2E9C-101B-9397-08002B2CF9AE}" pid="15" name="Mendeley Recent Style Name 6_1">
    <vt:lpwstr>Journal of Industrial Ecology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http://www.zotero.org/styles/pnas</vt:lpwstr>
  </property>
  <property fmtid="{D5CDD505-2E9C-101B-9397-08002B2CF9AE}" pid="19" name="Mendeley Recent Style Name 8_1">
    <vt:lpwstr>Proceedings of the National Academy of Sciences of the United States of America</vt:lpwstr>
  </property>
  <property fmtid="{D5CDD505-2E9C-101B-9397-08002B2CF9AE}" pid="20" name="Mendeley Recent Style Id 9_1">
    <vt:lpwstr>http://www.zotero.org/styles/springer-basic-author-date</vt:lpwstr>
  </property>
  <property fmtid="{D5CDD505-2E9C-101B-9397-08002B2CF9AE}" pid="21" name="Mendeley Recent Style Name 9_1">
    <vt:lpwstr>Springer - Basic (author-date)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96dedc6d-a0ee-3cc1-a86c-e72e995f1e6f</vt:lpwstr>
  </property>
  <property fmtid="{D5CDD505-2E9C-101B-9397-08002B2CF9AE}" pid="24" name="Mendeley Citation Style_1">
    <vt:lpwstr>http://www.zotero.org/styles/journal-of-industrial-ecology</vt:lpwstr>
  </property>
</Properties>
</file>