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8F2E" w14:textId="77777777" w:rsidR="002D46CC" w:rsidRDefault="00CD7B7C">
      <w:pPr>
        <w:pStyle w:val="Header"/>
        <w:rPr>
          <w:rFonts w:ascii="Arial" w:hAnsi="Arial"/>
          <w:sz w:val="28"/>
        </w:rPr>
      </w:pPr>
      <w:r>
        <w:rPr>
          <w:noProof/>
          <w:lang w:val="en-AU" w:eastAsia="en-AU"/>
        </w:rPr>
        <w:drawing>
          <wp:anchor distT="0" distB="0" distL="114300" distR="114300" simplePos="0" relativeHeight="251658240" behindDoc="1" locked="0" layoutInCell="1" allowOverlap="1" wp14:anchorId="26B5D151" wp14:editId="282BC5C7">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EC256" w14:textId="77777777"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14:paraId="1C122301" w14:textId="77777777" w:rsidR="002B5979" w:rsidRDefault="002B5979">
      <w:pPr>
        <w:pStyle w:val="Header"/>
        <w:rPr>
          <w:rFonts w:ascii="Arial" w:hAnsi="Arial"/>
          <w:sz w:val="28"/>
        </w:rPr>
      </w:pPr>
    </w:p>
    <w:p w14:paraId="7ED594F5" w14:textId="1E32770D" w:rsidR="00637D84" w:rsidRPr="008929D7" w:rsidRDefault="00C218C6" w:rsidP="008A2B05">
      <w:pPr>
        <w:pStyle w:val="Header"/>
        <w:rPr>
          <w:rFonts w:ascii="Arial" w:hAnsi="Arial"/>
          <w:b/>
          <w:sz w:val="28"/>
        </w:rPr>
      </w:pPr>
      <w:r w:rsidRPr="004F48D9">
        <w:rPr>
          <w:rFonts w:ascii="Arial" w:hAnsi="Arial"/>
          <w:sz w:val="28"/>
          <w:lang w:val="en-AU"/>
        </w:rPr>
        <w:t>Aguilar-Hernandez</w:t>
      </w:r>
      <w:r w:rsidR="0067182A" w:rsidRPr="004F48D9">
        <w:rPr>
          <w:rFonts w:ascii="Arial" w:hAnsi="Arial"/>
          <w:sz w:val="28"/>
          <w:lang w:val="en-AU"/>
        </w:rPr>
        <w:t xml:space="preserve">, </w:t>
      </w:r>
      <w:r w:rsidRPr="004F48D9">
        <w:rPr>
          <w:rFonts w:ascii="Arial" w:hAnsi="Arial"/>
          <w:sz w:val="28"/>
          <w:lang w:val="en-AU"/>
        </w:rPr>
        <w:t>G</w:t>
      </w:r>
      <w:r w:rsidR="008929D7" w:rsidRPr="004F48D9">
        <w:rPr>
          <w:rFonts w:ascii="Arial" w:hAnsi="Arial"/>
          <w:sz w:val="28"/>
          <w:lang w:val="en-AU"/>
        </w:rPr>
        <w:t>.</w:t>
      </w:r>
      <w:r w:rsidRPr="004F48D9">
        <w:rPr>
          <w:rFonts w:ascii="Arial" w:hAnsi="Arial"/>
          <w:sz w:val="28"/>
          <w:lang w:val="en-AU"/>
        </w:rPr>
        <w:t>A.</w:t>
      </w:r>
      <w:r w:rsidR="00957CB3" w:rsidRPr="004F48D9">
        <w:rPr>
          <w:rFonts w:ascii="Arial" w:hAnsi="Arial"/>
          <w:sz w:val="28"/>
          <w:lang w:val="en-AU"/>
        </w:rPr>
        <w:t xml:space="preserve">, </w:t>
      </w:r>
      <w:proofErr w:type="spellStart"/>
      <w:r w:rsidRPr="004F48D9">
        <w:rPr>
          <w:rFonts w:ascii="Arial" w:hAnsi="Arial"/>
          <w:sz w:val="28"/>
          <w:lang w:val="en-AU"/>
        </w:rPr>
        <w:t>Deetman</w:t>
      </w:r>
      <w:proofErr w:type="spellEnd"/>
      <w:r w:rsidR="00957CB3" w:rsidRPr="004F48D9">
        <w:rPr>
          <w:rFonts w:ascii="Arial" w:hAnsi="Arial"/>
          <w:sz w:val="28"/>
          <w:lang w:val="en-AU"/>
        </w:rPr>
        <w:t>,</w:t>
      </w:r>
      <w:r w:rsidR="009F5CBF" w:rsidRPr="004F48D9">
        <w:rPr>
          <w:rFonts w:ascii="Arial" w:hAnsi="Arial"/>
          <w:sz w:val="28"/>
          <w:lang w:val="en-AU"/>
        </w:rPr>
        <w:t xml:space="preserve"> </w:t>
      </w:r>
      <w:r w:rsidRPr="004F48D9">
        <w:rPr>
          <w:rFonts w:ascii="Arial" w:hAnsi="Arial"/>
          <w:sz w:val="28"/>
          <w:lang w:val="en-AU"/>
        </w:rPr>
        <w:t>S</w:t>
      </w:r>
      <w:r w:rsidR="00DB45F4" w:rsidRPr="004F48D9">
        <w:rPr>
          <w:rFonts w:ascii="Arial" w:hAnsi="Arial"/>
          <w:sz w:val="28"/>
          <w:lang w:val="en-AU"/>
        </w:rPr>
        <w:t>.</w:t>
      </w:r>
      <w:r w:rsidRPr="004F48D9">
        <w:rPr>
          <w:rFonts w:ascii="Arial" w:hAnsi="Arial"/>
          <w:sz w:val="28"/>
          <w:lang w:val="en-AU"/>
        </w:rPr>
        <w:t>,</w:t>
      </w:r>
      <w:r w:rsidR="009F713E">
        <w:rPr>
          <w:rFonts w:ascii="Arial" w:hAnsi="Arial"/>
          <w:sz w:val="28"/>
          <w:lang w:val="en-AU"/>
        </w:rPr>
        <w:t xml:space="preserve"> </w:t>
      </w:r>
      <w:proofErr w:type="spellStart"/>
      <w:r w:rsidR="009F713E">
        <w:rPr>
          <w:rFonts w:ascii="Arial" w:hAnsi="Arial"/>
          <w:sz w:val="28"/>
          <w:lang w:val="en-AU"/>
        </w:rPr>
        <w:t>Merciai</w:t>
      </w:r>
      <w:proofErr w:type="spellEnd"/>
      <w:r w:rsidR="009F713E">
        <w:rPr>
          <w:rFonts w:ascii="Arial" w:hAnsi="Arial"/>
          <w:sz w:val="28"/>
          <w:lang w:val="en-AU"/>
        </w:rPr>
        <w:t>, S.,</w:t>
      </w:r>
      <w:r w:rsidRPr="004F48D9">
        <w:rPr>
          <w:rFonts w:ascii="Arial" w:hAnsi="Arial"/>
          <w:sz w:val="28"/>
          <w:lang w:val="en-AU"/>
        </w:rPr>
        <w:t xml:space="preserve"> Rodrigues, J.F.D &amp; </w:t>
      </w:r>
      <w:proofErr w:type="spellStart"/>
      <w:r w:rsidRPr="004F48D9">
        <w:rPr>
          <w:rFonts w:ascii="Arial" w:hAnsi="Arial"/>
          <w:sz w:val="28"/>
          <w:lang w:val="en-AU"/>
        </w:rPr>
        <w:t>Tukker</w:t>
      </w:r>
      <w:proofErr w:type="spellEnd"/>
      <w:r w:rsidRPr="004F48D9">
        <w:rPr>
          <w:rFonts w:ascii="Arial" w:hAnsi="Arial"/>
          <w:sz w:val="28"/>
          <w:lang w:val="en-AU"/>
        </w:rPr>
        <w:t>, A</w:t>
      </w:r>
      <w:r w:rsidR="00DB45F4" w:rsidRPr="004F48D9">
        <w:rPr>
          <w:rFonts w:ascii="Arial" w:hAnsi="Arial"/>
          <w:sz w:val="28"/>
          <w:lang w:val="en-AU"/>
        </w:rPr>
        <w:t>.</w:t>
      </w:r>
      <w:r w:rsidR="008929D7" w:rsidRPr="004F48D9">
        <w:rPr>
          <w:rFonts w:ascii="Arial" w:hAnsi="Arial"/>
          <w:sz w:val="28"/>
          <w:lang w:val="en-AU"/>
        </w:rPr>
        <w:t xml:space="preserve"> </w:t>
      </w:r>
      <w:r w:rsidR="00DB45F4" w:rsidRPr="004F48D9">
        <w:rPr>
          <w:rFonts w:ascii="Arial" w:hAnsi="Arial"/>
          <w:sz w:val="28"/>
          <w:lang w:val="en-AU"/>
        </w:rPr>
        <w:t>(</w:t>
      </w:r>
      <w:r w:rsidR="008929D7" w:rsidRPr="004F48D9">
        <w:rPr>
          <w:rFonts w:ascii="Arial" w:hAnsi="Arial"/>
          <w:sz w:val="28"/>
          <w:lang w:val="en-AU"/>
        </w:rPr>
        <w:t>20</w:t>
      </w:r>
      <w:r w:rsidR="003328E4" w:rsidRPr="004F48D9">
        <w:rPr>
          <w:rFonts w:ascii="Arial" w:hAnsi="Arial"/>
          <w:sz w:val="28"/>
          <w:lang w:val="en-AU"/>
        </w:rPr>
        <w:t>2</w:t>
      </w:r>
      <w:r w:rsidR="00AF76CD">
        <w:rPr>
          <w:rFonts w:ascii="Arial" w:hAnsi="Arial"/>
          <w:sz w:val="28"/>
          <w:lang w:val="en-AU"/>
        </w:rPr>
        <w:t>1</w:t>
      </w:r>
      <w:r w:rsidR="00DB45F4" w:rsidRPr="004F48D9">
        <w:rPr>
          <w:rFonts w:ascii="Arial" w:hAnsi="Arial"/>
          <w:sz w:val="28"/>
          <w:lang w:val="en-AU"/>
        </w:rPr>
        <w:t>)</w:t>
      </w:r>
      <w:r w:rsidRPr="004F48D9">
        <w:rPr>
          <w:lang w:val="en-AU"/>
        </w:rPr>
        <w:t xml:space="preserve"> </w:t>
      </w:r>
      <w:r w:rsidRPr="00C218C6">
        <w:rPr>
          <w:rFonts w:ascii="Arial" w:hAnsi="Arial"/>
          <w:sz w:val="28"/>
          <w:lang w:val="en-AU"/>
        </w:rPr>
        <w:t xml:space="preserve">Global distribution of material inflows to </w:t>
      </w:r>
      <w:r w:rsidR="009F713E">
        <w:rPr>
          <w:rFonts w:ascii="Arial" w:hAnsi="Arial"/>
          <w:sz w:val="28"/>
          <w:lang w:val="en-AU"/>
        </w:rPr>
        <w:t>in-use stocks in 2011</w:t>
      </w:r>
      <w:r w:rsidRPr="00C218C6">
        <w:rPr>
          <w:rFonts w:ascii="Arial" w:hAnsi="Arial"/>
          <w:sz w:val="28"/>
          <w:lang w:val="en-AU"/>
        </w:rPr>
        <w:t xml:space="preserve">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14:paraId="62C072AA" w14:textId="77777777" w:rsidR="00637D84" w:rsidRDefault="00A72073">
      <w:pPr>
        <w:pStyle w:val="Header"/>
        <w:rPr>
          <w:rFonts w:ascii="Garamond" w:hAnsi="Garamond"/>
          <w:sz w:val="20"/>
        </w:rPr>
      </w:pPr>
      <w:r>
        <w:rPr>
          <w:rFonts w:ascii="Garamond" w:hAnsi="Garamond"/>
          <w:noProof/>
          <w:sz w:val="20"/>
        </w:rPr>
        <w:object w:dxaOrig="1440" w:dyaOrig="1440" w14:anchorId="324F2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84577725" r:id="rId10"/>
        </w:object>
      </w:r>
    </w:p>
    <w:p w14:paraId="0BFBC0BF" w14:textId="2B280170" w:rsidR="00281931" w:rsidRDefault="0067182A" w:rsidP="00D05278">
      <w:pPr>
        <w:spacing w:line="480" w:lineRule="auto"/>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the procedure to import from EXIOBASE v3.3.1</w:t>
      </w:r>
      <w:r w:rsidR="002C378D">
        <w:rPr>
          <w:rFonts w:ascii="Arial" w:hAnsi="Arial"/>
          <w:sz w:val="22"/>
        </w:rPr>
        <w:t>8</w:t>
      </w:r>
      <w:r w:rsidR="00C218C6" w:rsidRPr="00C218C6">
        <w:rPr>
          <w:rFonts w:ascii="Arial" w:hAnsi="Arial"/>
          <w:sz w:val="22"/>
        </w:rPr>
        <w:t xml:space="preserve">,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w:t>
      </w:r>
      <w:r w:rsidR="00C218C6">
        <w:rPr>
          <w:rFonts w:ascii="Arial" w:hAnsi="Arial"/>
          <w:sz w:val="22"/>
        </w:rPr>
        <w:t xml:space="preserve"> and other material flow analysis (MFA) studies.  </w:t>
      </w:r>
    </w:p>
    <w:p w14:paraId="541E22D2" w14:textId="77777777"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14:anchorId="210C3F84" wp14:editId="6DED5C2E">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14:paraId="232ABE6A" w14:textId="77777777" w:rsidR="00C218C6" w:rsidRPr="00D05278" w:rsidRDefault="00C218C6" w:rsidP="00D05278">
      <w:pPr>
        <w:pStyle w:val="Heading1"/>
        <w:keepLines/>
        <w:numPr>
          <w:ilvl w:val="0"/>
          <w:numId w:val="27"/>
        </w:numPr>
        <w:spacing w:before="480" w:line="480" w:lineRule="auto"/>
        <w:rPr>
          <w:rFonts w:cs="Arial"/>
        </w:rPr>
      </w:pPr>
      <w:bookmarkStart w:id="0" w:name="_Toc36734159"/>
      <w:r w:rsidRPr="00C218C6">
        <w:rPr>
          <w:rFonts w:cs="Arial"/>
        </w:rPr>
        <w:t>Procedure</w:t>
      </w:r>
      <w:bookmarkEnd w:id="0"/>
    </w:p>
    <w:p w14:paraId="39D7A01B" w14:textId="03DD5DD1"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The following presents the procedure to import from EXIOBASE v3.3.1</w:t>
      </w:r>
      <w:r w:rsidR="002C378D">
        <w:rPr>
          <w:rFonts w:ascii="Arial" w:hAnsi="Arial" w:cs="Arial"/>
          <w:sz w:val="22"/>
          <w:szCs w:val="22"/>
        </w:rPr>
        <w:t>8</w:t>
      </w:r>
      <w:r w:rsidRPr="00C10B2E">
        <w:rPr>
          <w:rFonts w:ascii="Arial" w:hAnsi="Arial" w:cs="Arial"/>
          <w:sz w:val="22"/>
          <w:szCs w:val="22"/>
        </w:rPr>
        <w:t xml:space="preserve">, use </w:t>
      </w:r>
      <w:r w:rsidRPr="00C10B2E">
        <w:rPr>
          <w:rFonts w:ascii="Arial" w:hAnsi="Arial" w:cs="Arial"/>
          <w:b/>
          <w:i/>
          <w:sz w:val="22"/>
          <w:szCs w:val="22"/>
        </w:rPr>
        <w:t>main.py</w:t>
      </w:r>
      <w:r w:rsidRPr="00C10B2E">
        <w:rPr>
          <w:rFonts w:ascii="Arial" w:hAnsi="Arial" w:cs="Arial"/>
          <w:sz w:val="22"/>
          <w:szCs w:val="22"/>
        </w:rPr>
        <w:t xml:space="preserve">, obtain </w:t>
      </w:r>
      <w:r w:rsidRPr="00C10B2E">
        <w:rPr>
          <w:rFonts w:ascii="Arial" w:hAnsi="Arial" w:cs="Arial"/>
          <w:b/>
          <w:i/>
          <w:sz w:val="22"/>
          <w:szCs w:val="22"/>
        </w:rPr>
        <w:t>Data_S1.xls</w:t>
      </w:r>
      <w:r w:rsidRPr="00C10B2E">
        <w:rPr>
          <w:rFonts w:ascii="Arial" w:hAnsi="Arial" w:cs="Arial"/>
          <w:sz w:val="22"/>
          <w:szCs w:val="22"/>
        </w:rPr>
        <w:t xml:space="preserve">, </w:t>
      </w:r>
      <w:r w:rsidRPr="00C10B2E">
        <w:rPr>
          <w:rFonts w:ascii="Arial" w:hAnsi="Arial" w:cs="Arial"/>
          <w:b/>
          <w:i/>
          <w:sz w:val="22"/>
          <w:szCs w:val="22"/>
        </w:rPr>
        <w:t>Data_S2.xls</w:t>
      </w:r>
      <w:r w:rsidRPr="00C10B2E">
        <w:rPr>
          <w:rFonts w:ascii="Arial" w:hAnsi="Arial" w:cs="Arial"/>
          <w:sz w:val="22"/>
          <w:szCs w:val="22"/>
        </w:rPr>
        <w:t xml:space="preserve">, </w:t>
      </w:r>
      <w:r w:rsidRPr="00C10B2E">
        <w:rPr>
          <w:rFonts w:ascii="Arial" w:hAnsi="Arial" w:cs="Arial"/>
          <w:b/>
          <w:i/>
          <w:sz w:val="22"/>
          <w:szCs w:val="22"/>
        </w:rPr>
        <w:t>Data_S3.xls,</w:t>
      </w:r>
      <w:r w:rsidRPr="00C10B2E">
        <w:rPr>
          <w:rFonts w:ascii="Arial" w:hAnsi="Arial" w:cs="Arial"/>
          <w:sz w:val="22"/>
          <w:szCs w:val="22"/>
        </w:rPr>
        <w:t xml:space="preserve"> and creating the global map shown in Figure 2 from ‘Global distribution of material inflows to in-use stocks and its implication for a circularity transition’ paper.</w:t>
      </w:r>
    </w:p>
    <w:p w14:paraId="2025FD1C" w14:textId="77777777" w:rsidR="00C218C6" w:rsidRPr="00C218C6" w:rsidRDefault="00C218C6" w:rsidP="00D05278">
      <w:pPr>
        <w:pStyle w:val="Heading2"/>
        <w:keepLines/>
        <w:numPr>
          <w:ilvl w:val="1"/>
          <w:numId w:val="27"/>
        </w:numPr>
        <w:spacing w:before="200" w:after="120" w:line="480" w:lineRule="auto"/>
        <w:jc w:val="both"/>
        <w:rPr>
          <w:rFonts w:cs="Arial"/>
        </w:rPr>
      </w:pPr>
      <w:bookmarkStart w:id="1" w:name="_Toc36734160"/>
      <w:r w:rsidRPr="00C218C6">
        <w:rPr>
          <w:rFonts w:cs="Arial"/>
        </w:rPr>
        <w:t>Import data</w:t>
      </w:r>
      <w:bookmarkEnd w:id="1"/>
    </w:p>
    <w:p w14:paraId="6C6BD1B8" w14:textId="63162C2E"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The dataset is stored as tab-delimited text file (</w:t>
      </w:r>
      <w:proofErr w:type="spellStart"/>
      <w:proofErr w:type="gramStart"/>
      <w:r w:rsidRPr="00C10B2E">
        <w:rPr>
          <w:rFonts w:ascii="Arial" w:hAnsi="Arial" w:cs="Arial"/>
          <w:sz w:val="22"/>
          <w:szCs w:val="22"/>
        </w:rPr>
        <w:t>txt.file</w:t>
      </w:r>
      <w:proofErr w:type="spellEnd"/>
      <w:proofErr w:type="gramEnd"/>
      <w:r w:rsidRPr="00C10B2E">
        <w:rPr>
          <w:rFonts w:ascii="Arial" w:hAnsi="Arial" w:cs="Arial"/>
          <w:sz w:val="22"/>
          <w:szCs w:val="22"/>
        </w:rPr>
        <w:t xml:space="preserve">) in the folder </w:t>
      </w:r>
      <w:r w:rsidRPr="00C10B2E">
        <w:rPr>
          <w:rFonts w:ascii="Arial" w:hAnsi="Arial" w:cs="Arial"/>
          <w:b/>
          <w:i/>
          <w:sz w:val="22"/>
          <w:szCs w:val="22"/>
        </w:rPr>
        <w:t>EXIOBASE_3.3.1</w:t>
      </w:r>
      <w:r w:rsidR="002C378D">
        <w:rPr>
          <w:rFonts w:ascii="Arial" w:hAnsi="Arial" w:cs="Arial"/>
          <w:b/>
          <w:i/>
          <w:sz w:val="22"/>
          <w:szCs w:val="22"/>
        </w:rPr>
        <w:t>8</w:t>
      </w:r>
      <w:r w:rsidRPr="00C10B2E">
        <w:rPr>
          <w:rFonts w:ascii="Arial" w:hAnsi="Arial" w:cs="Arial"/>
          <w:b/>
          <w:i/>
          <w:sz w:val="22"/>
          <w:szCs w:val="22"/>
        </w:rPr>
        <w:t>_hsut_2011</w:t>
      </w:r>
      <w:r w:rsidRPr="00C10B2E">
        <w:rPr>
          <w:rFonts w:ascii="Arial" w:hAnsi="Arial" w:cs="Arial"/>
          <w:sz w:val="22"/>
          <w:szCs w:val="22"/>
        </w:rPr>
        <w:t>. In order to obtain EXIOBASE v3.3.1</w:t>
      </w:r>
      <w:r w:rsidR="002C378D">
        <w:rPr>
          <w:rFonts w:ascii="Arial" w:hAnsi="Arial" w:cs="Arial"/>
          <w:sz w:val="22"/>
          <w:szCs w:val="22"/>
        </w:rPr>
        <w:t>8</w:t>
      </w:r>
      <w:r w:rsidRPr="00C10B2E">
        <w:rPr>
          <w:rFonts w:ascii="Arial" w:hAnsi="Arial" w:cs="Arial"/>
          <w:sz w:val="22"/>
          <w:szCs w:val="22"/>
        </w:rPr>
        <w:t xml:space="preserve"> </w:t>
      </w:r>
      <w:proofErr w:type="spellStart"/>
      <w:proofErr w:type="gramStart"/>
      <w:r w:rsidRPr="00C10B2E">
        <w:rPr>
          <w:rFonts w:ascii="Arial" w:hAnsi="Arial" w:cs="Arial"/>
          <w:sz w:val="22"/>
          <w:szCs w:val="22"/>
        </w:rPr>
        <w:t>txt.file</w:t>
      </w:r>
      <w:proofErr w:type="spellEnd"/>
      <w:proofErr w:type="gramEnd"/>
      <w:r w:rsidRPr="00C10B2E">
        <w:rPr>
          <w:rFonts w:ascii="Arial" w:hAnsi="Arial" w:cs="Arial"/>
          <w:sz w:val="22"/>
          <w:szCs w:val="22"/>
        </w:rPr>
        <w:t xml:space="preserve">, the following steps are implemented:  </w:t>
      </w:r>
    </w:p>
    <w:p w14:paraId="7F5962AC" w14:textId="77777777" w:rsidR="00C218C6" w:rsidRPr="00C218C6" w:rsidRDefault="00C218C6" w:rsidP="00D05278">
      <w:pPr>
        <w:spacing w:line="480" w:lineRule="auto"/>
        <w:jc w:val="both"/>
        <w:rPr>
          <w:rFonts w:ascii="Arial" w:hAnsi="Arial" w:cs="Arial"/>
        </w:rPr>
      </w:pPr>
    </w:p>
    <w:p w14:paraId="232B50CE" w14:textId="635A2BDC"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w:t>
      </w:r>
      <w:r w:rsidR="002C378D">
        <w:rPr>
          <w:rFonts w:ascii="Arial" w:hAnsi="Arial" w:cs="Arial"/>
          <w:lang w:val="en-US"/>
        </w:rPr>
        <w:t>8</w:t>
      </w:r>
      <w:r w:rsidRPr="00C218C6">
        <w:rPr>
          <w:rFonts w:ascii="Arial" w:hAnsi="Arial" w:cs="Arial"/>
          <w:lang w:val="en-US"/>
        </w:rPr>
        <w:t>_hsut_2011’</w:t>
      </w:r>
    </w:p>
    <w:p w14:paraId="4FC7AD1A" w14:textId="047C7749"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folder ‘EXIOBASE_3.3.1</w:t>
      </w:r>
      <w:r w:rsidR="002C378D">
        <w:rPr>
          <w:rFonts w:ascii="Arial" w:hAnsi="Arial" w:cs="Arial"/>
          <w:lang w:val="en-US"/>
        </w:rPr>
        <w:t>8</w:t>
      </w:r>
      <w:r w:rsidRPr="00C218C6">
        <w:rPr>
          <w:rFonts w:ascii="Arial" w:hAnsi="Arial" w:cs="Arial"/>
          <w:lang w:val="en-US"/>
        </w:rPr>
        <w:t>_hsut_2011’, open ‘MR_HSUT_2011_v3_3_1</w:t>
      </w:r>
      <w:r w:rsidR="002C378D">
        <w:rPr>
          <w:rFonts w:ascii="Arial" w:hAnsi="Arial" w:cs="Arial"/>
          <w:lang w:val="en-US"/>
        </w:rPr>
        <w:t>8</w:t>
      </w:r>
      <w:r w:rsidRPr="00C218C6">
        <w:rPr>
          <w:rFonts w:ascii="Arial" w:hAnsi="Arial" w:cs="Arial"/>
          <w:lang w:val="en-US"/>
        </w:rPr>
        <w:t>_extensions.xlsb’. This file contains spreadsheets with the accounts of: material inflows to in-use stock additions (‘</w:t>
      </w:r>
      <w:proofErr w:type="spellStart"/>
      <w:r w:rsidRPr="00C218C6">
        <w:rPr>
          <w:rFonts w:ascii="Arial" w:hAnsi="Arial" w:cs="Arial"/>
          <w:lang w:val="en-US"/>
        </w:rPr>
        <w:t>stock_add_act</w:t>
      </w:r>
      <w:proofErr w:type="spellEnd"/>
      <w:r w:rsidRPr="00C218C6">
        <w:rPr>
          <w:rFonts w:ascii="Arial" w:hAnsi="Arial" w:cs="Arial"/>
          <w:lang w:val="en-US"/>
        </w:rPr>
        <w:t xml:space="preserve">’ and </w:t>
      </w:r>
      <w:r w:rsidRPr="00C218C6">
        <w:rPr>
          <w:rFonts w:ascii="Arial" w:hAnsi="Arial" w:cs="Arial"/>
          <w:lang w:val="en-US"/>
        </w:rPr>
        <w:lastRenderedPageBreak/>
        <w:t>‘</w:t>
      </w:r>
      <w:proofErr w:type="spellStart"/>
      <w:r w:rsidRPr="00C218C6">
        <w:rPr>
          <w:rFonts w:ascii="Arial" w:hAnsi="Arial" w:cs="Arial"/>
          <w:lang w:val="en-US"/>
        </w:rPr>
        <w:t>stock_add_FD</w:t>
      </w:r>
      <w:proofErr w:type="spellEnd"/>
      <w:r w:rsidRPr="00C218C6">
        <w:rPr>
          <w:rFonts w:ascii="Arial" w:hAnsi="Arial" w:cs="Arial"/>
          <w:lang w:val="en-US"/>
        </w:rPr>
        <w:t>’), and stock additions from transport equipment (‘</w:t>
      </w:r>
      <w:proofErr w:type="spellStart"/>
      <w:r w:rsidRPr="00C218C6">
        <w:rPr>
          <w:rFonts w:ascii="Arial" w:hAnsi="Arial" w:cs="Arial"/>
          <w:lang w:val="en-US"/>
        </w:rPr>
        <w:t>mach_use_waste_act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w:t>
      </w:r>
    </w:p>
    <w:p w14:paraId="3A48961D"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Copy each spreadsheet in a separate Excel file. Apply:</w:t>
      </w:r>
    </w:p>
    <w:p w14:paraId="0DB39DF2"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14:paraId="3EBF045D"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Save files as tab delimited files (.txt)</w:t>
      </w:r>
    </w:p>
    <w:p w14:paraId="41172725"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Re-name files as follow: ‘</w:t>
      </w:r>
      <w:proofErr w:type="spellStart"/>
      <w:r w:rsidRPr="00C218C6">
        <w:rPr>
          <w:rFonts w:ascii="Arial" w:hAnsi="Arial" w:cs="Arial"/>
          <w:lang w:val="en-US"/>
        </w:rPr>
        <w:t>stock_add_act</w:t>
      </w:r>
      <w:proofErr w:type="spellEnd"/>
      <w:r w:rsidRPr="00C218C6">
        <w:rPr>
          <w:rFonts w:ascii="Arial" w:hAnsi="Arial" w:cs="Arial"/>
          <w:lang w:val="en-US"/>
        </w:rPr>
        <w:t>’ = SA_ACT ; ‘</w:t>
      </w:r>
      <w:proofErr w:type="spellStart"/>
      <w:r w:rsidRPr="00C218C6">
        <w:rPr>
          <w:rFonts w:ascii="Arial" w:hAnsi="Arial" w:cs="Arial"/>
          <w:lang w:val="en-US"/>
        </w:rPr>
        <w:t>stock_add_FD</w:t>
      </w:r>
      <w:proofErr w:type="spellEnd"/>
      <w:r w:rsidRPr="00C218C6">
        <w:rPr>
          <w:rFonts w:ascii="Arial" w:hAnsi="Arial" w:cs="Arial"/>
          <w:lang w:val="en-US"/>
        </w:rPr>
        <w:t>’ = SA_FD.txt; ‘</w:t>
      </w:r>
      <w:proofErr w:type="spellStart"/>
      <w:r w:rsidRPr="00C218C6">
        <w:rPr>
          <w:rFonts w:ascii="Arial" w:hAnsi="Arial" w:cs="Arial"/>
          <w:lang w:val="en-US"/>
        </w:rPr>
        <w:t>mach_use_waste_act</w:t>
      </w:r>
      <w:proofErr w:type="spellEnd"/>
      <w:r w:rsidRPr="00C218C6">
        <w:rPr>
          <w:rFonts w:ascii="Arial" w:hAnsi="Arial" w:cs="Arial"/>
          <w:lang w:val="en-US"/>
        </w:rPr>
        <w:t xml:space="preserve">’ = </w:t>
      </w:r>
      <w:proofErr w:type="spellStart"/>
      <w:r w:rsidRPr="00C218C6">
        <w:rPr>
          <w:rFonts w:ascii="Arial" w:hAnsi="Arial" w:cs="Arial"/>
          <w:lang w:val="en-US"/>
        </w:rPr>
        <w:t>TR_act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 = TR_FD</w:t>
      </w:r>
    </w:p>
    <w:p w14:paraId="30459B99"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For population:</w:t>
      </w:r>
    </w:p>
    <w:p w14:paraId="796EF84C"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14:paraId="313872E5"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14:paraId="5D9C9B9F"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In ‘</w:t>
      </w:r>
      <w:proofErr w:type="spellStart"/>
      <w:r w:rsidRPr="00C218C6">
        <w:rPr>
          <w:rFonts w:ascii="Arial" w:hAnsi="Arial" w:cs="Arial"/>
          <w:lang w:val="en-US"/>
        </w:rPr>
        <w:t>coverted_data</w:t>
      </w:r>
      <w:proofErr w:type="spellEnd"/>
      <w:r w:rsidRPr="00C218C6">
        <w:rPr>
          <w:rFonts w:ascii="Arial" w:hAnsi="Arial" w:cs="Arial"/>
          <w:lang w:val="en-US"/>
        </w:rPr>
        <w:t xml:space="preserve">’ </w:t>
      </w:r>
      <w:proofErr w:type="spellStart"/>
      <w:r w:rsidRPr="00C218C6">
        <w:rPr>
          <w:rFonts w:ascii="Arial" w:hAnsi="Arial" w:cs="Arial"/>
          <w:lang w:val="en-US"/>
        </w:rPr>
        <w:t>spreadsheed</w:t>
      </w:r>
      <w:proofErr w:type="spellEnd"/>
      <w:r w:rsidRPr="00C218C6">
        <w:rPr>
          <w:rFonts w:ascii="Arial" w:hAnsi="Arial" w:cs="Arial"/>
          <w:lang w:val="en-US"/>
        </w:rPr>
        <w:t xml:space="preserve">, copy and save array as tab-delimited text file (.txt), and re-name file as: population data = POP.txt </w:t>
      </w:r>
    </w:p>
    <w:p w14:paraId="5C0B1A32" w14:textId="25EEE110"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Save all files in folder as</w:t>
      </w:r>
      <w:r w:rsidRPr="00C218C6">
        <w:rPr>
          <w:rFonts w:ascii="Arial" w:hAnsi="Arial" w:cs="Arial"/>
          <w:b/>
          <w:lang w:val="en-US"/>
        </w:rPr>
        <w:t xml:space="preserve"> </w:t>
      </w:r>
      <w:r w:rsidRPr="00C218C6">
        <w:rPr>
          <w:rFonts w:ascii="Arial" w:hAnsi="Arial" w:cs="Arial"/>
          <w:b/>
          <w:i/>
          <w:lang w:val="en-US"/>
        </w:rPr>
        <w:t>EXIOBASE_3.3.1</w:t>
      </w:r>
      <w:r w:rsidR="002C378D">
        <w:rPr>
          <w:rFonts w:ascii="Arial" w:hAnsi="Arial" w:cs="Arial"/>
          <w:b/>
          <w:i/>
          <w:lang w:val="en-US"/>
        </w:rPr>
        <w:t>8</w:t>
      </w:r>
      <w:r w:rsidRPr="00C218C6">
        <w:rPr>
          <w:rFonts w:ascii="Arial" w:hAnsi="Arial" w:cs="Arial"/>
          <w:b/>
          <w:i/>
          <w:lang w:val="en-US"/>
        </w:rPr>
        <w:t>_hsut_2011</w:t>
      </w:r>
    </w:p>
    <w:p w14:paraId="30F8DE89" w14:textId="77777777" w:rsidR="00C218C6" w:rsidRDefault="00C218C6" w:rsidP="00D05278">
      <w:pPr>
        <w:pStyle w:val="Heading2"/>
        <w:keepLines/>
        <w:numPr>
          <w:ilvl w:val="1"/>
          <w:numId w:val="25"/>
        </w:numPr>
        <w:spacing w:before="200" w:after="120" w:line="480" w:lineRule="auto"/>
        <w:jc w:val="both"/>
        <w:rPr>
          <w:rFonts w:cs="Arial"/>
        </w:rPr>
      </w:pPr>
      <w:bookmarkStart w:id="2" w:name="_Toc36734161"/>
      <w:r w:rsidRPr="00C218C6">
        <w:rPr>
          <w:rFonts w:cs="Arial"/>
        </w:rPr>
        <w:t>Use main.py, Data_S1.xls, Data_S2.xls, and Data_S3.xls</w:t>
      </w:r>
      <w:bookmarkEnd w:id="2"/>
    </w:p>
    <w:p w14:paraId="567DF699" w14:textId="77777777" w:rsidR="00C218C6" w:rsidRPr="00C218C6" w:rsidRDefault="00C218C6" w:rsidP="00D05278">
      <w:pPr>
        <w:spacing w:line="480" w:lineRule="auto"/>
        <w:jc w:val="both"/>
      </w:pPr>
    </w:p>
    <w:p w14:paraId="396A3AB4" w14:textId="77777777" w:rsidR="0084457D"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14:paraId="3B5ACD2E" w14:textId="77777777" w:rsidR="0084457D" w:rsidRDefault="0084457D" w:rsidP="00D05278">
      <w:pPr>
        <w:pStyle w:val="ListParagraph"/>
        <w:spacing w:line="480" w:lineRule="auto"/>
        <w:ind w:left="0"/>
        <w:jc w:val="both"/>
        <w:rPr>
          <w:rFonts w:ascii="Arial" w:hAnsi="Arial" w:cs="Arial"/>
          <w:lang w:val="en-US"/>
        </w:rPr>
      </w:pPr>
    </w:p>
    <w:p w14:paraId="257E239F" w14:textId="77777777"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proofErr w:type="spellStart"/>
      <w:r w:rsidRPr="0084457D">
        <w:rPr>
          <w:rFonts w:ascii="Arial" w:hAnsi="Arial" w:cs="Arial"/>
          <w:b/>
          <w:i/>
          <w:lang w:val="en-US"/>
        </w:rPr>
        <w:t>save_</w:t>
      </w:r>
      <w:proofErr w:type="gramStart"/>
      <w:r w:rsidRPr="0084457D">
        <w:rPr>
          <w:rFonts w:ascii="Arial" w:hAnsi="Arial" w:cs="Arial"/>
          <w:b/>
          <w:i/>
          <w:lang w:val="en-US"/>
        </w:rPr>
        <w:t>result</w:t>
      </w:r>
      <w:proofErr w:type="spellEnd"/>
      <w:r w:rsidRPr="0084457D">
        <w:rPr>
          <w:rFonts w:ascii="Arial" w:hAnsi="Arial" w:cs="Arial"/>
          <w:b/>
          <w:i/>
          <w:lang w:val="en-US"/>
        </w:rPr>
        <w:t>( )</w:t>
      </w:r>
      <w:proofErr w:type="gramEnd"/>
      <w:r w:rsidRPr="0084457D">
        <w:rPr>
          <w:rFonts w:ascii="Arial" w:hAnsi="Arial" w:cs="Arial"/>
          <w:b/>
          <w:i/>
          <w:lang w:val="en-US"/>
        </w:rPr>
        <w:t xml:space="preserve"> </w:t>
      </w:r>
      <w:r w:rsidRPr="0084457D">
        <w:rPr>
          <w:rFonts w:ascii="Arial" w:hAnsi="Arial" w:cs="Arial"/>
          <w:lang w:val="en-US"/>
        </w:rPr>
        <w:t>function</w:t>
      </w:r>
    </w:p>
    <w:p w14:paraId="7329504B" w14:textId="77777777"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lastRenderedPageBreak/>
        <w:t>Data_S2.xls</w:t>
      </w:r>
      <w:r w:rsidRPr="0084457D">
        <w:rPr>
          <w:rFonts w:ascii="Arial" w:hAnsi="Arial" w:cs="Arial"/>
          <w:lang w:val="en-US"/>
        </w:rPr>
        <w:t xml:space="preserve"> combines data from ‘</w:t>
      </w:r>
      <w:proofErr w:type="spellStart"/>
      <w:r w:rsidRPr="0084457D">
        <w:rPr>
          <w:rFonts w:ascii="Arial" w:hAnsi="Arial" w:cs="Arial"/>
          <w:lang w:val="en-US"/>
        </w:rPr>
        <w:t>sa_all_tot</w:t>
      </w:r>
      <w:proofErr w:type="spellEnd"/>
      <w:r w:rsidRPr="0084457D">
        <w:rPr>
          <w:rFonts w:ascii="Arial" w:hAnsi="Arial" w:cs="Arial"/>
          <w:lang w:val="en-US"/>
        </w:rPr>
        <w:t xml:space="preserve">’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14:paraId="12FA3CAB" w14:textId="77777777" w:rsidR="00C218C6" w:rsidRP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14:paraId="24F6237F" w14:textId="77777777" w:rsidR="00C218C6" w:rsidRPr="00C218C6" w:rsidRDefault="00C218C6" w:rsidP="00D05278">
      <w:pPr>
        <w:pStyle w:val="Heading2"/>
        <w:keepLines/>
        <w:numPr>
          <w:ilvl w:val="1"/>
          <w:numId w:val="28"/>
        </w:numPr>
        <w:spacing w:before="200" w:after="120" w:line="480" w:lineRule="auto"/>
        <w:jc w:val="both"/>
        <w:rPr>
          <w:rFonts w:cs="Arial"/>
        </w:rPr>
      </w:pPr>
      <w:r w:rsidRPr="00C218C6">
        <w:rPr>
          <w:rFonts w:cs="Arial"/>
        </w:rPr>
        <w:t>Use country_validation.py</w:t>
      </w:r>
    </w:p>
    <w:p w14:paraId="11BC7B88" w14:textId="77777777" w:rsidR="00C218C6"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14:paraId="06DBD352" w14:textId="77777777" w:rsidR="00D05278" w:rsidRDefault="00D05278" w:rsidP="00D05278">
      <w:pPr>
        <w:pStyle w:val="ListParagraph"/>
        <w:spacing w:line="480" w:lineRule="auto"/>
        <w:ind w:left="0"/>
        <w:jc w:val="both"/>
        <w:rPr>
          <w:rFonts w:ascii="Arial" w:hAnsi="Arial" w:cs="Arial"/>
          <w:lang w:val="en-US"/>
        </w:rPr>
      </w:pPr>
    </w:p>
    <w:p w14:paraId="3A46AC22" w14:textId="77777777" w:rsidR="00D05278" w:rsidRDefault="00D05278" w:rsidP="00D05278">
      <w:pPr>
        <w:pStyle w:val="ListParagraph"/>
        <w:spacing w:line="480" w:lineRule="auto"/>
        <w:ind w:left="0"/>
        <w:jc w:val="both"/>
        <w:rPr>
          <w:rFonts w:ascii="Arial" w:hAnsi="Arial" w:cs="Arial"/>
          <w:lang w:val="en-US"/>
        </w:rPr>
      </w:pPr>
    </w:p>
    <w:p w14:paraId="444668CC" w14:textId="77777777" w:rsidR="00D05278" w:rsidRDefault="00D05278" w:rsidP="00D05278">
      <w:pPr>
        <w:pStyle w:val="ListParagraph"/>
        <w:spacing w:line="480" w:lineRule="auto"/>
        <w:ind w:left="0"/>
        <w:jc w:val="both"/>
        <w:rPr>
          <w:rFonts w:ascii="Arial" w:hAnsi="Arial" w:cs="Arial"/>
          <w:lang w:val="en-US"/>
        </w:rPr>
      </w:pPr>
    </w:p>
    <w:p w14:paraId="5C2F28C8" w14:textId="77777777" w:rsidR="00D05278" w:rsidRDefault="00D05278" w:rsidP="00D05278">
      <w:pPr>
        <w:pStyle w:val="ListParagraph"/>
        <w:spacing w:line="480" w:lineRule="auto"/>
        <w:ind w:left="0"/>
        <w:jc w:val="both"/>
        <w:rPr>
          <w:rFonts w:ascii="Arial" w:hAnsi="Arial" w:cs="Arial"/>
          <w:lang w:val="en-US"/>
        </w:rPr>
      </w:pPr>
    </w:p>
    <w:p w14:paraId="183C7639" w14:textId="77777777" w:rsidR="00D05278" w:rsidRDefault="00D05278" w:rsidP="00D05278">
      <w:pPr>
        <w:pStyle w:val="ListParagraph"/>
        <w:spacing w:line="480" w:lineRule="auto"/>
        <w:ind w:left="0"/>
        <w:jc w:val="both"/>
        <w:rPr>
          <w:rFonts w:ascii="Arial" w:hAnsi="Arial" w:cs="Arial"/>
          <w:lang w:val="en-US"/>
        </w:rPr>
      </w:pPr>
    </w:p>
    <w:p w14:paraId="62901BF5" w14:textId="77777777" w:rsidR="00D05278" w:rsidRDefault="00D05278" w:rsidP="00D05278">
      <w:pPr>
        <w:pStyle w:val="ListParagraph"/>
        <w:spacing w:line="480" w:lineRule="auto"/>
        <w:ind w:left="0"/>
        <w:jc w:val="both"/>
        <w:rPr>
          <w:rFonts w:ascii="Arial" w:hAnsi="Arial" w:cs="Arial"/>
          <w:lang w:val="en-US"/>
        </w:rPr>
      </w:pPr>
    </w:p>
    <w:p w14:paraId="4D8D6922" w14:textId="77777777" w:rsidR="00D05278" w:rsidRDefault="00D05278" w:rsidP="00D05278">
      <w:pPr>
        <w:pStyle w:val="ListParagraph"/>
        <w:spacing w:line="480" w:lineRule="auto"/>
        <w:ind w:left="0"/>
        <w:jc w:val="both"/>
        <w:rPr>
          <w:rFonts w:ascii="Arial" w:hAnsi="Arial" w:cs="Arial"/>
          <w:lang w:val="en-US"/>
        </w:rPr>
      </w:pPr>
    </w:p>
    <w:p w14:paraId="4507231B" w14:textId="77777777" w:rsidR="00D05278" w:rsidRDefault="00D05278" w:rsidP="00D05278">
      <w:pPr>
        <w:pStyle w:val="ListParagraph"/>
        <w:spacing w:line="480" w:lineRule="auto"/>
        <w:ind w:left="0"/>
        <w:jc w:val="both"/>
        <w:rPr>
          <w:rFonts w:ascii="Arial" w:hAnsi="Arial" w:cs="Arial"/>
          <w:lang w:val="en-US"/>
        </w:rPr>
      </w:pPr>
    </w:p>
    <w:p w14:paraId="3DDA8FE9" w14:textId="77777777" w:rsidR="00D05278" w:rsidRDefault="00D05278" w:rsidP="00D05278">
      <w:pPr>
        <w:pStyle w:val="ListParagraph"/>
        <w:spacing w:line="480" w:lineRule="auto"/>
        <w:ind w:left="0"/>
        <w:jc w:val="both"/>
        <w:rPr>
          <w:rFonts w:ascii="Arial" w:hAnsi="Arial" w:cs="Arial"/>
          <w:lang w:val="en-US"/>
        </w:rPr>
      </w:pPr>
    </w:p>
    <w:p w14:paraId="04CFB3F7" w14:textId="77777777" w:rsidR="00D05278" w:rsidRDefault="00D05278" w:rsidP="00D05278">
      <w:pPr>
        <w:pStyle w:val="ListParagraph"/>
        <w:spacing w:line="480" w:lineRule="auto"/>
        <w:ind w:left="0"/>
        <w:jc w:val="both"/>
        <w:rPr>
          <w:rFonts w:ascii="Arial" w:hAnsi="Arial" w:cs="Arial"/>
          <w:lang w:val="en-US"/>
        </w:rPr>
      </w:pPr>
    </w:p>
    <w:p w14:paraId="2F37C7CC" w14:textId="77777777" w:rsidR="00D05278" w:rsidRDefault="00D05278" w:rsidP="00D05278">
      <w:pPr>
        <w:pStyle w:val="ListParagraph"/>
        <w:spacing w:line="480" w:lineRule="auto"/>
        <w:ind w:left="0"/>
        <w:jc w:val="both"/>
        <w:rPr>
          <w:rFonts w:ascii="Arial" w:hAnsi="Arial" w:cs="Arial"/>
          <w:lang w:val="en-US"/>
        </w:rPr>
      </w:pPr>
    </w:p>
    <w:p w14:paraId="09F8B860" w14:textId="77777777" w:rsidR="00D05278" w:rsidRDefault="00D05278" w:rsidP="00D05278">
      <w:pPr>
        <w:pStyle w:val="ListParagraph"/>
        <w:spacing w:line="480" w:lineRule="auto"/>
        <w:ind w:left="0"/>
        <w:jc w:val="both"/>
        <w:rPr>
          <w:rFonts w:ascii="Arial" w:hAnsi="Arial" w:cs="Arial"/>
          <w:lang w:val="en-US"/>
        </w:rPr>
      </w:pPr>
    </w:p>
    <w:p w14:paraId="25C5F77E" w14:textId="77777777" w:rsidR="00D05278" w:rsidRDefault="00D05278" w:rsidP="00D05278">
      <w:pPr>
        <w:pStyle w:val="ListParagraph"/>
        <w:spacing w:line="480" w:lineRule="auto"/>
        <w:ind w:left="0"/>
        <w:jc w:val="both"/>
        <w:rPr>
          <w:rFonts w:ascii="Arial" w:hAnsi="Arial" w:cs="Arial"/>
          <w:lang w:val="en-US"/>
        </w:rPr>
      </w:pPr>
    </w:p>
    <w:p w14:paraId="36B47497" w14:textId="77777777" w:rsidR="00D05278" w:rsidRPr="00C218C6" w:rsidRDefault="00D05278" w:rsidP="00D05278">
      <w:pPr>
        <w:pStyle w:val="ListParagraph"/>
        <w:spacing w:line="480" w:lineRule="auto"/>
        <w:ind w:left="0"/>
        <w:jc w:val="both"/>
        <w:rPr>
          <w:rFonts w:ascii="Arial" w:hAnsi="Arial" w:cs="Arial"/>
          <w:lang w:val="en-US"/>
        </w:rPr>
      </w:pPr>
    </w:p>
    <w:p w14:paraId="43E99A33" w14:textId="3434612E" w:rsidR="00C218C6" w:rsidRPr="00C218C6" w:rsidRDefault="00C218C6" w:rsidP="00D05278">
      <w:pPr>
        <w:pStyle w:val="Heading1"/>
        <w:keepLines/>
        <w:numPr>
          <w:ilvl w:val="0"/>
          <w:numId w:val="27"/>
        </w:numPr>
        <w:spacing w:before="480" w:line="480" w:lineRule="auto"/>
        <w:rPr>
          <w:rFonts w:cs="Arial"/>
        </w:rPr>
      </w:pPr>
      <w:bookmarkStart w:id="3" w:name="_Toc36734162"/>
      <w:r w:rsidRPr="00C218C6">
        <w:rPr>
          <w:rFonts w:cs="Arial"/>
        </w:rPr>
        <w:lastRenderedPageBreak/>
        <w:t>Comparison between material inflow to in-use stocks data from EXIOBASE v3.3.1</w:t>
      </w:r>
      <w:r w:rsidR="002C378D">
        <w:rPr>
          <w:rFonts w:cs="Arial"/>
        </w:rPr>
        <w:t>8</w:t>
      </w:r>
      <w:r w:rsidRPr="00C218C6">
        <w:rPr>
          <w:rFonts w:cs="Arial"/>
        </w:rPr>
        <w:t xml:space="preserve"> and previous studies</w:t>
      </w:r>
      <w:bookmarkEnd w:id="3"/>
    </w:p>
    <w:p w14:paraId="73CD6C18" w14:textId="77777777" w:rsidR="00C218C6" w:rsidRDefault="00C218C6" w:rsidP="00D05278">
      <w:pPr>
        <w:spacing w:line="480" w:lineRule="auto"/>
        <w:jc w:val="both"/>
        <w:rPr>
          <w:rFonts w:ascii="Arial" w:hAnsi="Arial" w:cs="Arial"/>
        </w:rPr>
      </w:pPr>
    </w:p>
    <w:p w14:paraId="2AB8BF32" w14:textId="66CA3779"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Table S1 shows a comparison between data from EXIOBASE v3.3.1</w:t>
      </w:r>
      <w:r w:rsidR="002C378D">
        <w:rPr>
          <w:rFonts w:ascii="Arial" w:hAnsi="Arial" w:cs="Arial"/>
          <w:sz w:val="22"/>
          <w:szCs w:val="22"/>
        </w:rPr>
        <w:t>8</w:t>
      </w:r>
      <w:r w:rsidRPr="00C10B2E">
        <w:rPr>
          <w:rFonts w:ascii="Arial" w:hAnsi="Arial" w:cs="Arial"/>
          <w:sz w:val="22"/>
          <w:szCs w:val="22"/>
        </w:rPr>
        <w:t xml:space="preserve"> and other sources of material flow accounts.  This allows to demonstrate that the sum of inflows to in-use stocks in EXIOBASE v3.3.1</w:t>
      </w:r>
      <w:r w:rsidR="002C378D">
        <w:rPr>
          <w:rFonts w:ascii="Arial" w:hAnsi="Arial" w:cs="Arial"/>
          <w:sz w:val="22"/>
          <w:szCs w:val="22"/>
        </w:rPr>
        <w:t>8</w:t>
      </w:r>
      <w:r w:rsidRPr="00C10B2E">
        <w:rPr>
          <w:rFonts w:ascii="Arial" w:hAnsi="Arial" w:cs="Arial"/>
          <w:sz w:val="22"/>
          <w:szCs w:val="22"/>
        </w:rPr>
        <w:t xml:space="preserve"> extensions is </w:t>
      </w:r>
      <w:proofErr w:type="gramStart"/>
      <w:r w:rsidRPr="00C10B2E">
        <w:rPr>
          <w:rFonts w:ascii="Arial" w:hAnsi="Arial" w:cs="Arial"/>
          <w:sz w:val="22"/>
          <w:szCs w:val="22"/>
        </w:rPr>
        <w:t>similar to</w:t>
      </w:r>
      <w:proofErr w:type="gramEnd"/>
      <w:r w:rsidRPr="00C10B2E">
        <w:rPr>
          <w:rFonts w:ascii="Arial" w:hAnsi="Arial" w:cs="Arial"/>
          <w:sz w:val="22"/>
          <w:szCs w:val="22"/>
        </w:rPr>
        <w:t xml:space="preserve"> those reported by previous studies.</w:t>
      </w:r>
    </w:p>
    <w:p w14:paraId="0C8B98FD" w14:textId="77777777" w:rsidR="00C218C6" w:rsidRPr="00C10B2E" w:rsidRDefault="00C218C6" w:rsidP="00D05278">
      <w:pPr>
        <w:spacing w:line="480" w:lineRule="auto"/>
        <w:rPr>
          <w:rFonts w:ascii="Arial" w:hAnsi="Arial" w:cs="Arial"/>
          <w:sz w:val="22"/>
          <w:szCs w:val="22"/>
        </w:rPr>
      </w:pPr>
    </w:p>
    <w:p w14:paraId="6278E1BF" w14:textId="63A8FE46" w:rsidR="00C218C6" w:rsidRPr="00C10B2E" w:rsidRDefault="00C218C6" w:rsidP="00D05278">
      <w:pPr>
        <w:spacing w:line="480" w:lineRule="auto"/>
        <w:jc w:val="center"/>
        <w:rPr>
          <w:rFonts w:ascii="Arial" w:hAnsi="Arial" w:cs="Arial"/>
          <w:sz w:val="22"/>
          <w:szCs w:val="22"/>
        </w:rPr>
      </w:pPr>
      <w:r w:rsidRPr="00C10B2E">
        <w:rPr>
          <w:rFonts w:ascii="Arial" w:hAnsi="Arial" w:cs="Arial"/>
          <w:sz w:val="22"/>
          <w:szCs w:val="22"/>
        </w:rPr>
        <w:t>Table S1. Comparison between material inflows to in-use stocks (or stock additions) of EXIOBASE v3.3.1</w:t>
      </w:r>
      <w:r w:rsidR="002C378D">
        <w:rPr>
          <w:rFonts w:ascii="Arial" w:hAnsi="Arial" w:cs="Arial"/>
          <w:sz w:val="22"/>
          <w:szCs w:val="22"/>
        </w:rPr>
        <w:t>8</w:t>
      </w:r>
      <w:r w:rsidRPr="00C10B2E">
        <w:rPr>
          <w:rFonts w:ascii="Arial" w:hAnsi="Arial" w:cs="Arial"/>
          <w:sz w:val="22"/>
          <w:szCs w:val="22"/>
        </w:rPr>
        <w:t xml:space="preserve"> and other studies</w:t>
      </w:r>
    </w:p>
    <w:tbl>
      <w:tblPr>
        <w:tblW w:w="9139" w:type="dxa"/>
        <w:tblCellMar>
          <w:left w:w="0" w:type="dxa"/>
          <w:right w:w="0" w:type="dxa"/>
        </w:tblCellMar>
        <w:tblLook w:val="0600" w:firstRow="0" w:lastRow="0" w:firstColumn="0" w:lastColumn="0" w:noHBand="1" w:noVBand="1"/>
      </w:tblPr>
      <w:tblGrid>
        <w:gridCol w:w="2182"/>
        <w:gridCol w:w="2575"/>
        <w:gridCol w:w="2302"/>
        <w:gridCol w:w="2080"/>
      </w:tblGrid>
      <w:tr w:rsidR="00C218C6" w:rsidRPr="00C218C6" w14:paraId="0BCF2867" w14:textId="77777777" w:rsidTr="00C10B2E">
        <w:trPr>
          <w:trHeight w:val="535"/>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9534C" w14:textId="77777777"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D6E91" w14:textId="18C3AE20" w:rsidR="00C218C6" w:rsidRPr="00C10B2E" w:rsidRDefault="00C218C6"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w:t>
            </w:r>
            <w:r w:rsidR="002C378D">
              <w:rPr>
                <w:rFonts w:ascii="Arial" w:eastAsia="Times New Roman" w:hAnsi="Arial" w:cs="Arial"/>
                <w:bCs/>
                <w:color w:val="000000"/>
                <w:kern w:val="24"/>
                <w:sz w:val="20"/>
                <w:lang w:eastAsia="en-GB"/>
              </w:rPr>
              <w:t>8</w:t>
            </w:r>
          </w:p>
          <w:p w14:paraId="4E076FFD" w14:textId="77777777" w:rsidR="00C218C6" w:rsidRPr="00C10B2E" w:rsidRDefault="00C218C6" w:rsidP="00D05278">
            <w:pPr>
              <w:jc w:val="center"/>
              <w:textAlignment w:val="bottom"/>
              <w:rPr>
                <w:rFonts w:ascii="Arial" w:eastAsia="Times New Roman" w:hAnsi="Arial" w:cs="Arial"/>
                <w:sz w:val="20"/>
                <w:vertAlign w:val="superscript"/>
                <w:lang w:eastAsia="en-GB"/>
              </w:rPr>
            </w:pP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(Merciai and Schmidt 2018; Schmidt and Merciai 2017)</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eastAsia="en-GB"/>
              </w:rPr>
              <w:t>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602969" w14:textId="77777777" w:rsidR="00C218C6" w:rsidRPr="00C10B2E" w:rsidRDefault="00C218C6" w:rsidP="00D05278">
            <w:pPr>
              <w:jc w:val="center"/>
              <w:textAlignment w:val="bottom"/>
              <w:rPr>
                <w:rFonts w:ascii="Arial" w:hAnsi="Arial" w:cs="Arial"/>
                <w:sz w:val="20"/>
                <w:vertAlign w:val="superscript"/>
                <w:lang w:val="es-CR"/>
              </w:rPr>
            </w:pPr>
            <w:r w:rsidRPr="00C10B2E">
              <w:rPr>
                <w:rFonts w:ascii="Arial" w:eastAsia="Times New Roman" w:hAnsi="Arial" w:cs="Arial"/>
                <w:bCs/>
                <w:color w:val="000000"/>
                <w:kern w:val="24"/>
                <w:sz w:val="20"/>
                <w:lang w:val="es-CR" w:eastAsia="en-GB"/>
              </w:rPr>
              <w:t xml:space="preserve">MISO </w:t>
            </w:r>
            <w:proofErr w:type="spellStart"/>
            <w:r w:rsidRPr="00C10B2E">
              <w:rPr>
                <w:rFonts w:ascii="Arial" w:eastAsia="Times New Roman" w:hAnsi="Arial" w:cs="Arial"/>
                <w:bCs/>
                <w:color w:val="000000"/>
                <w:kern w:val="24"/>
                <w:sz w:val="20"/>
                <w:lang w:val="es-CR" w:eastAsia="en-GB"/>
              </w:rPr>
              <w:t>database</w:t>
            </w:r>
            <w:proofErr w:type="spellEnd"/>
            <w:r w:rsidRPr="00C10B2E">
              <w:rPr>
                <w:rFonts w:ascii="Arial" w:eastAsia="Times New Roman" w:hAnsi="Arial" w:cs="Arial"/>
                <w:bCs/>
                <w:color w:val="000000"/>
                <w:kern w:val="24"/>
                <w:sz w:val="20"/>
                <w:lang w:val="es-CR" w:eastAsia="en-GB"/>
              </w:rPr>
              <w:t xml:space="preserve">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val="es-CR" w:eastAsia="en-GB"/>
              </w:rPr>
              <w:t>(Wiedenhofer et al. 2019)</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val="es-CR" w:eastAsia="en-GB"/>
              </w:rPr>
              <w:t>2</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15539"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 xml:space="preserve">Haas et al.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(2015)</w:t>
            </w:r>
            <w:r w:rsidRPr="00C10B2E">
              <w:rPr>
                <w:rFonts w:ascii="Arial" w:eastAsia="Times New Roman" w:hAnsi="Arial" w:cs="Arial"/>
                <w:bCs/>
                <w:color w:val="000000"/>
                <w:kern w:val="24"/>
                <w:sz w:val="20"/>
                <w:lang w:eastAsia="en-GB"/>
              </w:rPr>
              <w:fldChar w:fldCharType="end"/>
            </w:r>
          </w:p>
        </w:tc>
      </w:tr>
      <w:tr w:rsidR="00C218C6" w:rsidRPr="00C218C6" w14:paraId="51167D02" w14:textId="77777777"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DAFD7" w14:textId="77777777"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F9C54"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D1875"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A02775"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218C6" w:rsidRPr="00C218C6" w14:paraId="41CA359C" w14:textId="77777777"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696D5" w14:textId="77777777" w:rsidR="00C218C6" w:rsidRPr="00C10B2E" w:rsidRDefault="00C218C6" w:rsidP="00D05278">
            <w:pP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Global stock additions (Gigatonnes)</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9552CD" w14:textId="3E3097C3" w:rsidR="00C218C6" w:rsidRPr="00C10B2E" w:rsidRDefault="002C378D" w:rsidP="00D05278">
            <w:pPr>
              <w:jc w:val="center"/>
              <w:textAlignment w:val="bottom"/>
              <w:rPr>
                <w:rFonts w:ascii="Arial" w:eastAsia="Times New Roman" w:hAnsi="Arial" w:cs="Arial"/>
                <w:sz w:val="20"/>
                <w:lang w:eastAsia="en-GB"/>
              </w:rPr>
            </w:pPr>
            <w:r>
              <w:rPr>
                <w:rFonts w:ascii="Arial" w:eastAsia="Times New Roman" w:hAnsi="Arial" w:cs="Arial"/>
                <w:sz w:val="20"/>
                <w:lang w:eastAsia="en-GB"/>
              </w:rPr>
              <w:t>30.3</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6721D"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29.8</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A4B540"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26.0</w:t>
            </w:r>
          </w:p>
        </w:tc>
      </w:tr>
    </w:tbl>
    <w:p w14:paraId="057787F4" w14:textId="77777777" w:rsidR="00C218C6" w:rsidRPr="0084457D"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14:paraId="55A74CCB" w14:textId="77777777" w:rsidR="00C218C6"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000E7AE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14:paraId="0E39E795" w14:textId="77777777" w:rsidR="00CD7A10" w:rsidRPr="00CD7A10" w:rsidRDefault="00CD7A10" w:rsidP="00D05278">
      <w:pPr>
        <w:spacing w:line="480" w:lineRule="auto"/>
        <w:rPr>
          <w:rFonts w:ascii="Arial" w:hAnsi="Arial" w:cs="Arial"/>
          <w:sz w:val="22"/>
          <w:szCs w:val="22"/>
        </w:rPr>
      </w:pPr>
    </w:p>
    <w:p w14:paraId="5E75FED1" w14:textId="65BA9D15" w:rsidR="00C218C6" w:rsidRPr="00C10B2E" w:rsidRDefault="00C218C6" w:rsidP="00AF76CD">
      <w:pPr>
        <w:spacing w:line="480" w:lineRule="auto"/>
        <w:jc w:val="both"/>
        <w:rPr>
          <w:rFonts w:ascii="Arial" w:hAnsi="Arial" w:cs="Arial"/>
          <w:sz w:val="22"/>
          <w:szCs w:val="22"/>
        </w:rPr>
      </w:pPr>
      <w:r w:rsidRPr="00C10B2E">
        <w:rPr>
          <w:rFonts w:ascii="Arial" w:hAnsi="Arial" w:cs="Arial"/>
          <w:sz w:val="22"/>
          <w:szCs w:val="22"/>
        </w:rPr>
        <w:t>Table S2 presents a comparison between the sectoral distribution of steel stock additions of 6 selected countries from EXIOBASE v3.3.1</w:t>
      </w:r>
      <w:r w:rsidR="002C378D">
        <w:rPr>
          <w:rFonts w:ascii="Arial" w:hAnsi="Arial" w:cs="Arial"/>
          <w:sz w:val="22"/>
          <w:szCs w:val="22"/>
        </w:rPr>
        <w:t>8</w:t>
      </w:r>
      <w:r w:rsidRPr="00C10B2E">
        <w:rPr>
          <w:rFonts w:ascii="Arial" w:hAnsi="Arial" w:cs="Arial"/>
          <w:sz w:val="22"/>
          <w:szCs w:val="22"/>
        </w:rPr>
        <w:t xml:space="preserve"> and </w:t>
      </w:r>
      <w:r w:rsidR="006D6439" w:rsidRPr="00C10B2E">
        <w:rPr>
          <w:rFonts w:ascii="Arial" w:eastAsia="Times New Roman" w:hAnsi="Arial" w:cs="Arial"/>
          <w:bCs/>
          <w:color w:val="000000"/>
          <w:kern w:val="24"/>
          <w:sz w:val="22"/>
          <w:szCs w:val="22"/>
          <w:lang w:val="en-AU" w:eastAsia="en-GB"/>
        </w:rPr>
        <w:t>other MFA studies</w:t>
      </w:r>
      <w:r w:rsidRPr="00C10B2E">
        <w:rPr>
          <w:rFonts w:ascii="Arial" w:hAnsi="Arial" w:cs="Arial"/>
          <w:sz w:val="22"/>
          <w:szCs w:val="22"/>
          <w:lang w:val="en-AU"/>
        </w:rPr>
        <w:t>. The values from EXIOBASE v3.3.1</w:t>
      </w:r>
      <w:r w:rsidR="002C378D">
        <w:rPr>
          <w:rFonts w:ascii="Arial" w:hAnsi="Arial" w:cs="Arial"/>
          <w:sz w:val="22"/>
          <w:szCs w:val="22"/>
          <w:lang w:val="en-AU"/>
        </w:rPr>
        <w:t>8</w:t>
      </w:r>
      <w:r w:rsidRPr="00C10B2E">
        <w:rPr>
          <w:rFonts w:ascii="Arial" w:hAnsi="Arial" w:cs="Arial"/>
          <w:sz w:val="22"/>
          <w:szCs w:val="22"/>
          <w:lang w:val="en-AU"/>
        </w:rPr>
        <w:t xml:space="preserve"> for Australia, Canada, France, Japan, United Kingdom and United </w:t>
      </w:r>
      <w:r w:rsidRPr="00C10B2E">
        <w:rPr>
          <w:rFonts w:ascii="Arial" w:hAnsi="Arial" w:cs="Arial"/>
          <w:sz w:val="22"/>
          <w:szCs w:val="22"/>
        </w:rPr>
        <w:t xml:space="preserve">States are calculated by using the </w:t>
      </w:r>
      <w:r w:rsidRPr="00C10B2E">
        <w:rPr>
          <w:rFonts w:ascii="Arial" w:hAnsi="Arial" w:cs="Arial"/>
          <w:b/>
          <w:i/>
          <w:sz w:val="22"/>
          <w:szCs w:val="22"/>
        </w:rPr>
        <w:t>country_validation.py</w:t>
      </w:r>
      <w:r w:rsidR="001D652B" w:rsidRPr="00C10B2E">
        <w:rPr>
          <w:rFonts w:ascii="Arial" w:hAnsi="Arial" w:cs="Arial"/>
          <w:sz w:val="22"/>
          <w:szCs w:val="22"/>
        </w:rPr>
        <w:t xml:space="preserve"> function (see section 1.3. above). </w:t>
      </w:r>
      <w:r w:rsidRPr="00C10B2E">
        <w:rPr>
          <w:rFonts w:ascii="Arial" w:hAnsi="Arial" w:cs="Arial"/>
          <w:sz w:val="22"/>
          <w:szCs w:val="22"/>
        </w:rPr>
        <w:t>The shares of steel stock additions in construction and transport sectors are significantly dif</w:t>
      </w:r>
      <w:r w:rsidR="006D6439" w:rsidRPr="00C10B2E">
        <w:rPr>
          <w:rFonts w:ascii="Arial" w:hAnsi="Arial" w:cs="Arial"/>
          <w:sz w:val="22"/>
          <w:szCs w:val="22"/>
        </w:rPr>
        <w:t xml:space="preserve">ferent between the EXIOBASE and Muller et al. </w:t>
      </w:r>
      <w:r w:rsidR="006D6439" w:rsidRPr="00C10B2E">
        <w:rPr>
          <w:rFonts w:ascii="Arial" w:hAnsi="Arial" w:cs="Arial"/>
          <w:sz w:val="22"/>
          <w:szCs w:val="22"/>
        </w:rPr>
        <w:fldChar w:fldCharType="begin" w:fldLock="1"/>
      </w:r>
      <w:r w:rsidR="006D6439"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6D6439" w:rsidRPr="00C10B2E">
        <w:rPr>
          <w:rFonts w:ascii="Arial" w:hAnsi="Arial" w:cs="Arial"/>
          <w:sz w:val="22"/>
          <w:szCs w:val="22"/>
        </w:rPr>
        <w:fldChar w:fldCharType="separate"/>
      </w:r>
      <w:r w:rsidR="006D6439" w:rsidRPr="00C10B2E">
        <w:rPr>
          <w:rFonts w:ascii="Arial" w:hAnsi="Arial" w:cs="Arial"/>
          <w:noProof/>
          <w:sz w:val="22"/>
          <w:szCs w:val="22"/>
        </w:rPr>
        <w:t>(2011)</w:t>
      </w:r>
      <w:r w:rsidR="006D6439" w:rsidRPr="00C10B2E">
        <w:rPr>
          <w:rFonts w:ascii="Arial" w:hAnsi="Arial" w:cs="Arial"/>
          <w:sz w:val="22"/>
          <w:szCs w:val="22"/>
        </w:rPr>
        <w:fldChar w:fldCharType="end"/>
      </w:r>
      <w:r w:rsidR="006D6439" w:rsidRPr="00C10B2E">
        <w:rPr>
          <w:rFonts w:ascii="Arial" w:hAnsi="Arial" w:cs="Arial"/>
          <w:sz w:val="22"/>
          <w:szCs w:val="22"/>
        </w:rPr>
        <w:t xml:space="preserve">. However, final demand categories (e.g. households and government </w:t>
      </w:r>
      <w:r w:rsidR="000E7AED" w:rsidRPr="00C10B2E">
        <w:rPr>
          <w:rFonts w:ascii="Arial" w:hAnsi="Arial" w:cs="Arial"/>
          <w:sz w:val="22"/>
          <w:szCs w:val="22"/>
        </w:rPr>
        <w:t>expenditures</w:t>
      </w:r>
      <w:r w:rsidR="006D6439" w:rsidRPr="00C10B2E">
        <w:rPr>
          <w:rFonts w:ascii="Arial" w:hAnsi="Arial" w:cs="Arial"/>
          <w:sz w:val="22"/>
          <w:szCs w:val="22"/>
        </w:rPr>
        <w:t>) also contribute to steel stock additions</w:t>
      </w:r>
      <w:r w:rsidR="001D652B" w:rsidRPr="00C10B2E">
        <w:rPr>
          <w:rFonts w:ascii="Arial" w:hAnsi="Arial" w:cs="Arial"/>
          <w:sz w:val="22"/>
          <w:szCs w:val="22"/>
        </w:rPr>
        <w:t xml:space="preserve"> in </w:t>
      </w:r>
      <w:r w:rsidR="000E7AED">
        <w:rPr>
          <w:rFonts w:ascii="Arial" w:hAnsi="Arial" w:cs="Arial"/>
          <w:sz w:val="22"/>
          <w:szCs w:val="22"/>
        </w:rPr>
        <w:t xml:space="preserve">construction and transport, </w:t>
      </w:r>
      <w:r w:rsidR="006D6439" w:rsidRPr="00C10B2E">
        <w:rPr>
          <w:rFonts w:ascii="Arial" w:hAnsi="Arial" w:cs="Arial"/>
          <w:sz w:val="22"/>
          <w:szCs w:val="22"/>
        </w:rPr>
        <w:t xml:space="preserve">for example, when consumers purchase a house or a private car. Assuming that most of the materials accumulated by final demand categories are related to construction and transport sectors, thus, the sum </w:t>
      </w:r>
      <w:r w:rsidR="006D6439" w:rsidRPr="00C10B2E">
        <w:rPr>
          <w:rFonts w:ascii="Arial" w:hAnsi="Arial" w:cs="Arial"/>
          <w:sz w:val="22"/>
          <w:szCs w:val="22"/>
        </w:rPr>
        <w:lastRenderedPageBreak/>
        <w:t xml:space="preserve">of construction, transport and final demand constitutes </w:t>
      </w:r>
      <w:r w:rsidR="001D652B" w:rsidRPr="00C10B2E">
        <w:rPr>
          <w:rFonts w:ascii="Arial" w:hAnsi="Arial" w:cs="Arial"/>
          <w:sz w:val="22"/>
          <w:szCs w:val="22"/>
        </w:rPr>
        <w:t xml:space="preserve">between </w:t>
      </w:r>
      <w:r w:rsidR="001457C3" w:rsidRPr="00C10B2E">
        <w:rPr>
          <w:rFonts w:ascii="Arial" w:hAnsi="Arial" w:cs="Arial"/>
          <w:sz w:val="22"/>
          <w:szCs w:val="22"/>
        </w:rPr>
        <w:t>70</w:t>
      </w:r>
      <w:r w:rsidR="001D652B" w:rsidRPr="00C10B2E">
        <w:rPr>
          <w:rFonts w:ascii="Arial" w:hAnsi="Arial" w:cs="Arial"/>
          <w:sz w:val="22"/>
          <w:szCs w:val="22"/>
        </w:rPr>
        <w:t xml:space="preserve">% and </w:t>
      </w:r>
      <w:r w:rsidR="001457C3" w:rsidRPr="00C10B2E">
        <w:rPr>
          <w:rFonts w:ascii="Arial" w:hAnsi="Arial" w:cs="Arial"/>
          <w:sz w:val="22"/>
          <w:szCs w:val="22"/>
        </w:rPr>
        <w:t>80</w:t>
      </w:r>
      <w:r w:rsidR="001D652B" w:rsidRPr="00C10B2E">
        <w:rPr>
          <w:rFonts w:ascii="Arial" w:hAnsi="Arial" w:cs="Arial"/>
          <w:sz w:val="22"/>
          <w:szCs w:val="22"/>
        </w:rPr>
        <w:t>% of total steel stock additions</w:t>
      </w:r>
      <w:r w:rsidR="000E7AED">
        <w:rPr>
          <w:rFonts w:ascii="Arial" w:hAnsi="Arial" w:cs="Arial"/>
          <w:sz w:val="22"/>
          <w:szCs w:val="22"/>
        </w:rPr>
        <w:t xml:space="preserve"> in the selected countries, which are</w:t>
      </w:r>
      <w:r w:rsidR="001D652B" w:rsidRPr="00C10B2E">
        <w:rPr>
          <w:rFonts w:ascii="Arial" w:hAnsi="Arial" w:cs="Arial"/>
          <w:sz w:val="22"/>
          <w:szCs w:val="22"/>
        </w:rPr>
        <w:t xml:space="preserve"> similar to those reported by </w:t>
      </w:r>
      <w:r w:rsidR="00C10B2E" w:rsidRPr="00C10B2E">
        <w:rPr>
          <w:rFonts w:ascii="Arial" w:hAnsi="Arial" w:cs="Arial"/>
          <w:sz w:val="22"/>
          <w:szCs w:val="22"/>
        </w:rPr>
        <w:t>Mü</w:t>
      </w:r>
      <w:r w:rsidR="001D652B" w:rsidRPr="00C10B2E">
        <w:rPr>
          <w:rFonts w:ascii="Arial" w:hAnsi="Arial" w:cs="Arial"/>
          <w:sz w:val="22"/>
          <w:szCs w:val="22"/>
        </w:rPr>
        <w:t xml:space="preserve">ller et al. </w:t>
      </w:r>
      <w:r w:rsidR="001D652B" w:rsidRPr="00C10B2E">
        <w:rPr>
          <w:rFonts w:ascii="Arial" w:hAnsi="Arial" w:cs="Arial"/>
          <w:sz w:val="22"/>
          <w:szCs w:val="22"/>
        </w:rPr>
        <w:fldChar w:fldCharType="begin" w:fldLock="1"/>
      </w:r>
      <w:r w:rsidR="001D652B"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1D652B" w:rsidRPr="00C10B2E">
        <w:rPr>
          <w:rFonts w:ascii="Arial" w:hAnsi="Arial" w:cs="Arial"/>
          <w:sz w:val="22"/>
          <w:szCs w:val="22"/>
        </w:rPr>
        <w:fldChar w:fldCharType="separate"/>
      </w:r>
      <w:r w:rsidR="001D652B" w:rsidRPr="00C10B2E">
        <w:rPr>
          <w:rFonts w:ascii="Arial" w:hAnsi="Arial" w:cs="Arial"/>
          <w:noProof/>
          <w:sz w:val="22"/>
          <w:szCs w:val="22"/>
        </w:rPr>
        <w:t>(2011)</w:t>
      </w:r>
      <w:r w:rsidR="001D652B" w:rsidRPr="00C10B2E">
        <w:rPr>
          <w:rFonts w:ascii="Arial" w:hAnsi="Arial" w:cs="Arial"/>
          <w:sz w:val="22"/>
          <w:szCs w:val="22"/>
        </w:rPr>
        <w:fldChar w:fldCharType="end"/>
      </w:r>
      <w:r w:rsidR="000E7AED">
        <w:rPr>
          <w:rFonts w:ascii="Arial" w:hAnsi="Arial" w:cs="Arial"/>
          <w:sz w:val="22"/>
          <w:szCs w:val="22"/>
        </w:rPr>
        <w:t>. It is important to notice</w:t>
      </w:r>
      <w:r w:rsidR="00801173">
        <w:rPr>
          <w:rFonts w:ascii="Arial" w:hAnsi="Arial" w:cs="Arial"/>
          <w:sz w:val="22"/>
          <w:szCs w:val="22"/>
        </w:rPr>
        <w:t xml:space="preserve"> that the two datasets represent different</w:t>
      </w:r>
      <w:r w:rsidR="000E7AED">
        <w:rPr>
          <w:rFonts w:ascii="Arial" w:hAnsi="Arial" w:cs="Arial"/>
          <w:sz w:val="22"/>
          <w:szCs w:val="22"/>
        </w:rPr>
        <w:t xml:space="preserve"> </w:t>
      </w:r>
      <w:r w:rsidR="00801173">
        <w:rPr>
          <w:rFonts w:ascii="Arial" w:hAnsi="Arial" w:cs="Arial"/>
          <w:sz w:val="22"/>
          <w:szCs w:val="22"/>
        </w:rPr>
        <w:t>years (i.e. 2011 and 2005)</w:t>
      </w:r>
      <w:r w:rsidR="000E7AED">
        <w:rPr>
          <w:rFonts w:ascii="Arial" w:hAnsi="Arial" w:cs="Arial"/>
          <w:sz w:val="22"/>
          <w:szCs w:val="22"/>
        </w:rPr>
        <w:t xml:space="preserve">, </w:t>
      </w:r>
      <w:r w:rsidR="00801173">
        <w:rPr>
          <w:rFonts w:ascii="Arial" w:hAnsi="Arial" w:cs="Arial"/>
          <w:sz w:val="22"/>
          <w:szCs w:val="22"/>
        </w:rPr>
        <w:t xml:space="preserve">which might imply differences in the sectoral distribution depending on the period. </w:t>
      </w:r>
      <w:r w:rsidR="000E7AED">
        <w:rPr>
          <w:rFonts w:ascii="Arial" w:hAnsi="Arial" w:cs="Arial"/>
          <w:sz w:val="22"/>
          <w:szCs w:val="22"/>
        </w:rPr>
        <w:t>As explained in section 3.3 and 4.2 of the main manuscript, a</w:t>
      </w:r>
      <w:r w:rsidRPr="00C10B2E">
        <w:rPr>
          <w:rFonts w:ascii="Arial" w:hAnsi="Arial" w:cs="Arial"/>
          <w:sz w:val="22"/>
          <w:szCs w:val="22"/>
        </w:rPr>
        <w:t xml:space="preserve"> further research on the application of multi-regional hybrid-units input-output tables (</w:t>
      </w:r>
      <w:r w:rsidR="000E7AED">
        <w:rPr>
          <w:rFonts w:ascii="Arial" w:hAnsi="Arial" w:cs="Arial"/>
          <w:sz w:val="22"/>
          <w:szCs w:val="22"/>
        </w:rPr>
        <w:t>MR</w:t>
      </w:r>
      <w:r w:rsidR="004F48D9" w:rsidRPr="00C10B2E">
        <w:rPr>
          <w:rFonts w:ascii="Arial" w:hAnsi="Arial" w:cs="Arial"/>
          <w:sz w:val="22"/>
          <w:szCs w:val="22"/>
        </w:rPr>
        <w:t>-HIOT)</w:t>
      </w:r>
      <w:r w:rsidR="000E7AED">
        <w:rPr>
          <w:rFonts w:ascii="Arial" w:hAnsi="Arial" w:cs="Arial"/>
          <w:sz w:val="22"/>
          <w:szCs w:val="22"/>
        </w:rPr>
        <w:t xml:space="preserve"> is required in order to provide a more comprehensive comparison between MR-HIOT and MFA results. However, we consider that these results are a starting point for a data reconciliation between MR-HIOT and MFA approaches at national and global levels. </w:t>
      </w:r>
      <w:r w:rsidR="009F713E" w:rsidRPr="009F713E">
        <w:rPr>
          <w:rFonts w:ascii="Arial" w:hAnsi="Arial" w:cs="Arial"/>
          <w:sz w:val="22"/>
          <w:szCs w:val="22"/>
        </w:rPr>
        <w:t xml:space="preserve">A full comparison with other MFA-based studies is available at </w:t>
      </w:r>
      <w:proofErr w:type="spellStart"/>
      <w:r w:rsidR="009F713E" w:rsidRPr="009F713E">
        <w:rPr>
          <w:rFonts w:ascii="Arial" w:hAnsi="Arial" w:cs="Arial"/>
          <w:sz w:val="22"/>
          <w:szCs w:val="22"/>
        </w:rPr>
        <w:t>Data_validation</w:t>
      </w:r>
      <w:proofErr w:type="spellEnd"/>
      <w:r w:rsidR="009F713E">
        <w:rPr>
          <w:rFonts w:ascii="Arial" w:hAnsi="Arial" w:cs="Arial"/>
          <w:sz w:val="22"/>
          <w:szCs w:val="22"/>
        </w:rPr>
        <w:t>.</w:t>
      </w:r>
    </w:p>
    <w:p w14:paraId="6FBD80E6" w14:textId="1BC30C67" w:rsidR="00C218C6" w:rsidRPr="00D05278" w:rsidRDefault="00C218C6" w:rsidP="00D05278">
      <w:pPr>
        <w:spacing w:line="480" w:lineRule="auto"/>
        <w:jc w:val="center"/>
        <w:rPr>
          <w:rFonts w:ascii="Arial" w:eastAsia="Times New Roman" w:hAnsi="Arial" w:cs="Arial"/>
          <w:bCs/>
          <w:color w:val="000000"/>
          <w:kern w:val="24"/>
          <w:sz w:val="22"/>
          <w:szCs w:val="22"/>
          <w:lang w:val="en-AU" w:eastAsia="en-GB"/>
        </w:rPr>
      </w:pPr>
      <w:r w:rsidRPr="00C10B2E">
        <w:rPr>
          <w:rFonts w:ascii="Arial" w:hAnsi="Arial" w:cs="Arial"/>
          <w:sz w:val="22"/>
          <w:szCs w:val="22"/>
        </w:rPr>
        <w:t>Table S2. Comparison between the shares of steel stock additions in construction and transport sectors from EXIOBASE v3.3.1</w:t>
      </w:r>
      <w:r w:rsidR="002C378D">
        <w:rPr>
          <w:rFonts w:ascii="Arial" w:hAnsi="Arial" w:cs="Arial"/>
          <w:sz w:val="22"/>
          <w:szCs w:val="22"/>
        </w:rPr>
        <w:t>8</w:t>
      </w:r>
      <w:r w:rsidRPr="00C10B2E">
        <w:rPr>
          <w:rFonts w:ascii="Arial" w:hAnsi="Arial" w:cs="Arial"/>
          <w:sz w:val="22"/>
          <w:szCs w:val="22"/>
        </w:rPr>
        <w:t xml:space="preserve"> and</w:t>
      </w:r>
      <w:r w:rsidR="00C10B2E" w:rsidRPr="00C10B2E">
        <w:rPr>
          <w:rFonts w:ascii="Arial" w:hAnsi="Arial" w:cs="Arial"/>
          <w:sz w:val="22"/>
          <w:szCs w:val="22"/>
        </w:rPr>
        <w:t xml:space="preserve"> Müller et al. </w:t>
      </w:r>
      <w:r w:rsidR="00C10B2E" w:rsidRPr="00C10B2E">
        <w:rPr>
          <w:rFonts w:ascii="Arial" w:hAnsi="Arial" w:cs="Arial"/>
          <w:sz w:val="22"/>
          <w:szCs w:val="22"/>
        </w:rPr>
        <w:fldChar w:fldCharType="begin" w:fldLock="1"/>
      </w:r>
      <w:r w:rsidR="00C10B2E"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10B2E" w:rsidRPr="00C10B2E">
        <w:rPr>
          <w:rFonts w:ascii="Arial" w:hAnsi="Arial" w:cs="Arial"/>
          <w:sz w:val="22"/>
          <w:szCs w:val="22"/>
        </w:rPr>
        <w:fldChar w:fldCharType="separate"/>
      </w:r>
      <w:r w:rsidR="00C10B2E" w:rsidRPr="00C10B2E">
        <w:rPr>
          <w:rFonts w:ascii="Arial" w:hAnsi="Arial" w:cs="Arial"/>
          <w:noProof/>
          <w:sz w:val="22"/>
          <w:szCs w:val="22"/>
        </w:rPr>
        <w:t>(2011)</w:t>
      </w:r>
      <w:r w:rsidR="00C10B2E" w:rsidRPr="00C10B2E">
        <w:rPr>
          <w:rFonts w:ascii="Arial" w:hAnsi="Arial" w:cs="Arial"/>
          <w:sz w:val="22"/>
          <w:szCs w:val="22"/>
        </w:rPr>
        <w:fldChar w:fldCharType="end"/>
      </w:r>
    </w:p>
    <w:tbl>
      <w:tblPr>
        <w:tblW w:w="9062" w:type="dxa"/>
        <w:tblLayout w:type="fixed"/>
        <w:tblCellMar>
          <w:left w:w="0" w:type="dxa"/>
          <w:right w:w="0" w:type="dxa"/>
        </w:tblCellMar>
        <w:tblLook w:val="0600" w:firstRow="0" w:lastRow="0" w:firstColumn="0" w:lastColumn="0" w:noHBand="1" w:noVBand="1"/>
      </w:tblPr>
      <w:tblGrid>
        <w:gridCol w:w="1550"/>
        <w:gridCol w:w="1559"/>
        <w:gridCol w:w="1276"/>
        <w:gridCol w:w="1842"/>
        <w:gridCol w:w="1560"/>
        <w:gridCol w:w="1275"/>
      </w:tblGrid>
      <w:tr w:rsidR="00C10B2E" w:rsidRPr="0084457D" w14:paraId="27330290" w14:textId="77777777" w:rsidTr="00C10B2E">
        <w:trPr>
          <w:trHeight w:val="54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6E3C0"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4677" w:type="dxa"/>
            <w:gridSpan w:val="3"/>
            <w:tcBorders>
              <w:top w:val="single" w:sz="8" w:space="0" w:color="000000"/>
              <w:left w:val="single" w:sz="8" w:space="0" w:color="000000"/>
              <w:bottom w:val="single" w:sz="8" w:space="0" w:color="000000"/>
              <w:right w:val="single" w:sz="8" w:space="0" w:color="000000"/>
            </w:tcBorders>
          </w:tcPr>
          <w:p w14:paraId="275C21AE" w14:textId="61B32604"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w:t>
            </w:r>
            <w:r w:rsidR="002C378D">
              <w:rPr>
                <w:rFonts w:ascii="Arial" w:eastAsia="Times New Roman" w:hAnsi="Arial" w:cs="Arial"/>
                <w:bCs/>
                <w:color w:val="000000"/>
                <w:kern w:val="24"/>
                <w:sz w:val="20"/>
                <w:lang w:eastAsia="en-GB"/>
              </w:rPr>
              <w:t>8</w:t>
            </w:r>
          </w:p>
          <w:p w14:paraId="1484DD64" w14:textId="77777777" w:rsidR="00C10B2E" w:rsidRPr="00C10B2E" w:rsidRDefault="00C10B2E" w:rsidP="00D05278">
            <w:pPr>
              <w:pStyle w:val="ListParagraph"/>
              <w:spacing w:after="0" w:line="240" w:lineRule="auto"/>
              <w:jc w:val="center"/>
              <w:textAlignment w:val="bottom"/>
              <w:rPr>
                <w:rFonts w:ascii="Arial" w:eastAsia="Times New Roman" w:hAnsi="Arial" w:cs="Arial"/>
                <w:bCs/>
                <w:color w:val="000000"/>
                <w:kern w:val="24"/>
                <w:sz w:val="20"/>
                <w:szCs w:val="20"/>
                <w:lang w:val="en-AU" w:eastAsia="en-GB"/>
              </w:rPr>
            </w:pPr>
            <w:r w:rsidRPr="00C10B2E">
              <w:rPr>
                <w:rFonts w:ascii="Arial" w:eastAsia="Times New Roman" w:hAnsi="Arial" w:cs="Arial"/>
                <w:bCs/>
                <w:color w:val="000000"/>
                <w:kern w:val="24"/>
                <w:sz w:val="20"/>
                <w:szCs w:val="20"/>
                <w:lang w:eastAsia="en-GB"/>
              </w:rPr>
              <w:fldChar w:fldCharType="begin" w:fldLock="1"/>
            </w:r>
            <w:r w:rsidRPr="00C10B2E">
              <w:rPr>
                <w:rFonts w:ascii="Arial" w:eastAsia="Times New Roman" w:hAnsi="Arial" w:cs="Arial"/>
                <w:bCs/>
                <w:color w:val="000000"/>
                <w:kern w:val="24"/>
                <w:sz w:val="20"/>
                <w:szCs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szCs w:val="20"/>
                <w:lang w:eastAsia="en-GB"/>
              </w:rPr>
              <w:fldChar w:fldCharType="separate"/>
            </w:r>
            <w:r w:rsidRPr="00C10B2E">
              <w:rPr>
                <w:rFonts w:ascii="Arial" w:eastAsia="Times New Roman" w:hAnsi="Arial" w:cs="Arial"/>
                <w:bCs/>
                <w:noProof/>
                <w:color w:val="000000"/>
                <w:kern w:val="24"/>
                <w:sz w:val="20"/>
                <w:szCs w:val="20"/>
                <w:lang w:eastAsia="en-GB"/>
              </w:rPr>
              <w:t>(Merciai and Schmidt 2018; Schmidt and Merciai 2017)</w:t>
            </w:r>
            <w:r w:rsidRPr="00C10B2E">
              <w:rPr>
                <w:rFonts w:ascii="Arial" w:eastAsia="Times New Roman" w:hAnsi="Arial" w:cs="Arial"/>
                <w:bCs/>
                <w:color w:val="000000"/>
                <w:kern w:val="24"/>
                <w:sz w:val="20"/>
                <w:szCs w:val="20"/>
                <w:lang w:eastAsia="en-GB"/>
              </w:rPr>
              <w:fldChar w:fldCharType="end"/>
            </w:r>
            <w:r w:rsidRPr="00C10B2E">
              <w:rPr>
                <w:rFonts w:ascii="Arial" w:eastAsia="Times New Roman" w:hAnsi="Arial" w:cs="Arial"/>
                <w:bCs/>
                <w:color w:val="000000"/>
                <w:kern w:val="24"/>
                <w:sz w:val="20"/>
                <w:szCs w:val="20"/>
                <w:vertAlign w:val="superscript"/>
                <w:lang w:eastAsia="en-GB"/>
              </w:rPr>
              <w:t>1</w:t>
            </w:r>
          </w:p>
        </w:tc>
        <w:tc>
          <w:tcPr>
            <w:tcW w:w="2835" w:type="dxa"/>
            <w:gridSpan w:val="2"/>
            <w:tcBorders>
              <w:top w:val="single" w:sz="8" w:space="0" w:color="000000"/>
              <w:left w:val="single" w:sz="8" w:space="0" w:color="000000"/>
              <w:bottom w:val="single" w:sz="8" w:space="0" w:color="000000"/>
              <w:right w:val="single" w:sz="8" w:space="0" w:color="000000"/>
            </w:tcBorders>
            <w:vAlign w:val="center"/>
          </w:tcPr>
          <w:p w14:paraId="482DFC40" w14:textId="77777777" w:rsidR="00C10B2E" w:rsidRPr="00C10B2E" w:rsidRDefault="00C10B2E" w:rsidP="00D05278">
            <w:pPr>
              <w:jc w:val="center"/>
              <w:textAlignment w:val="bottom"/>
              <w:rPr>
                <w:rFonts w:ascii="Arial" w:hAnsi="Arial" w:cs="Arial"/>
                <w:sz w:val="20"/>
                <w:lang w:val="en-AU"/>
              </w:rPr>
            </w:pPr>
            <w:r w:rsidRPr="00C10B2E">
              <w:rPr>
                <w:rFonts w:ascii="Arial" w:eastAsia="Times New Roman" w:hAnsi="Arial" w:cs="Arial"/>
                <w:bCs/>
                <w:color w:val="000000"/>
                <w:kern w:val="24"/>
                <w:sz w:val="20"/>
                <w:lang w:val="en-AU" w:eastAsia="en-GB"/>
              </w:rPr>
              <w:t>M</w:t>
            </w:r>
            <w:r w:rsidRPr="00C10B2E">
              <w:rPr>
                <w:rFonts w:ascii="Arial" w:hAnsi="Arial" w:cs="Arial"/>
                <w:sz w:val="20"/>
              </w:rPr>
              <w:t>ü</w:t>
            </w:r>
            <w:proofErr w:type="spellStart"/>
            <w:r w:rsidRPr="00C10B2E">
              <w:rPr>
                <w:rFonts w:ascii="Arial" w:eastAsia="Times New Roman" w:hAnsi="Arial" w:cs="Arial"/>
                <w:bCs/>
                <w:color w:val="000000"/>
                <w:kern w:val="24"/>
                <w:sz w:val="20"/>
                <w:lang w:val="en-AU" w:eastAsia="en-GB"/>
              </w:rPr>
              <w:t>ller</w:t>
            </w:r>
            <w:proofErr w:type="spellEnd"/>
            <w:r w:rsidRPr="00C10B2E">
              <w:rPr>
                <w:rFonts w:ascii="Arial" w:eastAsia="Times New Roman" w:hAnsi="Arial" w:cs="Arial"/>
                <w:bCs/>
                <w:color w:val="000000"/>
                <w:kern w:val="24"/>
                <w:sz w:val="20"/>
                <w:lang w:val="en-AU" w:eastAsia="en-GB"/>
              </w:rPr>
              <w:t xml:space="preserve"> et al. </w:t>
            </w:r>
            <w:r w:rsidRPr="00C10B2E">
              <w:rPr>
                <w:rFonts w:ascii="Arial" w:eastAsia="Times New Roman" w:hAnsi="Arial" w:cs="Arial"/>
                <w:bCs/>
                <w:color w:val="000000"/>
                <w:kern w:val="24"/>
                <w:sz w:val="20"/>
                <w:lang w:val="es-CR" w:eastAsia="en-GB"/>
              </w:rPr>
              <w:fldChar w:fldCharType="begin" w:fldLock="1"/>
            </w:r>
            <w:r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10B2E">
              <w:rPr>
                <w:rFonts w:ascii="Arial" w:eastAsia="Times New Roman" w:hAnsi="Arial" w:cs="Arial"/>
                <w:bCs/>
                <w:color w:val="000000"/>
                <w:kern w:val="24"/>
                <w:sz w:val="20"/>
                <w:lang w:val="es-CR" w:eastAsia="en-GB"/>
              </w:rPr>
              <w:fldChar w:fldCharType="separate"/>
            </w:r>
            <w:r w:rsidRPr="00C10B2E">
              <w:rPr>
                <w:rFonts w:ascii="Arial" w:eastAsia="Times New Roman" w:hAnsi="Arial" w:cs="Arial"/>
                <w:bCs/>
                <w:noProof/>
                <w:color w:val="000000"/>
                <w:kern w:val="24"/>
                <w:sz w:val="20"/>
                <w:lang w:val="en-AU" w:eastAsia="en-GB"/>
              </w:rPr>
              <w:t>(2011)</w:t>
            </w:r>
            <w:r w:rsidRPr="00C10B2E">
              <w:rPr>
                <w:rFonts w:ascii="Arial" w:eastAsia="Times New Roman" w:hAnsi="Arial" w:cs="Arial"/>
                <w:bCs/>
                <w:color w:val="000000"/>
                <w:kern w:val="24"/>
                <w:sz w:val="20"/>
                <w:lang w:val="es-CR" w:eastAsia="en-GB"/>
              </w:rPr>
              <w:fldChar w:fldCharType="end"/>
            </w:r>
            <w:r w:rsidRPr="00C10B2E">
              <w:rPr>
                <w:rFonts w:ascii="Arial" w:eastAsia="Times New Roman" w:hAnsi="Arial" w:cs="Arial"/>
                <w:bCs/>
                <w:color w:val="000000"/>
                <w:kern w:val="24"/>
                <w:sz w:val="20"/>
                <w:vertAlign w:val="superscript"/>
                <w:lang w:val="es-CR" w:eastAsia="en-GB"/>
              </w:rPr>
              <w:t>3</w:t>
            </w:r>
          </w:p>
        </w:tc>
      </w:tr>
      <w:tr w:rsidR="00C10B2E" w:rsidRPr="0084457D" w14:paraId="5F0C593A"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F60396"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4677" w:type="dxa"/>
            <w:gridSpan w:val="3"/>
            <w:tcBorders>
              <w:top w:val="single" w:sz="8" w:space="0" w:color="000000"/>
              <w:left w:val="single" w:sz="8" w:space="0" w:color="000000"/>
              <w:bottom w:val="single" w:sz="8" w:space="0" w:color="000000"/>
              <w:right w:val="single" w:sz="8" w:space="0" w:color="000000"/>
            </w:tcBorders>
          </w:tcPr>
          <w:p w14:paraId="7AF470F3"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2011</w:t>
            </w:r>
          </w:p>
        </w:tc>
        <w:tc>
          <w:tcPr>
            <w:tcW w:w="2835" w:type="dxa"/>
            <w:gridSpan w:val="2"/>
            <w:tcBorders>
              <w:top w:val="single" w:sz="8" w:space="0" w:color="000000"/>
              <w:left w:val="single" w:sz="8" w:space="0" w:color="000000"/>
              <w:bottom w:val="single" w:sz="8" w:space="0" w:color="000000"/>
              <w:right w:val="single" w:sz="8" w:space="0" w:color="000000"/>
            </w:tcBorders>
          </w:tcPr>
          <w:p w14:paraId="0E9E0401" w14:textId="77777777" w:rsidR="00C10B2E" w:rsidRPr="00C10B2E" w:rsidRDefault="00C10B2E"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10B2E" w:rsidRPr="0084457D" w14:paraId="64676CB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C7EF1E"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Sector</w:t>
            </w:r>
          </w:p>
        </w:tc>
        <w:tc>
          <w:tcPr>
            <w:tcW w:w="1559" w:type="dxa"/>
            <w:tcBorders>
              <w:top w:val="single" w:sz="8" w:space="0" w:color="000000"/>
              <w:left w:val="single" w:sz="8" w:space="0" w:color="000000"/>
              <w:bottom w:val="single" w:sz="8" w:space="0" w:color="000000"/>
              <w:right w:val="single" w:sz="8" w:space="0" w:color="000000"/>
            </w:tcBorders>
          </w:tcPr>
          <w:p w14:paraId="4C2D4510"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6" w:type="dxa"/>
            <w:tcBorders>
              <w:top w:val="single" w:sz="8" w:space="0" w:color="000000"/>
              <w:left w:val="single" w:sz="8" w:space="0" w:color="000000"/>
              <w:bottom w:val="single" w:sz="8" w:space="0" w:color="000000"/>
              <w:right w:val="single" w:sz="8" w:space="0" w:color="000000"/>
            </w:tcBorders>
          </w:tcPr>
          <w:p w14:paraId="7FBF57B1"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c>
          <w:tcPr>
            <w:tcW w:w="1842" w:type="dxa"/>
            <w:tcBorders>
              <w:top w:val="single" w:sz="8" w:space="0" w:color="000000"/>
              <w:left w:val="single" w:sz="8" w:space="0" w:color="000000"/>
              <w:bottom w:val="single" w:sz="8" w:space="0" w:color="000000"/>
              <w:right w:val="single" w:sz="8" w:space="0" w:color="000000"/>
            </w:tcBorders>
          </w:tcPr>
          <w:p w14:paraId="6A941C2E"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Final demand (%)</w:t>
            </w:r>
            <w:r w:rsidRPr="00C10B2E">
              <w:rPr>
                <w:rFonts w:ascii="Arial" w:eastAsia="Times New Roman" w:hAnsi="Arial" w:cs="Arial"/>
                <w:color w:val="000000"/>
                <w:kern w:val="24"/>
                <w:sz w:val="20"/>
                <w:vertAlign w:val="superscript"/>
                <w:lang w:eastAsia="en-GB"/>
              </w:rPr>
              <w:t>2</w:t>
            </w:r>
          </w:p>
        </w:tc>
        <w:tc>
          <w:tcPr>
            <w:tcW w:w="1560" w:type="dxa"/>
            <w:tcBorders>
              <w:top w:val="single" w:sz="8" w:space="0" w:color="000000"/>
              <w:left w:val="single" w:sz="8" w:space="0" w:color="000000"/>
              <w:bottom w:val="single" w:sz="8" w:space="0" w:color="000000"/>
              <w:right w:val="single" w:sz="8" w:space="0" w:color="000000"/>
            </w:tcBorders>
          </w:tcPr>
          <w:p w14:paraId="4F0A0CB7"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96B9EC"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r>
      <w:tr w:rsidR="00C10B2E" w:rsidRPr="0084457D" w14:paraId="73E56FE4"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EC2D4D0"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Country:</w:t>
            </w:r>
          </w:p>
        </w:tc>
        <w:tc>
          <w:tcPr>
            <w:tcW w:w="1559" w:type="dxa"/>
            <w:tcBorders>
              <w:top w:val="single" w:sz="8" w:space="0" w:color="000000"/>
              <w:left w:val="single" w:sz="8" w:space="0" w:color="000000"/>
              <w:bottom w:val="single" w:sz="8" w:space="0" w:color="000000"/>
              <w:right w:val="single" w:sz="8" w:space="0" w:color="000000"/>
            </w:tcBorders>
            <w:vAlign w:val="center"/>
          </w:tcPr>
          <w:p w14:paraId="436B2713"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6D2F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842" w:type="dxa"/>
            <w:tcBorders>
              <w:top w:val="single" w:sz="8" w:space="0" w:color="000000"/>
              <w:left w:val="single" w:sz="8" w:space="0" w:color="000000"/>
              <w:bottom w:val="single" w:sz="8" w:space="0" w:color="000000"/>
              <w:right w:val="single" w:sz="8" w:space="0" w:color="000000"/>
            </w:tcBorders>
            <w:vAlign w:val="center"/>
          </w:tcPr>
          <w:p w14:paraId="6697A65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560" w:type="dxa"/>
            <w:tcBorders>
              <w:top w:val="single" w:sz="8" w:space="0" w:color="000000"/>
              <w:left w:val="single" w:sz="8" w:space="0" w:color="000000"/>
              <w:bottom w:val="single" w:sz="8" w:space="0" w:color="000000"/>
              <w:right w:val="single" w:sz="8" w:space="0" w:color="000000"/>
            </w:tcBorders>
            <w:vAlign w:val="center"/>
          </w:tcPr>
          <w:p w14:paraId="62D45CCC"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F8EE9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r>
      <w:tr w:rsidR="00C10B2E" w:rsidRPr="0084457D" w14:paraId="6E37F61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026CA6"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Australia</w:t>
            </w:r>
          </w:p>
        </w:tc>
        <w:tc>
          <w:tcPr>
            <w:tcW w:w="1559" w:type="dxa"/>
            <w:tcBorders>
              <w:top w:val="single" w:sz="8" w:space="0" w:color="000000"/>
              <w:left w:val="single" w:sz="8" w:space="0" w:color="000000"/>
              <w:bottom w:val="single" w:sz="8" w:space="0" w:color="000000"/>
              <w:right w:val="single" w:sz="8" w:space="0" w:color="000000"/>
            </w:tcBorders>
            <w:vAlign w:val="center"/>
          </w:tcPr>
          <w:p w14:paraId="2C0EE8A8"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0526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842" w:type="dxa"/>
            <w:tcBorders>
              <w:top w:val="single" w:sz="8" w:space="0" w:color="000000"/>
              <w:left w:val="single" w:sz="8" w:space="0" w:color="000000"/>
              <w:bottom w:val="single" w:sz="8" w:space="0" w:color="000000"/>
              <w:right w:val="single" w:sz="8" w:space="0" w:color="000000"/>
            </w:tcBorders>
            <w:vAlign w:val="center"/>
          </w:tcPr>
          <w:p w14:paraId="4E65AC9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58</w:t>
            </w:r>
          </w:p>
        </w:tc>
        <w:tc>
          <w:tcPr>
            <w:tcW w:w="1560" w:type="dxa"/>
            <w:tcBorders>
              <w:top w:val="single" w:sz="8" w:space="0" w:color="000000"/>
              <w:left w:val="single" w:sz="8" w:space="0" w:color="000000"/>
              <w:bottom w:val="single" w:sz="8" w:space="0" w:color="000000"/>
              <w:right w:val="single" w:sz="8" w:space="0" w:color="000000"/>
            </w:tcBorders>
            <w:vAlign w:val="center"/>
          </w:tcPr>
          <w:p w14:paraId="2D9B8DD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r w:rsidR="00084FAB">
              <w:rPr>
                <w:rFonts w:ascii="Arial" w:eastAsia="Times New Roman" w:hAnsi="Arial" w:cs="Arial"/>
                <w:bCs/>
                <w:color w:val="000000"/>
                <w:kern w:val="24"/>
                <w:sz w:val="20"/>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9CB77C"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24</w:t>
            </w:r>
          </w:p>
        </w:tc>
      </w:tr>
      <w:tr w:rsidR="00C10B2E" w:rsidRPr="0084457D" w14:paraId="0C359EC6"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3E9060E"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Canada</w:t>
            </w:r>
          </w:p>
        </w:tc>
        <w:tc>
          <w:tcPr>
            <w:tcW w:w="1559" w:type="dxa"/>
            <w:tcBorders>
              <w:top w:val="single" w:sz="8" w:space="0" w:color="000000"/>
              <w:left w:val="single" w:sz="8" w:space="0" w:color="000000"/>
              <w:bottom w:val="single" w:sz="8" w:space="0" w:color="000000"/>
              <w:right w:val="single" w:sz="8" w:space="0" w:color="000000"/>
            </w:tcBorders>
            <w:vAlign w:val="center"/>
          </w:tcPr>
          <w:p w14:paraId="4D9A335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FB11608"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14:paraId="37A700E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47</w:t>
            </w:r>
          </w:p>
        </w:tc>
        <w:tc>
          <w:tcPr>
            <w:tcW w:w="1560" w:type="dxa"/>
            <w:tcBorders>
              <w:top w:val="single" w:sz="8" w:space="0" w:color="000000"/>
              <w:left w:val="single" w:sz="8" w:space="0" w:color="000000"/>
              <w:bottom w:val="single" w:sz="8" w:space="0" w:color="000000"/>
              <w:right w:val="single" w:sz="8" w:space="0" w:color="000000"/>
            </w:tcBorders>
            <w:vAlign w:val="center"/>
          </w:tcPr>
          <w:p w14:paraId="1CDB840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63D02A"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34</w:t>
            </w:r>
          </w:p>
        </w:tc>
      </w:tr>
      <w:tr w:rsidR="00C10B2E" w:rsidRPr="0084457D" w14:paraId="72BC7946"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18B84C"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France</w:t>
            </w:r>
          </w:p>
        </w:tc>
        <w:tc>
          <w:tcPr>
            <w:tcW w:w="1559" w:type="dxa"/>
            <w:tcBorders>
              <w:top w:val="single" w:sz="8" w:space="0" w:color="000000"/>
              <w:left w:val="single" w:sz="8" w:space="0" w:color="000000"/>
              <w:bottom w:val="single" w:sz="8" w:space="0" w:color="000000"/>
              <w:right w:val="single" w:sz="8" w:space="0" w:color="000000"/>
            </w:tcBorders>
            <w:vAlign w:val="center"/>
          </w:tcPr>
          <w:p w14:paraId="4F62EF1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17AF0A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14:paraId="046F90CA"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36</w:t>
            </w:r>
          </w:p>
        </w:tc>
        <w:tc>
          <w:tcPr>
            <w:tcW w:w="1560" w:type="dxa"/>
            <w:tcBorders>
              <w:top w:val="single" w:sz="8" w:space="0" w:color="000000"/>
              <w:left w:val="single" w:sz="8" w:space="0" w:color="000000"/>
              <w:bottom w:val="single" w:sz="8" w:space="0" w:color="000000"/>
              <w:right w:val="single" w:sz="8" w:space="0" w:color="000000"/>
            </w:tcBorders>
            <w:vAlign w:val="center"/>
          </w:tcPr>
          <w:p w14:paraId="47123F7E"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1AA1C3"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27</w:t>
            </w:r>
          </w:p>
        </w:tc>
      </w:tr>
      <w:tr w:rsidR="00C10B2E" w:rsidRPr="0084457D" w14:paraId="4C7453B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3855E8D"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Japan</w:t>
            </w:r>
          </w:p>
        </w:tc>
        <w:tc>
          <w:tcPr>
            <w:tcW w:w="1559" w:type="dxa"/>
            <w:tcBorders>
              <w:top w:val="single" w:sz="8" w:space="0" w:color="000000"/>
              <w:left w:val="single" w:sz="8" w:space="0" w:color="000000"/>
              <w:bottom w:val="single" w:sz="8" w:space="0" w:color="000000"/>
              <w:right w:val="single" w:sz="8" w:space="0" w:color="000000"/>
            </w:tcBorders>
            <w:vAlign w:val="center"/>
          </w:tcPr>
          <w:p w14:paraId="6E89254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E672D3F"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10</w:t>
            </w:r>
          </w:p>
        </w:tc>
        <w:tc>
          <w:tcPr>
            <w:tcW w:w="1842" w:type="dxa"/>
            <w:tcBorders>
              <w:top w:val="single" w:sz="8" w:space="0" w:color="000000"/>
              <w:left w:val="single" w:sz="8" w:space="0" w:color="000000"/>
              <w:bottom w:val="single" w:sz="8" w:space="0" w:color="000000"/>
              <w:right w:val="single" w:sz="8" w:space="0" w:color="000000"/>
            </w:tcBorders>
            <w:vAlign w:val="center"/>
          </w:tcPr>
          <w:p w14:paraId="773F7C7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38</w:t>
            </w:r>
          </w:p>
        </w:tc>
        <w:tc>
          <w:tcPr>
            <w:tcW w:w="1560" w:type="dxa"/>
            <w:tcBorders>
              <w:top w:val="single" w:sz="8" w:space="0" w:color="000000"/>
              <w:left w:val="single" w:sz="8" w:space="0" w:color="000000"/>
              <w:bottom w:val="single" w:sz="8" w:space="0" w:color="000000"/>
              <w:right w:val="single" w:sz="8" w:space="0" w:color="000000"/>
            </w:tcBorders>
            <w:vAlign w:val="center"/>
          </w:tcPr>
          <w:p w14:paraId="5996AC02"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51AD5C"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2</w:t>
            </w:r>
          </w:p>
        </w:tc>
      </w:tr>
      <w:tr w:rsidR="00C10B2E" w:rsidRPr="0084457D" w14:paraId="2AC3704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BCCDFB"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Kingdom</w:t>
            </w:r>
          </w:p>
        </w:tc>
        <w:tc>
          <w:tcPr>
            <w:tcW w:w="1559" w:type="dxa"/>
            <w:tcBorders>
              <w:top w:val="single" w:sz="8" w:space="0" w:color="000000"/>
              <w:left w:val="single" w:sz="8" w:space="0" w:color="000000"/>
              <w:bottom w:val="single" w:sz="8" w:space="0" w:color="000000"/>
              <w:right w:val="single" w:sz="8" w:space="0" w:color="000000"/>
            </w:tcBorders>
            <w:vAlign w:val="center"/>
          </w:tcPr>
          <w:p w14:paraId="5736CDA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C7B833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842" w:type="dxa"/>
            <w:tcBorders>
              <w:top w:val="single" w:sz="8" w:space="0" w:color="000000"/>
              <w:left w:val="single" w:sz="8" w:space="0" w:color="000000"/>
              <w:bottom w:val="single" w:sz="8" w:space="0" w:color="000000"/>
              <w:right w:val="single" w:sz="8" w:space="0" w:color="000000"/>
            </w:tcBorders>
            <w:vAlign w:val="center"/>
          </w:tcPr>
          <w:p w14:paraId="596593C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52</w:t>
            </w:r>
          </w:p>
        </w:tc>
        <w:tc>
          <w:tcPr>
            <w:tcW w:w="1560" w:type="dxa"/>
            <w:tcBorders>
              <w:top w:val="single" w:sz="8" w:space="0" w:color="000000"/>
              <w:left w:val="single" w:sz="8" w:space="0" w:color="000000"/>
              <w:bottom w:val="single" w:sz="8" w:space="0" w:color="000000"/>
              <w:right w:val="single" w:sz="8" w:space="0" w:color="000000"/>
            </w:tcBorders>
            <w:vAlign w:val="center"/>
          </w:tcPr>
          <w:p w14:paraId="28E2CECD"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2446F9"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w:t>
            </w:r>
            <w:r w:rsidR="00084FAB">
              <w:rPr>
                <w:rFonts w:ascii="Arial" w:eastAsia="Times New Roman" w:hAnsi="Arial" w:cs="Arial"/>
                <w:bCs/>
                <w:color w:val="000000"/>
                <w:kern w:val="24"/>
                <w:sz w:val="20"/>
                <w:lang w:eastAsia="en-GB"/>
              </w:rPr>
              <w:t>5</w:t>
            </w:r>
          </w:p>
        </w:tc>
      </w:tr>
      <w:tr w:rsidR="00C10B2E" w:rsidRPr="0084457D" w14:paraId="77486AB3"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6B77258"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States</w:t>
            </w:r>
          </w:p>
        </w:tc>
        <w:tc>
          <w:tcPr>
            <w:tcW w:w="1559" w:type="dxa"/>
            <w:tcBorders>
              <w:top w:val="single" w:sz="8" w:space="0" w:color="000000"/>
              <w:left w:val="single" w:sz="8" w:space="0" w:color="000000"/>
              <w:bottom w:val="single" w:sz="8" w:space="0" w:color="000000"/>
              <w:right w:val="single" w:sz="8" w:space="0" w:color="000000"/>
            </w:tcBorders>
            <w:vAlign w:val="center"/>
          </w:tcPr>
          <w:p w14:paraId="66AA5AE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6F48CF"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11</w:t>
            </w:r>
          </w:p>
        </w:tc>
        <w:tc>
          <w:tcPr>
            <w:tcW w:w="1842" w:type="dxa"/>
            <w:tcBorders>
              <w:top w:val="single" w:sz="8" w:space="0" w:color="000000"/>
              <w:left w:val="single" w:sz="8" w:space="0" w:color="000000"/>
              <w:bottom w:val="single" w:sz="8" w:space="0" w:color="000000"/>
              <w:right w:val="single" w:sz="8" w:space="0" w:color="000000"/>
            </w:tcBorders>
            <w:vAlign w:val="center"/>
          </w:tcPr>
          <w:p w14:paraId="3848F9B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50</w:t>
            </w:r>
          </w:p>
        </w:tc>
        <w:tc>
          <w:tcPr>
            <w:tcW w:w="1560" w:type="dxa"/>
            <w:tcBorders>
              <w:top w:val="single" w:sz="8" w:space="0" w:color="000000"/>
              <w:left w:val="single" w:sz="8" w:space="0" w:color="000000"/>
              <w:bottom w:val="single" w:sz="8" w:space="0" w:color="000000"/>
              <w:right w:val="single" w:sz="8" w:space="0" w:color="000000"/>
            </w:tcBorders>
            <w:vAlign w:val="center"/>
          </w:tcPr>
          <w:p w14:paraId="62A03353"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6DDD530"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0</w:t>
            </w:r>
          </w:p>
        </w:tc>
      </w:tr>
    </w:tbl>
    <w:p w14:paraId="3032542F" w14:textId="77777777" w:rsidR="00C218C6" w:rsidRPr="00C10B2E" w:rsidRDefault="00C218C6" w:rsidP="00D05278">
      <w:pPr>
        <w:spacing w:line="480" w:lineRule="auto"/>
        <w:rPr>
          <w:rFonts w:ascii="Arial" w:hAnsi="Arial" w:cs="Arial"/>
          <w:sz w:val="20"/>
        </w:rPr>
      </w:pPr>
      <w:r w:rsidRPr="00C10B2E">
        <w:rPr>
          <w:rFonts w:ascii="Arial" w:hAnsi="Arial" w:cs="Arial"/>
          <w:sz w:val="20"/>
          <w:vertAlign w:val="superscript"/>
        </w:rPr>
        <w:t xml:space="preserve">1 </w:t>
      </w:r>
      <w:r w:rsidRPr="00C10B2E">
        <w:rPr>
          <w:rFonts w:ascii="Arial" w:hAnsi="Arial" w:cs="Arial"/>
          <w:sz w:val="20"/>
        </w:rPr>
        <w:t xml:space="preserve">Values retrieved from </w:t>
      </w:r>
      <w:r w:rsidRPr="00C10B2E">
        <w:rPr>
          <w:rFonts w:ascii="Arial" w:hAnsi="Arial" w:cs="Arial"/>
          <w:i/>
          <w:sz w:val="20"/>
        </w:rPr>
        <w:t>country_validation.py</w:t>
      </w:r>
      <w:r w:rsidRPr="00C10B2E">
        <w:rPr>
          <w:rFonts w:ascii="Arial" w:hAnsi="Arial" w:cs="Arial"/>
          <w:sz w:val="20"/>
        </w:rPr>
        <w:t xml:space="preserve"> </w:t>
      </w:r>
    </w:p>
    <w:p w14:paraId="15D44BFE" w14:textId="77777777" w:rsidR="00AE141E" w:rsidRPr="00C10B2E" w:rsidRDefault="00AE141E" w:rsidP="00D05278">
      <w:pPr>
        <w:spacing w:line="480" w:lineRule="auto"/>
        <w:rPr>
          <w:rFonts w:ascii="Arial" w:hAnsi="Arial" w:cs="Arial"/>
          <w:sz w:val="20"/>
          <w:vertAlign w:val="superscript"/>
        </w:rPr>
      </w:pPr>
      <w:r w:rsidRPr="00C10B2E">
        <w:rPr>
          <w:rFonts w:ascii="Arial" w:hAnsi="Arial" w:cs="Arial"/>
          <w:sz w:val="20"/>
          <w:vertAlign w:val="superscript"/>
        </w:rPr>
        <w:t>2</w:t>
      </w:r>
      <w:r w:rsidRPr="00C10B2E">
        <w:rPr>
          <w:rFonts w:ascii="Arial" w:hAnsi="Arial" w:cs="Arial"/>
          <w:sz w:val="20"/>
        </w:rPr>
        <w:t xml:space="preserve"> Values </w:t>
      </w:r>
      <w:r w:rsidR="00C10B2E" w:rsidRPr="00C10B2E">
        <w:rPr>
          <w:rFonts w:ascii="Arial" w:eastAsia="Times New Roman" w:hAnsi="Arial" w:cs="Arial"/>
          <w:bCs/>
          <w:color w:val="000000"/>
          <w:kern w:val="24"/>
          <w:sz w:val="20"/>
          <w:lang w:val="en-AU" w:eastAsia="en-GB"/>
        </w:rPr>
        <w:t>comprises construction, transport, and other durable goods purchased by final demand categories directly</w:t>
      </w:r>
    </w:p>
    <w:p w14:paraId="0C741C9A" w14:textId="5A4766D8" w:rsidR="00C218C6" w:rsidRDefault="00AE141E" w:rsidP="00D05278">
      <w:pPr>
        <w:spacing w:line="480" w:lineRule="auto"/>
        <w:rPr>
          <w:rFonts w:ascii="Arial" w:eastAsia="Times New Roman" w:hAnsi="Arial" w:cs="Arial"/>
          <w:bCs/>
          <w:color w:val="000000"/>
          <w:kern w:val="24"/>
          <w:sz w:val="20"/>
          <w:lang w:val="es-CR" w:eastAsia="en-GB"/>
        </w:rPr>
      </w:pPr>
      <w:r w:rsidRPr="00C10B2E">
        <w:rPr>
          <w:rFonts w:ascii="Arial" w:hAnsi="Arial" w:cs="Arial"/>
          <w:sz w:val="20"/>
          <w:vertAlign w:val="superscript"/>
        </w:rPr>
        <w:t>3</w:t>
      </w:r>
      <w:r w:rsidR="00C218C6" w:rsidRPr="00C10B2E">
        <w:rPr>
          <w:rFonts w:ascii="Arial" w:hAnsi="Arial" w:cs="Arial"/>
          <w:sz w:val="20"/>
        </w:rPr>
        <w:t xml:space="preserve"> Values </w:t>
      </w:r>
      <w:r w:rsidR="00084FAB">
        <w:rPr>
          <w:rFonts w:ascii="Arial" w:eastAsia="Times New Roman" w:hAnsi="Arial" w:cs="Arial"/>
          <w:bCs/>
          <w:color w:val="000000"/>
          <w:kern w:val="24"/>
          <w:sz w:val="20"/>
          <w:lang w:val="en-AU" w:eastAsia="en-GB"/>
        </w:rPr>
        <w:t xml:space="preserve">were retrieved from the Figure S2 </w:t>
      </w:r>
      <w:r w:rsidR="000E7AED">
        <w:rPr>
          <w:rFonts w:ascii="Arial" w:eastAsia="Times New Roman" w:hAnsi="Arial" w:cs="Arial"/>
          <w:bCs/>
          <w:color w:val="000000"/>
          <w:kern w:val="24"/>
          <w:sz w:val="20"/>
          <w:lang w:val="en-AU" w:eastAsia="en-GB"/>
        </w:rPr>
        <w:t xml:space="preserve">in </w:t>
      </w:r>
      <w:r w:rsidR="00C10B2E">
        <w:rPr>
          <w:rFonts w:ascii="Arial" w:eastAsia="Times New Roman" w:hAnsi="Arial" w:cs="Arial"/>
          <w:bCs/>
          <w:color w:val="000000"/>
          <w:kern w:val="24"/>
          <w:sz w:val="20"/>
          <w:lang w:val="en-AU" w:eastAsia="en-GB"/>
        </w:rPr>
        <w:t>M</w:t>
      </w:r>
      <w:r w:rsidR="00C10B2E" w:rsidRPr="00C10B2E">
        <w:rPr>
          <w:rFonts w:ascii="Arial" w:hAnsi="Arial" w:cs="Arial"/>
          <w:sz w:val="20"/>
        </w:rPr>
        <w:t>ü</w:t>
      </w:r>
      <w:proofErr w:type="spellStart"/>
      <w:r w:rsidR="00C218C6" w:rsidRPr="00C10B2E">
        <w:rPr>
          <w:rFonts w:ascii="Arial" w:eastAsia="Times New Roman" w:hAnsi="Arial" w:cs="Arial"/>
          <w:bCs/>
          <w:color w:val="000000"/>
          <w:kern w:val="24"/>
          <w:sz w:val="20"/>
          <w:lang w:val="en-AU" w:eastAsia="en-GB"/>
        </w:rPr>
        <w:t>ller</w:t>
      </w:r>
      <w:proofErr w:type="spellEnd"/>
      <w:r w:rsidR="00C218C6" w:rsidRPr="00C10B2E">
        <w:rPr>
          <w:rFonts w:ascii="Arial" w:eastAsia="Times New Roman" w:hAnsi="Arial" w:cs="Arial"/>
          <w:bCs/>
          <w:color w:val="000000"/>
          <w:kern w:val="24"/>
          <w:sz w:val="20"/>
          <w:lang w:val="en-AU" w:eastAsia="en-GB"/>
        </w:rPr>
        <w:t xml:space="preserve"> et al. </w:t>
      </w:r>
      <w:r w:rsidR="00C218C6" w:rsidRPr="00C10B2E">
        <w:rPr>
          <w:rFonts w:ascii="Arial" w:eastAsia="Times New Roman" w:hAnsi="Arial" w:cs="Arial"/>
          <w:bCs/>
          <w:color w:val="000000"/>
          <w:kern w:val="24"/>
          <w:sz w:val="20"/>
          <w:lang w:val="es-CR" w:eastAsia="en-GB"/>
        </w:rPr>
        <w:fldChar w:fldCharType="begin" w:fldLock="1"/>
      </w:r>
      <w:r w:rsidR="00C218C6"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218C6" w:rsidRPr="00C10B2E">
        <w:rPr>
          <w:rFonts w:ascii="Arial" w:eastAsia="Times New Roman" w:hAnsi="Arial" w:cs="Arial"/>
          <w:bCs/>
          <w:color w:val="000000"/>
          <w:kern w:val="24"/>
          <w:sz w:val="20"/>
          <w:lang w:val="es-CR" w:eastAsia="en-GB"/>
        </w:rPr>
        <w:fldChar w:fldCharType="separate"/>
      </w:r>
      <w:r w:rsidR="00C218C6" w:rsidRPr="00C10B2E">
        <w:rPr>
          <w:rFonts w:ascii="Arial" w:eastAsia="Times New Roman" w:hAnsi="Arial" w:cs="Arial"/>
          <w:bCs/>
          <w:noProof/>
          <w:color w:val="000000"/>
          <w:kern w:val="24"/>
          <w:sz w:val="20"/>
          <w:lang w:val="en-AU" w:eastAsia="en-GB"/>
        </w:rPr>
        <w:t>(2011)</w:t>
      </w:r>
      <w:r w:rsidR="00C218C6" w:rsidRPr="00C10B2E">
        <w:rPr>
          <w:rFonts w:ascii="Arial" w:eastAsia="Times New Roman" w:hAnsi="Arial" w:cs="Arial"/>
          <w:bCs/>
          <w:color w:val="000000"/>
          <w:kern w:val="24"/>
          <w:sz w:val="20"/>
          <w:lang w:val="es-CR" w:eastAsia="en-GB"/>
        </w:rPr>
        <w:fldChar w:fldCharType="end"/>
      </w:r>
      <w:r w:rsidR="00084FAB" w:rsidRPr="00084FAB">
        <w:rPr>
          <w:rFonts w:ascii="Arial" w:eastAsia="Times New Roman" w:hAnsi="Arial" w:cs="Arial"/>
          <w:bCs/>
          <w:color w:val="000000"/>
          <w:kern w:val="24"/>
          <w:sz w:val="20"/>
          <w:lang w:val="en-AU" w:eastAsia="en-GB"/>
        </w:rPr>
        <w:t>, supporting information by</w:t>
      </w:r>
      <w:r w:rsidR="000E7AED" w:rsidRPr="00084FAB">
        <w:rPr>
          <w:rFonts w:ascii="Arial" w:eastAsia="Times New Roman" w:hAnsi="Arial" w:cs="Arial"/>
          <w:bCs/>
          <w:color w:val="000000"/>
          <w:kern w:val="24"/>
          <w:sz w:val="20"/>
          <w:lang w:val="en-AU" w:eastAsia="en-GB"/>
        </w:rPr>
        <w:t xml:space="preserve"> using </w:t>
      </w:r>
      <w:proofErr w:type="spellStart"/>
      <w:r w:rsidR="000E7AED" w:rsidRPr="00084FAB">
        <w:rPr>
          <w:rFonts w:ascii="Arial" w:eastAsia="Times New Roman" w:hAnsi="Arial" w:cs="Arial"/>
          <w:bCs/>
          <w:color w:val="000000"/>
          <w:kern w:val="24"/>
          <w:sz w:val="20"/>
          <w:lang w:val="en-AU" w:eastAsia="en-GB"/>
        </w:rPr>
        <w:t>WebPlotDigitizer</w:t>
      </w:r>
      <w:proofErr w:type="spellEnd"/>
      <w:r w:rsidR="000E7AED" w:rsidRPr="00084FAB">
        <w:rPr>
          <w:rFonts w:ascii="Arial" w:eastAsia="Times New Roman" w:hAnsi="Arial" w:cs="Arial"/>
          <w:bCs/>
          <w:color w:val="000000"/>
          <w:kern w:val="24"/>
          <w:sz w:val="20"/>
          <w:lang w:val="en-AU" w:eastAsia="en-GB"/>
        </w:rPr>
        <w:t xml:space="preserve"> </w:t>
      </w:r>
      <w:r w:rsidR="000E7AED">
        <w:rPr>
          <w:rFonts w:ascii="Arial" w:eastAsia="Times New Roman" w:hAnsi="Arial" w:cs="Arial"/>
          <w:bCs/>
          <w:color w:val="000000"/>
          <w:kern w:val="24"/>
          <w:sz w:val="20"/>
          <w:lang w:val="es-CR" w:eastAsia="en-GB"/>
        </w:rPr>
        <w:fldChar w:fldCharType="begin" w:fldLock="1"/>
      </w:r>
      <w:r w:rsidR="000E7AED" w:rsidRPr="00084FAB">
        <w:rPr>
          <w:rFonts w:ascii="Arial" w:eastAsia="Times New Roman" w:hAnsi="Arial" w:cs="Arial"/>
          <w:bCs/>
          <w:color w:val="000000"/>
          <w:kern w:val="24"/>
          <w:sz w:val="20"/>
          <w:lang w:val="en-AU" w:eastAsia="en-GB"/>
        </w:rPr>
        <w:instrText>ADDIN CSL_CITATION {"citationItems":[{"id":"ITEM-1","itemData":{"author":[{"dropping-particle":"","family":"Rohatgi","given":"A","non-dropping-particle":"","parse-names":false,"suffix":""}],"id":"ITEM-1","issued":{"date-parts":[["2019"]]},"title":"WebPlotDigitizer (Version 4.2)","type":"webpage"},"uris":["http://www.mendeley.com/documents/?uuid=e0a3c286-3595-4707-889c-72dfb6cf0b87"]}],"mendeley":{"formattedCitation":"(Rohatgi 2019)","plainTextFormattedCitation":"(Rohatgi 2019)"},"properties":{"noteIndex":0},"schema":"https://github.com/citation-style-language/schema/raw/master/csl-citation.json"}</w:instrText>
      </w:r>
      <w:r w:rsidR="000E7AED">
        <w:rPr>
          <w:rFonts w:ascii="Arial" w:eastAsia="Times New Roman" w:hAnsi="Arial" w:cs="Arial"/>
          <w:bCs/>
          <w:color w:val="000000"/>
          <w:kern w:val="24"/>
          <w:sz w:val="20"/>
          <w:lang w:val="es-CR" w:eastAsia="en-GB"/>
        </w:rPr>
        <w:fldChar w:fldCharType="separate"/>
      </w:r>
      <w:r w:rsidR="000E7AED" w:rsidRPr="00084FAB">
        <w:rPr>
          <w:rFonts w:ascii="Arial" w:eastAsia="Times New Roman" w:hAnsi="Arial" w:cs="Arial"/>
          <w:bCs/>
          <w:noProof/>
          <w:color w:val="000000"/>
          <w:kern w:val="24"/>
          <w:sz w:val="20"/>
          <w:lang w:val="en-AU" w:eastAsia="en-GB"/>
        </w:rPr>
        <w:t>(Rohatgi 2019)</w:t>
      </w:r>
      <w:r w:rsidR="000E7AED">
        <w:rPr>
          <w:rFonts w:ascii="Arial" w:eastAsia="Times New Roman" w:hAnsi="Arial" w:cs="Arial"/>
          <w:bCs/>
          <w:color w:val="000000"/>
          <w:kern w:val="24"/>
          <w:sz w:val="20"/>
          <w:lang w:val="es-CR" w:eastAsia="en-GB"/>
        </w:rPr>
        <w:fldChar w:fldCharType="end"/>
      </w:r>
    </w:p>
    <w:p w14:paraId="5D7A04CE" w14:textId="77777777" w:rsidR="00C218C6" w:rsidRPr="00D05278" w:rsidRDefault="00C218C6" w:rsidP="00D05278">
      <w:pPr>
        <w:pStyle w:val="Heading1"/>
        <w:keepLines/>
        <w:numPr>
          <w:ilvl w:val="0"/>
          <w:numId w:val="27"/>
        </w:numPr>
        <w:spacing w:before="480" w:line="480" w:lineRule="auto"/>
        <w:jc w:val="left"/>
        <w:rPr>
          <w:rFonts w:cs="Arial"/>
        </w:rPr>
      </w:pPr>
      <w:r>
        <w:rPr>
          <w:rFonts w:cs="Arial"/>
        </w:rPr>
        <w:t>References</w:t>
      </w:r>
    </w:p>
    <w:p w14:paraId="2D1729E7" w14:textId="77777777" w:rsidR="000E7AED" w:rsidRPr="000E7AED" w:rsidRDefault="00C218C6" w:rsidP="00D05278">
      <w:pPr>
        <w:widowControl w:val="0"/>
        <w:autoSpaceDE w:val="0"/>
        <w:autoSpaceDN w:val="0"/>
        <w:adjustRightInd w:val="0"/>
        <w:spacing w:after="200" w:line="480" w:lineRule="auto"/>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000E7AED" w:rsidRPr="000E7AED">
        <w:rPr>
          <w:rFonts w:ascii="Arial" w:hAnsi="Arial" w:cs="Arial"/>
          <w:noProof/>
          <w:sz w:val="22"/>
          <w:szCs w:val="24"/>
        </w:rPr>
        <w:t xml:space="preserve">Aguilar-Hernandez, G.A., C.P. Sigüenza-Sanchez, F. Donati, S. Merciai, J. Schmidt, </w:t>
      </w:r>
      <w:r w:rsidR="000E7AED" w:rsidRPr="000E7AED">
        <w:rPr>
          <w:rFonts w:ascii="Arial" w:hAnsi="Arial" w:cs="Arial"/>
          <w:noProof/>
          <w:sz w:val="22"/>
          <w:szCs w:val="24"/>
        </w:rPr>
        <w:lastRenderedPageBreak/>
        <w:t xml:space="preserve">J.F.D. Rodrigues, and A. Tukker. 2019. The circularity gap of nations: A multiregional analysis of waste generation, recovery, and stock depletion in 2011. </w:t>
      </w:r>
      <w:r w:rsidR="000E7AED" w:rsidRPr="000E7AED">
        <w:rPr>
          <w:rFonts w:ascii="Arial" w:hAnsi="Arial" w:cs="Arial"/>
          <w:i/>
          <w:iCs/>
          <w:noProof/>
          <w:sz w:val="22"/>
          <w:szCs w:val="24"/>
        </w:rPr>
        <w:t>Resources, Conservation and Recycling</w:t>
      </w:r>
      <w:r w:rsidR="000E7AED" w:rsidRPr="000E7AED">
        <w:rPr>
          <w:rFonts w:ascii="Arial" w:hAnsi="Arial" w:cs="Arial"/>
          <w:noProof/>
          <w:sz w:val="22"/>
          <w:szCs w:val="24"/>
        </w:rPr>
        <w:t xml:space="preserve"> 151: 104452.</w:t>
      </w:r>
    </w:p>
    <w:p w14:paraId="6CAF5F4D"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19(5): 765–777.</w:t>
      </w:r>
    </w:p>
    <w:p w14:paraId="1EE80BC1"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Merciai, S. and J. Schmidt. 2018. Methodology for the Construction of Global Multi-Regional Hybrid Supply and Use Tables for the EXIOBASE v3 Database.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00(0): 1–16.</w:t>
      </w:r>
    </w:p>
    <w:p w14:paraId="4717AB7A"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Müller, D.B., T. Wang, and B. Duval. 2011. Patterns of iron use in societal evolution. </w:t>
      </w:r>
      <w:r w:rsidRPr="000E7AED">
        <w:rPr>
          <w:rFonts w:ascii="Arial" w:hAnsi="Arial" w:cs="Arial"/>
          <w:i/>
          <w:iCs/>
          <w:noProof/>
          <w:sz w:val="22"/>
          <w:szCs w:val="24"/>
        </w:rPr>
        <w:t>Environmental Science and Technology</w:t>
      </w:r>
      <w:r w:rsidRPr="000E7AED">
        <w:rPr>
          <w:rFonts w:ascii="Arial" w:hAnsi="Arial" w:cs="Arial"/>
          <w:noProof/>
          <w:sz w:val="22"/>
          <w:szCs w:val="24"/>
        </w:rPr>
        <w:t xml:space="preserve"> 45(1): 182–188.</w:t>
      </w:r>
    </w:p>
    <w:p w14:paraId="721A4248"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Rohatgi, A. 2019. WebPlotDigitizer (Version 4.2).</w:t>
      </w:r>
    </w:p>
    <w:p w14:paraId="746DB1A0"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Schmidt, J. and S. Merciai. 2017. </w:t>
      </w:r>
      <w:r w:rsidRPr="000E7AED">
        <w:rPr>
          <w:rFonts w:ascii="Arial" w:hAnsi="Arial" w:cs="Arial"/>
          <w:i/>
          <w:iCs/>
          <w:noProof/>
          <w:sz w:val="22"/>
          <w:szCs w:val="24"/>
        </w:rPr>
        <w:t>Physical/hybrid supply and use tables – methodological report. DESIRE deliverable</w:t>
      </w:r>
      <w:r w:rsidRPr="000E7AED">
        <w:rPr>
          <w:rFonts w:ascii="Arial" w:hAnsi="Arial" w:cs="Arial"/>
          <w:noProof/>
          <w:sz w:val="22"/>
          <w:szCs w:val="24"/>
        </w:rPr>
        <w:t>. http://fp7desire.eu/documents/category/3-public-deliverables.</w:t>
      </w:r>
    </w:p>
    <w:p w14:paraId="2F442F80"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Tableau. 2019. Tableau Public 2019.4. https://public.tableau.com/en-us/s/.</w:t>
      </w:r>
    </w:p>
    <w:p w14:paraId="65DF1C63"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0E7AED">
        <w:rPr>
          <w:rFonts w:ascii="Arial" w:hAnsi="Arial" w:cs="Arial"/>
          <w:i/>
          <w:iCs/>
          <w:noProof/>
          <w:sz w:val="22"/>
          <w:szCs w:val="24"/>
        </w:rPr>
        <w:t>Ecological Economics</w:t>
      </w:r>
      <w:r w:rsidRPr="000E7AED">
        <w:rPr>
          <w:rFonts w:ascii="Arial" w:hAnsi="Arial" w:cs="Arial"/>
          <w:noProof/>
          <w:sz w:val="22"/>
          <w:szCs w:val="24"/>
        </w:rPr>
        <w:t xml:space="preserve"> 156: 121–133.</w:t>
      </w:r>
    </w:p>
    <w:p w14:paraId="3B50E878"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rPr>
      </w:pPr>
      <w:r w:rsidRPr="000E7AED">
        <w:rPr>
          <w:rFonts w:ascii="Arial" w:hAnsi="Arial" w:cs="Arial"/>
          <w:noProof/>
          <w:sz w:val="22"/>
          <w:szCs w:val="24"/>
        </w:rPr>
        <w:t>World-Bank. 2020. World Bank Open Data.</w:t>
      </w:r>
    </w:p>
    <w:p w14:paraId="29F309A7" w14:textId="77777777" w:rsidR="00C218C6" w:rsidRPr="00C218C6" w:rsidRDefault="00C218C6" w:rsidP="00D05278">
      <w:pPr>
        <w:widowControl w:val="0"/>
        <w:autoSpaceDE w:val="0"/>
        <w:autoSpaceDN w:val="0"/>
        <w:adjustRightInd w:val="0"/>
        <w:spacing w:line="480" w:lineRule="auto"/>
        <w:ind w:left="480" w:hanging="480"/>
        <w:rPr>
          <w:rFonts w:ascii="Arial" w:hAnsi="Arial" w:cs="Arial"/>
        </w:rPr>
      </w:pPr>
      <w:r w:rsidRPr="00C218C6">
        <w:rPr>
          <w:rFonts w:ascii="Arial" w:hAnsi="Arial" w:cs="Arial"/>
        </w:rPr>
        <w:lastRenderedPageBreak/>
        <w:fldChar w:fldCharType="end"/>
      </w:r>
    </w:p>
    <w:p w14:paraId="6BC61F23" w14:textId="77777777" w:rsidR="00C218C6" w:rsidRPr="00C218C6" w:rsidRDefault="00C218C6" w:rsidP="00D05278">
      <w:pPr>
        <w:spacing w:line="480" w:lineRule="auto"/>
        <w:rPr>
          <w:rFonts w:ascii="Arial" w:hAnsi="Arial" w:cs="Arial"/>
        </w:rPr>
      </w:pPr>
    </w:p>
    <w:p w14:paraId="2AA568E5" w14:textId="77777777" w:rsidR="005053C2" w:rsidRPr="005053C2" w:rsidRDefault="005053C2" w:rsidP="00D05278">
      <w:pPr>
        <w:pStyle w:val="JIEreferencelist"/>
        <w:spacing w:line="480" w:lineRule="auto"/>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4DB8" w14:textId="77777777" w:rsidR="00A72073" w:rsidRDefault="00A72073">
      <w:r>
        <w:separator/>
      </w:r>
    </w:p>
  </w:endnote>
  <w:endnote w:type="continuationSeparator" w:id="0">
    <w:p w14:paraId="02892813" w14:textId="77777777" w:rsidR="00A72073" w:rsidRDefault="00A7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BBCE" w14:textId="77777777"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CD7A10">
      <w:rPr>
        <w:rStyle w:val="PageNumber"/>
        <w:noProof/>
        <w:szCs w:val="24"/>
        <w:lang w:val="en-GB"/>
      </w:rPr>
      <w:t>7</w:t>
    </w:r>
    <w:r w:rsidR="00127752" w:rsidRPr="00DB45F4">
      <w:rPr>
        <w:rStyle w:val="PageNumber"/>
        <w:szCs w:val="24"/>
        <w:lang w:val="en-GB"/>
      </w:rPr>
      <w:fldChar w:fldCharType="end"/>
    </w:r>
  </w:p>
  <w:p w14:paraId="0456B47E" w14:textId="77777777" w:rsidR="00637D84" w:rsidRDefault="00637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498E0" w14:textId="77777777" w:rsidR="00A72073" w:rsidRDefault="00A72073">
      <w:r>
        <w:separator/>
      </w:r>
    </w:p>
  </w:footnote>
  <w:footnote w:type="continuationSeparator" w:id="0">
    <w:p w14:paraId="43B79345" w14:textId="77777777" w:rsidR="00A72073" w:rsidRDefault="00A72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CA1F" w14:textId="77777777"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A802" w14:textId="77777777"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78"/>
    <w:rsid w:val="00013D1E"/>
    <w:rsid w:val="00026AC0"/>
    <w:rsid w:val="0005253F"/>
    <w:rsid w:val="00084FAB"/>
    <w:rsid w:val="000C1B25"/>
    <w:rsid w:val="000E1EDA"/>
    <w:rsid w:val="000E7AED"/>
    <w:rsid w:val="00127752"/>
    <w:rsid w:val="00140520"/>
    <w:rsid w:val="001457C3"/>
    <w:rsid w:val="00151F63"/>
    <w:rsid w:val="00164C58"/>
    <w:rsid w:val="00177180"/>
    <w:rsid w:val="001B0CD6"/>
    <w:rsid w:val="001C1C13"/>
    <w:rsid w:val="001D652B"/>
    <w:rsid w:val="001E2393"/>
    <w:rsid w:val="00210627"/>
    <w:rsid w:val="00244AEE"/>
    <w:rsid w:val="00247294"/>
    <w:rsid w:val="002655F2"/>
    <w:rsid w:val="00281931"/>
    <w:rsid w:val="00296293"/>
    <w:rsid w:val="002B5979"/>
    <w:rsid w:val="002C378D"/>
    <w:rsid w:val="002D46CC"/>
    <w:rsid w:val="00305A60"/>
    <w:rsid w:val="00312C21"/>
    <w:rsid w:val="003328E4"/>
    <w:rsid w:val="00355DDD"/>
    <w:rsid w:val="003C1639"/>
    <w:rsid w:val="003D630F"/>
    <w:rsid w:val="00405228"/>
    <w:rsid w:val="00437604"/>
    <w:rsid w:val="00470259"/>
    <w:rsid w:val="004F406C"/>
    <w:rsid w:val="004F48D9"/>
    <w:rsid w:val="005041EC"/>
    <w:rsid w:val="005053C2"/>
    <w:rsid w:val="00516DD8"/>
    <w:rsid w:val="005212CA"/>
    <w:rsid w:val="005342AF"/>
    <w:rsid w:val="00541604"/>
    <w:rsid w:val="005537D1"/>
    <w:rsid w:val="006108A7"/>
    <w:rsid w:val="00637D84"/>
    <w:rsid w:val="0067182A"/>
    <w:rsid w:val="00694D2D"/>
    <w:rsid w:val="006D6439"/>
    <w:rsid w:val="00792F07"/>
    <w:rsid w:val="007A518D"/>
    <w:rsid w:val="007F4644"/>
    <w:rsid w:val="007F7B33"/>
    <w:rsid w:val="00801173"/>
    <w:rsid w:val="0084457D"/>
    <w:rsid w:val="008536E0"/>
    <w:rsid w:val="00861C5D"/>
    <w:rsid w:val="008929D7"/>
    <w:rsid w:val="008A2B05"/>
    <w:rsid w:val="008B1F6A"/>
    <w:rsid w:val="008E0C5F"/>
    <w:rsid w:val="008F3AD9"/>
    <w:rsid w:val="00925C6A"/>
    <w:rsid w:val="00957CB3"/>
    <w:rsid w:val="009618A6"/>
    <w:rsid w:val="009A31CE"/>
    <w:rsid w:val="009B445B"/>
    <w:rsid w:val="009D7C33"/>
    <w:rsid w:val="009F5CBF"/>
    <w:rsid w:val="009F713E"/>
    <w:rsid w:val="00A0155D"/>
    <w:rsid w:val="00A72073"/>
    <w:rsid w:val="00A91307"/>
    <w:rsid w:val="00AB3506"/>
    <w:rsid w:val="00AD12A1"/>
    <w:rsid w:val="00AE141E"/>
    <w:rsid w:val="00AF76CD"/>
    <w:rsid w:val="00B7251F"/>
    <w:rsid w:val="00B82850"/>
    <w:rsid w:val="00BB6867"/>
    <w:rsid w:val="00BC4005"/>
    <w:rsid w:val="00BD34DF"/>
    <w:rsid w:val="00BE7DF9"/>
    <w:rsid w:val="00C03D2D"/>
    <w:rsid w:val="00C10B2E"/>
    <w:rsid w:val="00C218C6"/>
    <w:rsid w:val="00C22841"/>
    <w:rsid w:val="00C646B1"/>
    <w:rsid w:val="00C90CAF"/>
    <w:rsid w:val="00C97586"/>
    <w:rsid w:val="00CA6730"/>
    <w:rsid w:val="00CB71D6"/>
    <w:rsid w:val="00CD7A10"/>
    <w:rsid w:val="00CD7B7C"/>
    <w:rsid w:val="00CE02CB"/>
    <w:rsid w:val="00D05278"/>
    <w:rsid w:val="00D66026"/>
    <w:rsid w:val="00D661C5"/>
    <w:rsid w:val="00D7543E"/>
    <w:rsid w:val="00D75942"/>
    <w:rsid w:val="00D8312F"/>
    <w:rsid w:val="00DB45F4"/>
    <w:rsid w:val="00E76EA8"/>
    <w:rsid w:val="00E835F2"/>
    <w:rsid w:val="00EF3966"/>
    <w:rsid w:val="00F106E6"/>
    <w:rsid w:val="00F212AD"/>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C9336"/>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 w:type="paragraph" w:styleId="BalloonText">
    <w:name w:val="Balloon Text"/>
    <w:basedOn w:val="Normal"/>
    <w:link w:val="BalloonTextChar"/>
    <w:semiHidden/>
    <w:unhideWhenUsed/>
    <w:rsid w:val="002C378D"/>
    <w:rPr>
      <w:rFonts w:ascii="Segoe UI" w:hAnsi="Segoe UI" w:cs="Segoe UI"/>
      <w:sz w:val="18"/>
      <w:szCs w:val="18"/>
    </w:rPr>
  </w:style>
  <w:style w:type="character" w:customStyle="1" w:styleId="BalloonTextChar">
    <w:name w:val="Balloon Text Char"/>
    <w:basedOn w:val="DefaultParagraphFont"/>
    <w:link w:val="BalloonText"/>
    <w:semiHidden/>
    <w:rsid w:val="002C378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6AB7C-2BC3-47D9-837E-1E4C98ED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4768</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31889</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 Aguilar-Hernandez</cp:lastModifiedBy>
  <cp:revision>15</cp:revision>
  <cp:lastPrinted>2011-02-03T13:37:00Z</cp:lastPrinted>
  <dcterms:created xsi:type="dcterms:W3CDTF">2020-05-19T16:40:00Z</dcterms:created>
  <dcterms:modified xsi:type="dcterms:W3CDTF">2021-06-07T11:29:00Z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y fmtid="{D5CDD505-2E9C-101B-9397-08002B2CF9AE}" pid="23" name="Mendeley Document_1">
    <vt:lpwstr>True</vt:lpwstr>
  </property>
  <property fmtid="{D5CDD505-2E9C-101B-9397-08002B2CF9AE}" pid="24" name="Mendeley Unique User Id_1">
    <vt:lpwstr>96dedc6d-a0ee-3cc1-a86c-e72e995f1e6f</vt:lpwstr>
  </property>
</Properties>
</file>