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26"/>
          <w:szCs w:val="26"/>
        </w:rPr>
        <w:t xml:space="preserve">ACTUALIZACIÓN 5-ago-2026 — Coder del arnés: DeepSeek-V4-Flash (no GLM-5.2/DeepInfra)</w:t>
      </w:r>
    </w:p>
    <w:p>
      <w:r>
        <w:t xml:space="preserve">El nodo Coder/Test-runner (Capa 6) pasó a DeepSeek oficial «deepseek-v4-flash» (vía DEEPSEEK_API_KEY), no GLM-5.2 vía DeepInfra. Cambio por coste, validado en el spike SP-1 (5-ago-2026): puerta 3/5 (compila, render reconocible, React idiomático), coste ≈ 0,0036 USD por pantalla.</w:t>
      </w:r>
    </w:p>
    <w:p>
      <w:r>
        <w:t xml:space="preserve">Precio DeepSeek ≈ 0,14 / 0,28 USD por millón de tokens (in/out) frente a 1,20 / 3,00 de GLM/DeepInfra. Por tanto, las estimaciones de coste del pipeline de desarrollo de este documento (Capas 6 y 10) quedan como COTA SUPERIOR conservadora hasta recalcularse con la tarifa real de DeepSeek. VERA en producción sigue en Claude Sonnet 4.6 (QA-A00-06). Trazabilidad: openspec/mvp/findings-register.md (F-001).</w:t>
      </w:r>
    </w:p>
    <w:p w14:paraId="060FDEB3" w14:textId="77777777" w:rsidR="002419FE" w:rsidRDefault="00000000">
      <w:pPr>
        <w:spacing w:before="2600"/>
        <w:jc w:val="center"/>
      </w:pPr>
      <w:r>
        <w:rPr>
          <w:b/>
          <w:bCs/>
          <w:color w:val="1F3A5F"/>
          <w:sz w:val="56"/>
          <w:szCs w:val="56"/>
        </w:rPr>
        <w:t>BEARINGWORLD.IO</w:t>
      </w:r>
    </w:p>
    <w:p w14:paraId="29DF3AE4" w14:textId="77777777" w:rsidR="002419FE" w:rsidRDefault="00000000">
      <w:pPr>
        <w:spacing w:after="120"/>
        <w:jc w:val="center"/>
      </w:pPr>
      <w:r>
        <w:rPr>
          <w:b/>
          <w:bCs/>
          <w:color w:val="2E75B6"/>
          <w:sz w:val="26"/>
          <w:szCs w:val="26"/>
        </w:rPr>
        <w:t>LA PLATAFORMA</w:t>
      </w:r>
    </w:p>
    <w:p w14:paraId="73E309B4" w14:textId="77777777" w:rsidR="002419FE" w:rsidRDefault="00000000">
      <w:pPr>
        <w:spacing w:before="240"/>
        <w:jc w:val="center"/>
      </w:pPr>
      <w:r>
        <w:rPr>
          <w:b/>
          <w:bCs/>
          <w:color w:val="000000"/>
          <w:sz w:val="40"/>
          <w:szCs w:val="40"/>
        </w:rPr>
        <w:t>STACK TECNOLÓGICO</w:t>
      </w:r>
    </w:p>
    <w:p w14:paraId="67F8262A" w14:textId="77777777" w:rsidR="002419FE" w:rsidRDefault="00000000">
      <w:pPr>
        <w:spacing w:after="240"/>
        <w:jc w:val="center"/>
      </w:pPr>
      <w:r>
        <w:rPr>
          <w:color w:val="2E75B6"/>
          <w:sz w:val="26"/>
          <w:szCs w:val="26"/>
        </w:rPr>
        <w:t>Definición completa y justificada — v1.2</w:t>
      </w:r>
    </w:p>
    <w:p w14:paraId="35DD0920" w14:textId="77777777" w:rsidR="002419FE" w:rsidRDefault="00000000">
      <w:pPr>
        <w:spacing w:before="360"/>
        <w:jc w:val="center"/>
      </w:pPr>
      <w:r>
        <w:rPr>
          <w:i/>
          <w:iCs/>
          <w:color w:val="555555"/>
          <w:sz w:val="22"/>
          <w:szCs w:val="22"/>
        </w:rPr>
        <w:t>Razonado desde cero sobre PRD v1.1, ADR-001 y el funcional de Módulos 00–08</w:t>
      </w:r>
    </w:p>
    <w:p w14:paraId="7BB3F1BB" w14:textId="77777777" w:rsidR="002419FE" w:rsidRDefault="00000000">
      <w:pPr>
        <w:spacing w:before="1400"/>
        <w:jc w:val="center"/>
      </w:pPr>
      <w:r>
        <w:rPr>
          <w:color w:val="555555"/>
          <w:sz w:val="22"/>
          <w:szCs w:val="22"/>
        </w:rPr>
        <w:t xml:space="preserve">Versión 1.2 · </w:t>
      </w:r>
      <w:proofErr w:type="gramStart"/>
      <w:r>
        <w:rPr>
          <w:color w:val="555555"/>
          <w:sz w:val="22"/>
          <w:szCs w:val="22"/>
        </w:rPr>
        <w:t>Junio</w:t>
      </w:r>
      <w:proofErr w:type="gramEnd"/>
      <w:r>
        <w:rPr>
          <w:color w:val="555555"/>
          <w:sz w:val="22"/>
          <w:szCs w:val="22"/>
        </w:rPr>
        <w:t xml:space="preserve"> 2026 · CONFIDENCIAL</w:t>
      </w:r>
    </w:p>
    <w:p w14:paraId="414D7C5C" w14:textId="77777777" w:rsidR="002419FE" w:rsidRDefault="00000000">
      <w:pPr>
        <w:jc w:val="center"/>
      </w:pPr>
      <w:r>
        <w:rPr>
          <w:color w:val="555555"/>
          <w:sz w:val="22"/>
          <w:szCs w:val="22"/>
        </w:rPr>
        <w:t>Rol: Arquitecto de Stack Tecnológico</w:t>
      </w:r>
    </w:p>
    <w:p w14:paraId="54A89EC7" w14:textId="77777777" w:rsidR="002419FE" w:rsidRDefault="00000000">
      <w:r>
        <w:br w:type="page"/>
      </w:r>
    </w:p>
    <w:p w14:paraId="63E00B76" w14:textId="77777777" w:rsidR="002419FE" w:rsidRDefault="00000000">
      <w:pPr>
        <w:pStyle w:val="Ttulo1"/>
      </w:pPr>
      <w:bookmarkStart w:id="0" w:name="_Toc233792520"/>
      <w:r>
        <w:lastRenderedPageBreak/>
        <w:t>Índice</w:t>
      </w:r>
      <w:bookmarkEnd w:id="0"/>
    </w:p>
    <w:sdt>
      <w:sdtPr>
        <w:alias w:val="Tabla de contenidos"/>
        <w:id w:val="-1391498720"/>
      </w:sdtPr>
      <w:sdtContent>
        <w:p w14:paraId="25249F89" w14:textId="77777777" w:rsidR="008736EE" w:rsidRDefault="00000000">
          <w:pPr>
            <w:pStyle w:val="TDC1"/>
            <w:tabs>
              <w:tab w:val="right" w:leader="dot" w:pos="9350"/>
            </w:tabs>
            <w:rPr>
              <w:noProof/>
            </w:rPr>
          </w:pPr>
          <w:r>
            <w:fldChar w:fldCharType="begin"/>
          </w:r>
          <w:r>
            <w:instrText>TOC \h \o "1-2"</w:instrText>
          </w:r>
          <w:r>
            <w:fldChar w:fldCharType="separate"/>
          </w:r>
          <w:hyperlink w:anchor="_Toc233792520" w:history="1">
            <w:r w:rsidR="008736EE" w:rsidRPr="00065771">
              <w:rPr>
                <w:rStyle w:val="Hipervnculo"/>
                <w:noProof/>
              </w:rPr>
              <w:t>Índice</w:t>
            </w:r>
            <w:r w:rsidR="008736EE">
              <w:rPr>
                <w:noProof/>
              </w:rPr>
              <w:tab/>
            </w:r>
            <w:r w:rsidR="008736EE">
              <w:rPr>
                <w:noProof/>
              </w:rPr>
              <w:fldChar w:fldCharType="begin"/>
            </w:r>
            <w:r w:rsidR="008736EE">
              <w:rPr>
                <w:noProof/>
              </w:rPr>
              <w:instrText xml:space="preserve"> PAGEREF _Toc233792520 \h </w:instrText>
            </w:r>
            <w:r w:rsidR="008736EE">
              <w:rPr>
                <w:noProof/>
              </w:rPr>
            </w:r>
            <w:r w:rsidR="008736EE">
              <w:rPr>
                <w:noProof/>
              </w:rPr>
              <w:fldChar w:fldCharType="separate"/>
            </w:r>
            <w:r w:rsidR="008736EE">
              <w:rPr>
                <w:noProof/>
              </w:rPr>
              <w:t>1</w:t>
            </w:r>
            <w:r w:rsidR="008736EE">
              <w:rPr>
                <w:noProof/>
              </w:rPr>
              <w:fldChar w:fldCharType="end"/>
            </w:r>
          </w:hyperlink>
        </w:p>
        <w:p w14:paraId="0909134E" w14:textId="77777777" w:rsidR="008736EE" w:rsidRDefault="008736EE">
          <w:pPr>
            <w:pStyle w:val="TDC1"/>
            <w:tabs>
              <w:tab w:val="right" w:leader="dot" w:pos="9350"/>
            </w:tabs>
            <w:rPr>
              <w:noProof/>
            </w:rPr>
          </w:pPr>
          <w:hyperlink w:anchor="_Toc233792521" w:history="1">
            <w:r w:rsidRPr="00065771">
              <w:rPr>
                <w:rStyle w:val="Hipervnculo"/>
                <w:noProof/>
              </w:rPr>
              <w:t>0. Marco y restricciones no negociables</w:t>
            </w:r>
            <w:r>
              <w:rPr>
                <w:noProof/>
              </w:rPr>
              <w:tab/>
            </w:r>
            <w:r>
              <w:rPr>
                <w:noProof/>
              </w:rPr>
              <w:fldChar w:fldCharType="begin"/>
            </w:r>
            <w:r>
              <w:rPr>
                <w:noProof/>
              </w:rPr>
              <w:instrText xml:space="preserve"> PAGEREF _Toc233792521 \h </w:instrText>
            </w:r>
            <w:r>
              <w:rPr>
                <w:noProof/>
              </w:rPr>
            </w:r>
            <w:r>
              <w:rPr>
                <w:noProof/>
              </w:rPr>
              <w:fldChar w:fldCharType="separate"/>
            </w:r>
            <w:r>
              <w:rPr>
                <w:noProof/>
              </w:rPr>
              <w:t>1</w:t>
            </w:r>
            <w:r>
              <w:rPr>
                <w:noProof/>
              </w:rPr>
              <w:fldChar w:fldCharType="end"/>
            </w:r>
          </w:hyperlink>
        </w:p>
        <w:p w14:paraId="3C364438" w14:textId="77777777" w:rsidR="008736EE" w:rsidRDefault="008736EE">
          <w:pPr>
            <w:pStyle w:val="TDC1"/>
            <w:tabs>
              <w:tab w:val="right" w:leader="dot" w:pos="9350"/>
            </w:tabs>
            <w:rPr>
              <w:noProof/>
            </w:rPr>
          </w:pPr>
          <w:hyperlink w:anchor="_Toc233792522" w:history="1">
            <w:r w:rsidRPr="00065771">
              <w:rPr>
                <w:rStyle w:val="Hipervnculo"/>
                <w:noProof/>
              </w:rPr>
              <w:t>Capa 1 — Frontend</w:t>
            </w:r>
            <w:r>
              <w:rPr>
                <w:noProof/>
              </w:rPr>
              <w:tab/>
            </w:r>
            <w:r>
              <w:rPr>
                <w:noProof/>
              </w:rPr>
              <w:fldChar w:fldCharType="begin"/>
            </w:r>
            <w:r>
              <w:rPr>
                <w:noProof/>
              </w:rPr>
              <w:instrText xml:space="preserve"> PAGEREF _Toc233792522 \h </w:instrText>
            </w:r>
            <w:r>
              <w:rPr>
                <w:noProof/>
              </w:rPr>
            </w:r>
            <w:r>
              <w:rPr>
                <w:noProof/>
              </w:rPr>
              <w:fldChar w:fldCharType="separate"/>
            </w:r>
            <w:r>
              <w:rPr>
                <w:noProof/>
              </w:rPr>
              <w:t>1</w:t>
            </w:r>
            <w:r>
              <w:rPr>
                <w:noProof/>
              </w:rPr>
              <w:fldChar w:fldCharType="end"/>
            </w:r>
          </w:hyperlink>
        </w:p>
        <w:p w14:paraId="08E3EA9E" w14:textId="77777777" w:rsidR="008736EE" w:rsidRDefault="008736EE">
          <w:pPr>
            <w:pStyle w:val="TDC1"/>
            <w:tabs>
              <w:tab w:val="right" w:leader="dot" w:pos="9350"/>
            </w:tabs>
            <w:rPr>
              <w:noProof/>
            </w:rPr>
          </w:pPr>
          <w:hyperlink w:anchor="_Toc233792523" w:history="1">
            <w:r w:rsidRPr="00065771">
              <w:rPr>
                <w:rStyle w:val="Hipervnculo"/>
                <w:noProof/>
              </w:rPr>
              <w:t>Capa 2 — Backend / API</w:t>
            </w:r>
            <w:r>
              <w:rPr>
                <w:noProof/>
              </w:rPr>
              <w:tab/>
            </w:r>
            <w:r>
              <w:rPr>
                <w:noProof/>
              </w:rPr>
              <w:fldChar w:fldCharType="begin"/>
            </w:r>
            <w:r>
              <w:rPr>
                <w:noProof/>
              </w:rPr>
              <w:instrText xml:space="preserve"> PAGEREF _Toc233792523 \h </w:instrText>
            </w:r>
            <w:r>
              <w:rPr>
                <w:noProof/>
              </w:rPr>
            </w:r>
            <w:r>
              <w:rPr>
                <w:noProof/>
              </w:rPr>
              <w:fldChar w:fldCharType="separate"/>
            </w:r>
            <w:r>
              <w:rPr>
                <w:noProof/>
              </w:rPr>
              <w:t>1</w:t>
            </w:r>
            <w:r>
              <w:rPr>
                <w:noProof/>
              </w:rPr>
              <w:fldChar w:fldCharType="end"/>
            </w:r>
          </w:hyperlink>
        </w:p>
        <w:p w14:paraId="2AAC73CF" w14:textId="77777777" w:rsidR="008736EE" w:rsidRDefault="008736EE">
          <w:pPr>
            <w:pStyle w:val="TDC1"/>
            <w:tabs>
              <w:tab w:val="right" w:leader="dot" w:pos="9350"/>
            </w:tabs>
            <w:rPr>
              <w:noProof/>
            </w:rPr>
          </w:pPr>
          <w:hyperlink w:anchor="_Toc233792524" w:history="1">
            <w:r w:rsidRPr="00065771">
              <w:rPr>
                <w:rStyle w:val="Hipervnculo"/>
                <w:noProof/>
              </w:rPr>
              <w:t>Capa 3 — Base de datos y almacenamiento</w:t>
            </w:r>
            <w:r>
              <w:rPr>
                <w:noProof/>
              </w:rPr>
              <w:tab/>
            </w:r>
            <w:r>
              <w:rPr>
                <w:noProof/>
              </w:rPr>
              <w:fldChar w:fldCharType="begin"/>
            </w:r>
            <w:r>
              <w:rPr>
                <w:noProof/>
              </w:rPr>
              <w:instrText xml:space="preserve"> PAGEREF _Toc233792524 \h </w:instrText>
            </w:r>
            <w:r>
              <w:rPr>
                <w:noProof/>
              </w:rPr>
            </w:r>
            <w:r>
              <w:rPr>
                <w:noProof/>
              </w:rPr>
              <w:fldChar w:fldCharType="separate"/>
            </w:r>
            <w:r>
              <w:rPr>
                <w:noProof/>
              </w:rPr>
              <w:t>1</w:t>
            </w:r>
            <w:r>
              <w:rPr>
                <w:noProof/>
              </w:rPr>
              <w:fldChar w:fldCharType="end"/>
            </w:r>
          </w:hyperlink>
        </w:p>
        <w:p w14:paraId="34E39FD2" w14:textId="77777777" w:rsidR="008736EE" w:rsidRDefault="008736EE">
          <w:pPr>
            <w:pStyle w:val="TDC1"/>
            <w:tabs>
              <w:tab w:val="right" w:leader="dot" w:pos="9350"/>
            </w:tabs>
            <w:rPr>
              <w:noProof/>
            </w:rPr>
          </w:pPr>
          <w:hyperlink w:anchor="_Toc233792525" w:history="1">
            <w:r w:rsidRPr="00065771">
              <w:rPr>
                <w:rStyle w:val="Hipervnculo"/>
                <w:noProof/>
              </w:rPr>
              <w:t>Capa 4 — Mensajería y eventos entre servicios</w:t>
            </w:r>
            <w:r>
              <w:rPr>
                <w:noProof/>
              </w:rPr>
              <w:tab/>
            </w:r>
            <w:r>
              <w:rPr>
                <w:noProof/>
              </w:rPr>
              <w:fldChar w:fldCharType="begin"/>
            </w:r>
            <w:r>
              <w:rPr>
                <w:noProof/>
              </w:rPr>
              <w:instrText xml:space="preserve"> PAGEREF _Toc233792525 \h </w:instrText>
            </w:r>
            <w:r>
              <w:rPr>
                <w:noProof/>
              </w:rPr>
            </w:r>
            <w:r>
              <w:rPr>
                <w:noProof/>
              </w:rPr>
              <w:fldChar w:fldCharType="separate"/>
            </w:r>
            <w:r>
              <w:rPr>
                <w:noProof/>
              </w:rPr>
              <w:t>1</w:t>
            </w:r>
            <w:r>
              <w:rPr>
                <w:noProof/>
              </w:rPr>
              <w:fldChar w:fldCharType="end"/>
            </w:r>
          </w:hyperlink>
        </w:p>
        <w:p w14:paraId="1B770A0B" w14:textId="77777777" w:rsidR="008736EE" w:rsidRDefault="008736EE">
          <w:pPr>
            <w:pStyle w:val="TDC1"/>
            <w:tabs>
              <w:tab w:val="right" w:leader="dot" w:pos="9350"/>
            </w:tabs>
            <w:rPr>
              <w:noProof/>
            </w:rPr>
          </w:pPr>
          <w:hyperlink w:anchor="_Toc233792526" w:history="1">
            <w:r w:rsidRPr="00065771">
              <w:rPr>
                <w:rStyle w:val="Hipervnculo"/>
                <w:noProof/>
              </w:rPr>
              <w:t>Capa 5 — Agente conversacional VERA</w:t>
            </w:r>
            <w:r>
              <w:rPr>
                <w:noProof/>
              </w:rPr>
              <w:tab/>
            </w:r>
            <w:r>
              <w:rPr>
                <w:noProof/>
              </w:rPr>
              <w:fldChar w:fldCharType="begin"/>
            </w:r>
            <w:r>
              <w:rPr>
                <w:noProof/>
              </w:rPr>
              <w:instrText xml:space="preserve"> PAGEREF _Toc233792526 \h </w:instrText>
            </w:r>
            <w:r>
              <w:rPr>
                <w:noProof/>
              </w:rPr>
            </w:r>
            <w:r>
              <w:rPr>
                <w:noProof/>
              </w:rPr>
              <w:fldChar w:fldCharType="separate"/>
            </w:r>
            <w:r>
              <w:rPr>
                <w:noProof/>
              </w:rPr>
              <w:t>1</w:t>
            </w:r>
            <w:r>
              <w:rPr>
                <w:noProof/>
              </w:rPr>
              <w:fldChar w:fldCharType="end"/>
            </w:r>
          </w:hyperlink>
        </w:p>
        <w:p w14:paraId="40C8F7CD" w14:textId="77777777" w:rsidR="008736EE" w:rsidRDefault="008736EE">
          <w:pPr>
            <w:pStyle w:val="TDC1"/>
            <w:tabs>
              <w:tab w:val="right" w:leader="dot" w:pos="9350"/>
            </w:tabs>
            <w:rPr>
              <w:noProof/>
            </w:rPr>
          </w:pPr>
          <w:hyperlink w:anchor="_Toc233792527" w:history="1">
            <w:r w:rsidRPr="00065771">
              <w:rPr>
                <w:rStyle w:val="Hipervnculo"/>
                <w:noProof/>
              </w:rPr>
              <w:t>Capa 6 — Orquestación de agentes de desarrollo</w:t>
            </w:r>
            <w:r>
              <w:rPr>
                <w:noProof/>
              </w:rPr>
              <w:tab/>
            </w:r>
            <w:r>
              <w:rPr>
                <w:noProof/>
              </w:rPr>
              <w:fldChar w:fldCharType="begin"/>
            </w:r>
            <w:r>
              <w:rPr>
                <w:noProof/>
              </w:rPr>
              <w:instrText xml:space="preserve"> PAGEREF _Toc233792527 \h </w:instrText>
            </w:r>
            <w:r>
              <w:rPr>
                <w:noProof/>
              </w:rPr>
            </w:r>
            <w:r>
              <w:rPr>
                <w:noProof/>
              </w:rPr>
              <w:fldChar w:fldCharType="separate"/>
            </w:r>
            <w:r>
              <w:rPr>
                <w:noProof/>
              </w:rPr>
              <w:t>1</w:t>
            </w:r>
            <w:r>
              <w:rPr>
                <w:noProof/>
              </w:rPr>
              <w:fldChar w:fldCharType="end"/>
            </w:r>
          </w:hyperlink>
        </w:p>
        <w:p w14:paraId="78D748F6" w14:textId="77777777" w:rsidR="008736EE" w:rsidRDefault="008736EE">
          <w:pPr>
            <w:pStyle w:val="TDC1"/>
            <w:tabs>
              <w:tab w:val="right" w:leader="dot" w:pos="9350"/>
            </w:tabs>
            <w:rPr>
              <w:noProof/>
            </w:rPr>
          </w:pPr>
          <w:hyperlink w:anchor="_Toc233792528" w:history="1">
            <w:r w:rsidRPr="00065771">
              <w:rPr>
                <w:rStyle w:val="Hipervnculo"/>
                <w:noProof/>
              </w:rPr>
              <w:t>Capa 7 — Infraestructura y despliegue</w:t>
            </w:r>
            <w:r>
              <w:rPr>
                <w:noProof/>
              </w:rPr>
              <w:tab/>
            </w:r>
            <w:r>
              <w:rPr>
                <w:noProof/>
              </w:rPr>
              <w:fldChar w:fldCharType="begin"/>
            </w:r>
            <w:r>
              <w:rPr>
                <w:noProof/>
              </w:rPr>
              <w:instrText xml:space="preserve"> PAGEREF _Toc233792528 \h </w:instrText>
            </w:r>
            <w:r>
              <w:rPr>
                <w:noProof/>
              </w:rPr>
            </w:r>
            <w:r>
              <w:rPr>
                <w:noProof/>
              </w:rPr>
              <w:fldChar w:fldCharType="separate"/>
            </w:r>
            <w:r>
              <w:rPr>
                <w:noProof/>
              </w:rPr>
              <w:t>1</w:t>
            </w:r>
            <w:r>
              <w:rPr>
                <w:noProof/>
              </w:rPr>
              <w:fldChar w:fldCharType="end"/>
            </w:r>
          </w:hyperlink>
        </w:p>
        <w:p w14:paraId="76170F3B" w14:textId="77777777" w:rsidR="008736EE" w:rsidRDefault="008736EE">
          <w:pPr>
            <w:pStyle w:val="TDC1"/>
            <w:tabs>
              <w:tab w:val="right" w:leader="dot" w:pos="9350"/>
            </w:tabs>
            <w:rPr>
              <w:noProof/>
            </w:rPr>
          </w:pPr>
          <w:hyperlink w:anchor="_Toc233792529" w:history="1">
            <w:r w:rsidRPr="00065771">
              <w:rPr>
                <w:rStyle w:val="Hipervnculo"/>
                <w:noProof/>
              </w:rPr>
              <w:t>Capa 8 — Seguridad</w:t>
            </w:r>
            <w:r>
              <w:rPr>
                <w:noProof/>
              </w:rPr>
              <w:tab/>
            </w:r>
            <w:r>
              <w:rPr>
                <w:noProof/>
              </w:rPr>
              <w:fldChar w:fldCharType="begin"/>
            </w:r>
            <w:r>
              <w:rPr>
                <w:noProof/>
              </w:rPr>
              <w:instrText xml:space="preserve"> PAGEREF _Toc233792529 \h </w:instrText>
            </w:r>
            <w:r>
              <w:rPr>
                <w:noProof/>
              </w:rPr>
            </w:r>
            <w:r>
              <w:rPr>
                <w:noProof/>
              </w:rPr>
              <w:fldChar w:fldCharType="separate"/>
            </w:r>
            <w:r>
              <w:rPr>
                <w:noProof/>
              </w:rPr>
              <w:t>1</w:t>
            </w:r>
            <w:r>
              <w:rPr>
                <w:noProof/>
              </w:rPr>
              <w:fldChar w:fldCharType="end"/>
            </w:r>
          </w:hyperlink>
        </w:p>
        <w:p w14:paraId="6DB05307" w14:textId="77777777" w:rsidR="008736EE" w:rsidRDefault="008736EE">
          <w:pPr>
            <w:pStyle w:val="TDC1"/>
            <w:tabs>
              <w:tab w:val="right" w:leader="dot" w:pos="9350"/>
            </w:tabs>
            <w:rPr>
              <w:noProof/>
            </w:rPr>
          </w:pPr>
          <w:hyperlink w:anchor="_Toc233792530" w:history="1">
            <w:r w:rsidRPr="00065771">
              <w:rPr>
                <w:rStyle w:val="Hipervnculo"/>
                <w:noProof/>
              </w:rPr>
              <w:t>Capa 9 — Testing y verificación</w:t>
            </w:r>
            <w:r>
              <w:rPr>
                <w:noProof/>
              </w:rPr>
              <w:tab/>
            </w:r>
            <w:r>
              <w:rPr>
                <w:noProof/>
              </w:rPr>
              <w:fldChar w:fldCharType="begin"/>
            </w:r>
            <w:r>
              <w:rPr>
                <w:noProof/>
              </w:rPr>
              <w:instrText xml:space="preserve"> PAGEREF _Toc233792530 \h </w:instrText>
            </w:r>
            <w:r>
              <w:rPr>
                <w:noProof/>
              </w:rPr>
            </w:r>
            <w:r>
              <w:rPr>
                <w:noProof/>
              </w:rPr>
              <w:fldChar w:fldCharType="separate"/>
            </w:r>
            <w:r>
              <w:rPr>
                <w:noProof/>
              </w:rPr>
              <w:t>1</w:t>
            </w:r>
            <w:r>
              <w:rPr>
                <w:noProof/>
              </w:rPr>
              <w:fldChar w:fldCharType="end"/>
            </w:r>
          </w:hyperlink>
        </w:p>
        <w:p w14:paraId="206E127B" w14:textId="77777777" w:rsidR="008736EE" w:rsidRDefault="008736EE">
          <w:pPr>
            <w:pStyle w:val="TDC1"/>
            <w:tabs>
              <w:tab w:val="right" w:leader="dot" w:pos="9350"/>
            </w:tabs>
            <w:rPr>
              <w:noProof/>
            </w:rPr>
          </w:pPr>
          <w:hyperlink w:anchor="_Toc233792531" w:history="1">
            <w:r w:rsidRPr="00065771">
              <w:rPr>
                <w:rStyle w:val="Hipervnculo"/>
                <w:noProof/>
              </w:rPr>
              <w:t>Capa 10 — Observabilidad</w:t>
            </w:r>
            <w:r>
              <w:rPr>
                <w:noProof/>
              </w:rPr>
              <w:tab/>
            </w:r>
            <w:r>
              <w:rPr>
                <w:noProof/>
              </w:rPr>
              <w:fldChar w:fldCharType="begin"/>
            </w:r>
            <w:r>
              <w:rPr>
                <w:noProof/>
              </w:rPr>
              <w:instrText xml:space="preserve"> PAGEREF _Toc233792531 \h </w:instrText>
            </w:r>
            <w:r>
              <w:rPr>
                <w:noProof/>
              </w:rPr>
            </w:r>
            <w:r>
              <w:rPr>
                <w:noProof/>
              </w:rPr>
              <w:fldChar w:fldCharType="separate"/>
            </w:r>
            <w:r>
              <w:rPr>
                <w:noProof/>
              </w:rPr>
              <w:t>1</w:t>
            </w:r>
            <w:r>
              <w:rPr>
                <w:noProof/>
              </w:rPr>
              <w:fldChar w:fldCharType="end"/>
            </w:r>
          </w:hyperlink>
        </w:p>
        <w:p w14:paraId="39C7B18E" w14:textId="77777777" w:rsidR="008736EE" w:rsidRDefault="008736EE">
          <w:pPr>
            <w:pStyle w:val="TDC1"/>
            <w:tabs>
              <w:tab w:val="right" w:leader="dot" w:pos="9350"/>
            </w:tabs>
            <w:rPr>
              <w:noProof/>
            </w:rPr>
          </w:pPr>
          <w:hyperlink w:anchor="_Toc233792532" w:history="1">
            <w:r w:rsidRPr="00065771">
              <w:rPr>
                <w:rStyle w:val="Hipervnculo"/>
                <w:noProof/>
              </w:rPr>
              <w:t>Capa 11 — Datos sintéticos y staging</w:t>
            </w:r>
            <w:r>
              <w:rPr>
                <w:noProof/>
              </w:rPr>
              <w:tab/>
            </w:r>
            <w:r>
              <w:rPr>
                <w:noProof/>
              </w:rPr>
              <w:fldChar w:fldCharType="begin"/>
            </w:r>
            <w:r>
              <w:rPr>
                <w:noProof/>
              </w:rPr>
              <w:instrText xml:space="preserve"> PAGEREF _Toc233792532 \h </w:instrText>
            </w:r>
            <w:r>
              <w:rPr>
                <w:noProof/>
              </w:rPr>
            </w:r>
            <w:r>
              <w:rPr>
                <w:noProof/>
              </w:rPr>
              <w:fldChar w:fldCharType="separate"/>
            </w:r>
            <w:r>
              <w:rPr>
                <w:noProof/>
              </w:rPr>
              <w:t>1</w:t>
            </w:r>
            <w:r>
              <w:rPr>
                <w:noProof/>
              </w:rPr>
              <w:fldChar w:fldCharType="end"/>
            </w:r>
          </w:hyperlink>
        </w:p>
        <w:p w14:paraId="3CF36941" w14:textId="77777777" w:rsidR="008736EE" w:rsidRDefault="008736EE">
          <w:pPr>
            <w:pStyle w:val="TDC1"/>
            <w:tabs>
              <w:tab w:val="right" w:leader="dot" w:pos="9350"/>
            </w:tabs>
            <w:rPr>
              <w:noProof/>
            </w:rPr>
          </w:pPr>
          <w:hyperlink w:anchor="_Toc233792533" w:history="1">
            <w:r w:rsidRPr="00065771">
              <w:rPr>
                <w:rStyle w:val="Hipervnculo"/>
                <w:noProof/>
              </w:rPr>
              <w:t>Capa 12 — Costes de IA (recálculo con precios reales)</w:t>
            </w:r>
            <w:r>
              <w:rPr>
                <w:noProof/>
              </w:rPr>
              <w:tab/>
            </w:r>
            <w:r>
              <w:rPr>
                <w:noProof/>
              </w:rPr>
              <w:fldChar w:fldCharType="begin"/>
            </w:r>
            <w:r>
              <w:rPr>
                <w:noProof/>
              </w:rPr>
              <w:instrText xml:space="preserve"> PAGEREF _Toc233792533 \h </w:instrText>
            </w:r>
            <w:r>
              <w:rPr>
                <w:noProof/>
              </w:rPr>
            </w:r>
            <w:r>
              <w:rPr>
                <w:noProof/>
              </w:rPr>
              <w:fldChar w:fldCharType="separate"/>
            </w:r>
            <w:r>
              <w:rPr>
                <w:noProof/>
              </w:rPr>
              <w:t>1</w:t>
            </w:r>
            <w:r>
              <w:rPr>
                <w:noProof/>
              </w:rPr>
              <w:fldChar w:fldCharType="end"/>
            </w:r>
          </w:hyperlink>
        </w:p>
        <w:p w14:paraId="6119C631" w14:textId="77777777" w:rsidR="008736EE" w:rsidRDefault="008736EE">
          <w:pPr>
            <w:pStyle w:val="TDC1"/>
            <w:tabs>
              <w:tab w:val="right" w:leader="dot" w:pos="9350"/>
            </w:tabs>
            <w:rPr>
              <w:noProof/>
            </w:rPr>
          </w:pPr>
          <w:hyperlink w:anchor="_Toc233792534" w:history="1">
            <w:r w:rsidRPr="00065771">
              <w:rPr>
                <w:rStyle w:val="Hipervnculo"/>
                <w:noProof/>
              </w:rPr>
              <w:t>Síntesis</w:t>
            </w:r>
            <w:r>
              <w:rPr>
                <w:noProof/>
              </w:rPr>
              <w:tab/>
            </w:r>
            <w:r>
              <w:rPr>
                <w:noProof/>
              </w:rPr>
              <w:fldChar w:fldCharType="begin"/>
            </w:r>
            <w:r>
              <w:rPr>
                <w:noProof/>
              </w:rPr>
              <w:instrText xml:space="preserve"> PAGEREF _Toc233792534 \h </w:instrText>
            </w:r>
            <w:r>
              <w:rPr>
                <w:noProof/>
              </w:rPr>
            </w:r>
            <w:r>
              <w:rPr>
                <w:noProof/>
              </w:rPr>
              <w:fldChar w:fldCharType="separate"/>
            </w:r>
            <w:r>
              <w:rPr>
                <w:noProof/>
              </w:rPr>
              <w:t>1</w:t>
            </w:r>
            <w:r>
              <w:rPr>
                <w:noProof/>
              </w:rPr>
              <w:fldChar w:fldCharType="end"/>
            </w:r>
          </w:hyperlink>
        </w:p>
        <w:p w14:paraId="34D52F00" w14:textId="77777777" w:rsidR="008736EE" w:rsidRDefault="008736EE">
          <w:pPr>
            <w:pStyle w:val="TDC2"/>
            <w:tabs>
              <w:tab w:val="right" w:leader="dot" w:pos="9350"/>
            </w:tabs>
            <w:rPr>
              <w:noProof/>
            </w:rPr>
          </w:pPr>
          <w:hyperlink w:anchor="_Toc233792535" w:history="1">
            <w:r w:rsidRPr="00065771">
              <w:rPr>
                <w:rStyle w:val="Hipervnculo"/>
                <w:noProof/>
              </w:rPr>
              <w:t>Las tres decisiones más críticas del stack</w:t>
            </w:r>
            <w:r>
              <w:rPr>
                <w:noProof/>
              </w:rPr>
              <w:tab/>
            </w:r>
            <w:r>
              <w:rPr>
                <w:noProof/>
              </w:rPr>
              <w:fldChar w:fldCharType="begin"/>
            </w:r>
            <w:r>
              <w:rPr>
                <w:noProof/>
              </w:rPr>
              <w:instrText xml:space="preserve"> PAGEREF _Toc233792535 \h </w:instrText>
            </w:r>
            <w:r>
              <w:rPr>
                <w:noProof/>
              </w:rPr>
            </w:r>
            <w:r>
              <w:rPr>
                <w:noProof/>
              </w:rPr>
              <w:fldChar w:fldCharType="separate"/>
            </w:r>
            <w:r>
              <w:rPr>
                <w:noProof/>
              </w:rPr>
              <w:t>1</w:t>
            </w:r>
            <w:r>
              <w:rPr>
                <w:noProof/>
              </w:rPr>
              <w:fldChar w:fldCharType="end"/>
            </w:r>
          </w:hyperlink>
        </w:p>
        <w:p w14:paraId="7178EDBC" w14:textId="77777777" w:rsidR="008736EE" w:rsidRDefault="008736EE">
          <w:pPr>
            <w:pStyle w:val="TDC2"/>
            <w:tabs>
              <w:tab w:val="right" w:leader="dot" w:pos="9350"/>
            </w:tabs>
            <w:rPr>
              <w:noProof/>
            </w:rPr>
          </w:pPr>
          <w:hyperlink w:anchor="_Toc233792536" w:history="1">
            <w:r w:rsidRPr="00065771">
              <w:rPr>
                <w:rStyle w:val="Hipervnculo"/>
                <w:noProof/>
              </w:rPr>
              <w:t>Los tres riesgos técnicos que el stack no resuelve por completo</w:t>
            </w:r>
            <w:r>
              <w:rPr>
                <w:noProof/>
              </w:rPr>
              <w:tab/>
            </w:r>
            <w:r>
              <w:rPr>
                <w:noProof/>
              </w:rPr>
              <w:fldChar w:fldCharType="begin"/>
            </w:r>
            <w:r>
              <w:rPr>
                <w:noProof/>
              </w:rPr>
              <w:instrText xml:space="preserve"> PAGEREF _Toc233792536 \h </w:instrText>
            </w:r>
            <w:r>
              <w:rPr>
                <w:noProof/>
              </w:rPr>
            </w:r>
            <w:r>
              <w:rPr>
                <w:noProof/>
              </w:rPr>
              <w:fldChar w:fldCharType="separate"/>
            </w:r>
            <w:r>
              <w:rPr>
                <w:noProof/>
              </w:rPr>
              <w:t>1</w:t>
            </w:r>
            <w:r>
              <w:rPr>
                <w:noProof/>
              </w:rPr>
              <w:fldChar w:fldCharType="end"/>
            </w:r>
          </w:hyperlink>
        </w:p>
        <w:p w14:paraId="4745443A" w14:textId="77777777" w:rsidR="008736EE" w:rsidRDefault="008736EE">
          <w:pPr>
            <w:pStyle w:val="TDC2"/>
            <w:tabs>
              <w:tab w:val="right" w:leader="dot" w:pos="9350"/>
            </w:tabs>
            <w:rPr>
              <w:noProof/>
            </w:rPr>
          </w:pPr>
          <w:hyperlink w:anchor="_Toc233792537" w:history="1">
            <w:r w:rsidRPr="00065771">
              <w:rPr>
                <w:rStyle w:val="Hipervnculo"/>
                <w:noProof/>
              </w:rPr>
              <w:t>Cumplimiento de invariantes y postura legal</w:t>
            </w:r>
            <w:r>
              <w:rPr>
                <w:noProof/>
              </w:rPr>
              <w:tab/>
            </w:r>
            <w:r>
              <w:rPr>
                <w:noProof/>
              </w:rPr>
              <w:fldChar w:fldCharType="begin"/>
            </w:r>
            <w:r>
              <w:rPr>
                <w:noProof/>
              </w:rPr>
              <w:instrText xml:space="preserve"> PAGEREF _Toc233792537 \h </w:instrText>
            </w:r>
            <w:r>
              <w:rPr>
                <w:noProof/>
              </w:rPr>
            </w:r>
            <w:r>
              <w:rPr>
                <w:noProof/>
              </w:rPr>
              <w:fldChar w:fldCharType="separate"/>
            </w:r>
            <w:r>
              <w:rPr>
                <w:noProof/>
              </w:rPr>
              <w:t>1</w:t>
            </w:r>
            <w:r>
              <w:rPr>
                <w:noProof/>
              </w:rPr>
              <w:fldChar w:fldCharType="end"/>
            </w:r>
          </w:hyperlink>
        </w:p>
        <w:p w14:paraId="47573385" w14:textId="77777777" w:rsidR="008736EE" w:rsidRDefault="008736EE">
          <w:pPr>
            <w:pStyle w:val="TDC2"/>
            <w:tabs>
              <w:tab w:val="right" w:leader="dot" w:pos="9350"/>
            </w:tabs>
            <w:rPr>
              <w:noProof/>
            </w:rPr>
          </w:pPr>
          <w:hyperlink w:anchor="_Toc233792538" w:history="1">
            <w:r w:rsidRPr="00065771">
              <w:rPr>
                <w:rStyle w:val="Hipervnculo"/>
                <w:noProof/>
              </w:rPr>
              <w:t>Comparación final con el Tech Stack v1.1</w:t>
            </w:r>
            <w:r>
              <w:rPr>
                <w:noProof/>
              </w:rPr>
              <w:tab/>
            </w:r>
            <w:r>
              <w:rPr>
                <w:noProof/>
              </w:rPr>
              <w:fldChar w:fldCharType="begin"/>
            </w:r>
            <w:r>
              <w:rPr>
                <w:noProof/>
              </w:rPr>
              <w:instrText xml:space="preserve"> PAGEREF _Toc233792538 \h </w:instrText>
            </w:r>
            <w:r>
              <w:rPr>
                <w:noProof/>
              </w:rPr>
            </w:r>
            <w:r>
              <w:rPr>
                <w:noProof/>
              </w:rPr>
              <w:fldChar w:fldCharType="separate"/>
            </w:r>
            <w:r>
              <w:rPr>
                <w:noProof/>
              </w:rPr>
              <w:t>1</w:t>
            </w:r>
            <w:r>
              <w:rPr>
                <w:noProof/>
              </w:rPr>
              <w:fldChar w:fldCharType="end"/>
            </w:r>
          </w:hyperlink>
        </w:p>
        <w:p w14:paraId="776055F9" w14:textId="77777777" w:rsidR="002419FE" w:rsidRDefault="00000000">
          <w:r>
            <w:fldChar w:fldCharType="end"/>
          </w:r>
        </w:p>
      </w:sdtContent>
    </w:sdt>
    <w:p w14:paraId="45CF176F" w14:textId="77777777" w:rsidR="002419FE" w:rsidRDefault="00000000">
      <w:r>
        <w:br w:type="page"/>
      </w:r>
    </w:p>
    <w:p w14:paraId="34C2DF68" w14:textId="77777777" w:rsidR="002419FE" w:rsidRDefault="00000000">
      <w:pPr>
        <w:pStyle w:val="Ttulo1"/>
      </w:pPr>
      <w:bookmarkStart w:id="1" w:name="_Toc233792521"/>
      <w:r>
        <w:lastRenderedPageBreak/>
        <w:t>0. Marco y restricciones no negociables</w:t>
      </w:r>
      <w:bookmarkEnd w:id="1"/>
    </w:p>
    <w:p w14:paraId="330169B4" w14:textId="77777777" w:rsidR="002419FE" w:rsidRDefault="00000000">
      <w:pPr>
        <w:spacing w:after="120" w:line="276" w:lineRule="auto"/>
      </w:pPr>
      <w:r>
        <w:t xml:space="preserve">Este documento define el </w:t>
      </w:r>
      <w:proofErr w:type="spellStart"/>
      <w:r>
        <w:t>stack</w:t>
      </w:r>
      <w:proofErr w:type="spellEnd"/>
      <w:r>
        <w:t xml:space="preserve"> tecnológico de Ringworld.io v1.2. No es una iteración cosmética del Tech Stack v1.1: se ha razonado capa por capa partiendo de los requisitos de producto (PRD v1.1), de la decisión estratégica de arquitectura conversacional, y del contrato criptográfico de ADR-001. El Tech Stack v1.1 se usa únicamente como punto de comparación al final de cada capa, nunca como punto de partida.</w:t>
      </w:r>
    </w:p>
    <w:p w14:paraId="5840FED2" w14:textId="77777777" w:rsidR="002419FE" w:rsidRDefault="00000000">
      <w:pPr>
        <w:spacing w:after="120" w:line="276" w:lineRule="auto"/>
      </w:pPr>
      <w:r>
        <w:t xml:space="preserve">La premisa de producto condiciona todo lo demás: Ringworld.io desplaza a </w:t>
      </w:r>
      <w:proofErr w:type="spellStart"/>
      <w:r>
        <w:t>BearingNet</w:t>
      </w:r>
      <w:proofErr w:type="spellEnd"/>
      <w:r>
        <w:t xml:space="preserve"> no por precio sino por una </w:t>
      </w:r>
      <w:r>
        <w:rPr>
          <w:b/>
          <w:bCs/>
        </w:rPr>
        <w:t>garantía matemática de privacidad comercial</w:t>
      </w:r>
      <w:r>
        <w:t xml:space="preserve"> (</w:t>
      </w:r>
      <w:proofErr w:type="spellStart"/>
      <w:r>
        <w:t>zero-knowledge</w:t>
      </w:r>
      <w:proofErr w:type="spellEnd"/>
      <w:r>
        <w:t xml:space="preserve"> / E2EE) y por una </w:t>
      </w:r>
      <w:r>
        <w:rPr>
          <w:b/>
          <w:bCs/>
        </w:rPr>
        <w:t>capa conversacional con IA (VERA)</w:t>
      </w:r>
      <w:r>
        <w:t xml:space="preserve"> que captura todo el flujo de trabajo —búsqueda, negociación y relación— sin obligar al usuario a salir de la plataforma. Cada decisión de </w:t>
      </w:r>
      <w:proofErr w:type="spellStart"/>
      <w:r>
        <w:t>stack</w:t>
      </w:r>
      <w:proofErr w:type="spellEnd"/>
      <w:r>
        <w:t xml:space="preserve"> se evalúa contra esos dos diferenciadores y contra el sobre de coste de infraestructura del PRD (€80–120k/año en régimen estacionario).</w:t>
      </w:r>
    </w:p>
    <w:p w14:paraId="507CB5B9" w14:textId="77777777" w:rsidR="002419FE" w:rsidRDefault="00000000">
      <w:pPr>
        <w:pStyle w:val="Ttulo3"/>
      </w:pPr>
      <w:r>
        <w:t>Restricciones cerradas (no se reabren en este documento)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419FE" w14:paraId="4568BC56" w14:textId="77777777">
        <w:tblPrEx>
          <w:tblCellMar>
            <w:top w:w="0" w:type="dxa"/>
            <w:bottom w:w="0" w:type="dxa"/>
          </w:tblCellMar>
        </w:tblPrEx>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5B546893" w14:textId="77777777" w:rsidR="002419FE" w:rsidRDefault="00000000">
            <w:pPr>
              <w:spacing w:line="252" w:lineRule="auto"/>
            </w:pPr>
            <w:r>
              <w:rPr>
                <w:b/>
                <w:bCs/>
                <w:color w:val="FFFFFF"/>
              </w:rPr>
              <w:t>Restricción</w:t>
            </w:r>
          </w:p>
        </w:tc>
        <w:tc>
          <w:tcPr>
            <w:tcW w:w="468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503CBE98" w14:textId="77777777" w:rsidR="002419FE" w:rsidRDefault="00000000">
            <w:pPr>
              <w:spacing w:line="252" w:lineRule="auto"/>
            </w:pPr>
            <w:r>
              <w:rPr>
                <w:b/>
                <w:bCs/>
                <w:color w:val="FFFFFF"/>
              </w:rPr>
              <w:t xml:space="preserve">Implicación para el </w:t>
            </w:r>
            <w:proofErr w:type="spellStart"/>
            <w:r>
              <w:rPr>
                <w:b/>
                <w:bCs/>
                <w:color w:val="FFFFFF"/>
              </w:rPr>
              <w:t>stack</w:t>
            </w:r>
            <w:proofErr w:type="spellEnd"/>
          </w:p>
        </w:tc>
      </w:tr>
      <w:tr w:rsidR="002419FE" w14:paraId="01C2307C"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E0E1764" w14:textId="77777777" w:rsidR="002419FE" w:rsidRDefault="00000000">
            <w:pPr>
              <w:spacing w:line="252" w:lineRule="auto"/>
            </w:pPr>
            <w:r>
              <w:t>Zero-</w:t>
            </w:r>
            <w:proofErr w:type="spellStart"/>
            <w:r>
              <w:t>knowledge</w:t>
            </w:r>
            <w:proofErr w:type="spellEnd"/>
            <w:r>
              <w:t xml:space="preserve"> / E2EE como diferenciador central</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DA44399" w14:textId="77777777" w:rsidR="002419FE" w:rsidRDefault="00000000">
            <w:pPr>
              <w:spacing w:line="252" w:lineRule="auto"/>
            </w:pPr>
            <w:r>
              <w:t>El servidor solo almacena texto cifrado. Ninguna capa puede requerir que el servidor lea datos comerciales en claro.</w:t>
            </w:r>
          </w:p>
        </w:tc>
      </w:tr>
      <w:tr w:rsidR="002419FE" w14:paraId="4497CB94"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1CAA7BE" w14:textId="77777777" w:rsidR="002419FE" w:rsidRDefault="00000000">
            <w:pPr>
              <w:spacing w:line="252" w:lineRule="auto"/>
            </w:pPr>
            <w:r>
              <w:rPr>
                <w:color w:val="000000"/>
              </w:rPr>
              <w:t>Contrato criptográfico ADR-001 (X25519, AES-256-GCM, Argon2id)</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691DB53" w14:textId="77777777" w:rsidR="002419FE" w:rsidRDefault="00000000">
            <w:pPr>
              <w:spacing w:line="252" w:lineRule="auto"/>
            </w:pPr>
            <w:r>
              <w:rPr>
                <w:color w:val="000000"/>
              </w:rPr>
              <w:t xml:space="preserve">El cifrado de </w:t>
            </w:r>
            <w:proofErr w:type="spellStart"/>
            <w:r>
              <w:rPr>
                <w:color w:val="000000"/>
              </w:rPr>
              <w:t>payloads</w:t>
            </w:r>
            <w:proofErr w:type="spellEnd"/>
            <w:r>
              <w:rPr>
                <w:color w:val="000000"/>
              </w:rPr>
              <w:t xml:space="preserve"> y </w:t>
            </w:r>
            <w:proofErr w:type="gramStart"/>
            <w:r>
              <w:rPr>
                <w:color w:val="000000"/>
              </w:rPr>
              <w:t xml:space="preserve">el </w:t>
            </w:r>
            <w:proofErr w:type="spellStart"/>
            <w:r>
              <w:rPr>
                <w:color w:val="000000"/>
              </w:rPr>
              <w:t>backup</w:t>
            </w:r>
            <w:proofErr w:type="spellEnd"/>
            <w:proofErr w:type="gramEnd"/>
            <w:r>
              <w:rPr>
                <w:color w:val="000000"/>
              </w:rPr>
              <w:t xml:space="preserve"> de clave deben usar exactamente estas primitivas. La selección de librerías queda subordinada a ellas.</w:t>
            </w:r>
          </w:p>
        </w:tc>
      </w:tr>
      <w:tr w:rsidR="002419FE" w14:paraId="41A8D444"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E69D119" w14:textId="77777777" w:rsidR="002419FE" w:rsidRDefault="00000000">
            <w:pPr>
              <w:spacing w:line="252" w:lineRule="auto"/>
            </w:pPr>
            <w:r>
              <w:t>Claude (</w:t>
            </w:r>
            <w:proofErr w:type="spellStart"/>
            <w:r>
              <w:t>Anthropic</w:t>
            </w:r>
            <w:proofErr w:type="spellEnd"/>
            <w:r>
              <w:t>) como modelo de VERA — QA-A00-06</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C8767E1" w14:textId="77777777" w:rsidR="002419FE" w:rsidRDefault="00000000">
            <w:pPr>
              <w:spacing w:line="252" w:lineRule="auto"/>
            </w:pPr>
            <w:r>
              <w:t>El agente conversacional de producción usa Claude. No se evalúan modelos alternativos para VERA.</w:t>
            </w:r>
          </w:p>
        </w:tc>
      </w:tr>
      <w:tr w:rsidR="002419FE" w14:paraId="53693D67"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4E41105" w14:textId="77777777" w:rsidR="002419FE" w:rsidRDefault="00000000">
            <w:pPr>
              <w:spacing w:line="252" w:lineRule="auto"/>
            </w:pPr>
            <w:r>
              <w:rPr>
                <w:color w:val="000000"/>
              </w:rPr>
              <w:t>Sin pasarela de pago en ninguna versión</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C6D97E7" w14:textId="77777777" w:rsidR="002419FE" w:rsidRDefault="00000000">
            <w:pPr>
              <w:spacing w:line="252" w:lineRule="auto"/>
            </w:pPr>
            <w:r>
              <w:rPr>
                <w:color w:val="000000"/>
              </w:rPr>
              <w:t xml:space="preserve">No hay integración Stripe/PSP. El </w:t>
            </w:r>
            <w:proofErr w:type="spellStart"/>
            <w:r>
              <w:rPr>
                <w:color w:val="000000"/>
              </w:rPr>
              <w:t>billing</w:t>
            </w:r>
            <w:proofErr w:type="spellEnd"/>
            <w:r>
              <w:rPr>
                <w:color w:val="000000"/>
              </w:rPr>
              <w:t xml:space="preserve"> es manual (transferencia + confirmación del operador). Elimina toda una superficie PCI-DSS.</w:t>
            </w:r>
          </w:p>
        </w:tc>
      </w:tr>
      <w:tr w:rsidR="002419FE" w14:paraId="61D41F99"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7657303" w14:textId="77777777" w:rsidR="002419FE" w:rsidRDefault="00000000">
            <w:pPr>
              <w:spacing w:line="252" w:lineRule="auto"/>
            </w:pPr>
            <w:r>
              <w:t>Sin voz y sin modo proactivo del agente en V1</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9F9DE5B" w14:textId="77777777" w:rsidR="002419FE" w:rsidRDefault="00000000">
            <w:pPr>
              <w:spacing w:line="252" w:lineRule="auto"/>
            </w:pPr>
            <w:r>
              <w:t xml:space="preserve">VERA es texto, reactiva. No hay STT/TTS ni </w:t>
            </w:r>
            <w:proofErr w:type="spellStart"/>
            <w:r>
              <w:t>jobs</w:t>
            </w:r>
            <w:proofErr w:type="spellEnd"/>
            <w:r>
              <w:t xml:space="preserve"> proactivos de agente en el alcance V1.</w:t>
            </w:r>
          </w:p>
        </w:tc>
      </w:tr>
      <w:tr w:rsidR="002419FE" w14:paraId="7509D12B"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1CD28EB" w14:textId="77777777" w:rsidR="002419FE" w:rsidRDefault="00000000">
            <w:pPr>
              <w:spacing w:line="252" w:lineRule="auto"/>
            </w:pPr>
            <w:r>
              <w:rPr>
                <w:color w:val="000000"/>
              </w:rPr>
              <w:t>Reputación = Favoritos manual (ZKP descartado)</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6A78E45" w14:textId="77777777" w:rsidR="002419FE" w:rsidRDefault="00000000">
            <w:pPr>
              <w:spacing w:line="252" w:lineRule="auto"/>
            </w:pPr>
            <w:r>
              <w:rPr>
                <w:color w:val="000000"/>
              </w:rPr>
              <w:t xml:space="preserve">No hay </w:t>
            </w:r>
            <w:proofErr w:type="spellStart"/>
            <w:r>
              <w:rPr>
                <w:color w:val="000000"/>
              </w:rPr>
              <w:t>snarkjs</w:t>
            </w:r>
            <w:proofErr w:type="spellEnd"/>
            <w:r>
              <w:rPr>
                <w:color w:val="000000"/>
              </w:rPr>
              <w:t xml:space="preserve">/Groth16, ni microservicio de reputación, ni </w:t>
            </w:r>
            <w:proofErr w:type="spellStart"/>
            <w:r>
              <w:rPr>
                <w:color w:val="000000"/>
              </w:rPr>
              <w:t>topics</w:t>
            </w:r>
            <w:proofErr w:type="spellEnd"/>
            <w:r>
              <w:rPr>
                <w:color w:val="000000"/>
              </w:rPr>
              <w:t xml:space="preserve"> de evento dedicados. Es una tabla de relación.</w:t>
            </w:r>
          </w:p>
        </w:tc>
      </w:tr>
      <w:tr w:rsidR="002419FE" w14:paraId="57D529C8"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4AA523D" w14:textId="77777777" w:rsidR="002419FE" w:rsidRDefault="00000000">
            <w:pPr>
              <w:spacing w:line="252" w:lineRule="auto"/>
            </w:pPr>
            <w:r>
              <w:t>Un único hilo de mensajería por par de organizaciones</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521AC20" w14:textId="77777777" w:rsidR="002419FE" w:rsidRDefault="00000000">
            <w:pPr>
              <w:spacing w:line="252" w:lineRule="auto"/>
            </w:pPr>
            <w:r>
              <w:t>El modelo de datos de mensajería se simplifica: una conversación por par, con tres tipos de elemento (mensaje, tarjeta de consulta, tarjeta de oferta).</w:t>
            </w:r>
          </w:p>
        </w:tc>
      </w:tr>
    </w:tbl>
    <w:p w14:paraId="27B0B58D" w14:textId="77777777" w:rsidR="002419FE" w:rsidRDefault="002419FE">
      <w:pPr>
        <w:spacing w:after="60"/>
      </w:pPr>
    </w:p>
    <w:p w14:paraId="4131982C" w14:textId="77777777" w:rsidR="002419FE" w:rsidRDefault="00000000">
      <w:pPr>
        <w:pStyle w:val="Ttulo3"/>
      </w:pPr>
      <w:r>
        <w:t>Tecnologías ya seleccionadas en la fase SDD (se justifican, no se cuestionan)</w:t>
      </w:r>
    </w:p>
    <w:p w14:paraId="26A7A16F" w14:textId="77777777" w:rsidR="002419FE" w:rsidRDefault="00000000">
      <w:pPr>
        <w:spacing w:after="120" w:line="276" w:lineRule="auto"/>
      </w:pPr>
      <w:proofErr w:type="spellStart"/>
      <w:r>
        <w:t>LangGraph</w:t>
      </w:r>
      <w:proofErr w:type="spellEnd"/>
      <w:r>
        <w:t xml:space="preserve"> (orquestación de agentes de desarrollo), </w:t>
      </w:r>
      <w:proofErr w:type="spellStart"/>
      <w:r>
        <w:t>Playwright</w:t>
      </w:r>
      <w:proofErr w:type="spellEnd"/>
      <w:r>
        <w:t xml:space="preserve"> (E2E </w:t>
      </w:r>
      <w:proofErr w:type="spellStart"/>
      <w:r>
        <w:t>frontend</w:t>
      </w:r>
      <w:proofErr w:type="spellEnd"/>
      <w:r>
        <w:t xml:space="preserve">), </w:t>
      </w:r>
      <w:proofErr w:type="spellStart"/>
      <w:r>
        <w:t>Snyk</w:t>
      </w:r>
      <w:proofErr w:type="spellEnd"/>
      <w:r>
        <w:t xml:space="preserve"> (SAST en CI/CD), </w:t>
      </w:r>
      <w:proofErr w:type="spellStart"/>
      <w:r>
        <w:t>Sentry</w:t>
      </w:r>
      <w:proofErr w:type="spellEnd"/>
      <w:r>
        <w:t xml:space="preserve"> (errores en </w:t>
      </w:r>
      <w:proofErr w:type="spellStart"/>
      <w:r>
        <w:t>runtime</w:t>
      </w:r>
      <w:proofErr w:type="spellEnd"/>
      <w:r>
        <w:t xml:space="preserve">), k6 (carga, foco E2EE), Faker.js + </w:t>
      </w:r>
      <w:proofErr w:type="spellStart"/>
      <w:r>
        <w:t>seeds</w:t>
      </w:r>
      <w:proofErr w:type="spellEnd"/>
      <w:r>
        <w:t xml:space="preserve"> de </w:t>
      </w:r>
      <w:proofErr w:type="spellStart"/>
      <w:r>
        <w:t>Supabase</w:t>
      </w:r>
      <w:proofErr w:type="spellEnd"/>
      <w:r>
        <w:t xml:space="preserve"> (datos sintéticos), </w:t>
      </w:r>
      <w:proofErr w:type="spellStart"/>
      <w:r>
        <w:t>Storybook</w:t>
      </w:r>
      <w:proofErr w:type="spellEnd"/>
      <w:r>
        <w:t xml:space="preserve"> (sistema de componentes). Y la arquitectura de modelos de desarrollo: </w:t>
      </w:r>
      <w:r>
        <w:rPr>
          <w:b/>
          <w:bCs/>
        </w:rPr>
        <w:lastRenderedPageBreak/>
        <w:t>Claude Opus 4.8</w:t>
      </w:r>
      <w:r>
        <w:t xml:space="preserve"> como orquestador y </w:t>
      </w:r>
      <w:r>
        <w:rPr>
          <w:b/>
          <w:bCs/>
        </w:rPr>
        <w:t>GLM-5.2</w:t>
      </w:r>
      <w:r>
        <w:t xml:space="preserve"> como ejecutor de código. Cada una se incorpora a la capa que le corresponde con su justificación.</w:t>
      </w:r>
    </w:p>
    <w:p w14:paraId="07E8E3D0" w14:textId="77777777" w:rsidR="002419FE" w:rsidRDefault="00000000">
      <w:r>
        <w:br w:type="page"/>
      </w:r>
    </w:p>
    <w:p w14:paraId="0C7856CA" w14:textId="77777777" w:rsidR="002419FE" w:rsidRDefault="00000000">
      <w:pPr>
        <w:pStyle w:val="Ttulo1"/>
      </w:pPr>
      <w:bookmarkStart w:id="2" w:name="_Toc233792522"/>
      <w:r>
        <w:lastRenderedPageBreak/>
        <w:t xml:space="preserve">Capa 1 — </w:t>
      </w:r>
      <w:proofErr w:type="spellStart"/>
      <w:r>
        <w:t>Frontend</w:t>
      </w:r>
      <w:bookmarkEnd w:id="2"/>
      <w:proofErr w:type="spellEnd"/>
    </w:p>
    <w:p w14:paraId="7FA64E02" w14:textId="77777777" w:rsidR="002419FE" w:rsidRDefault="00000000">
      <w:pPr>
        <w:spacing w:after="60" w:line="276" w:lineRule="auto"/>
      </w:pPr>
      <w:r>
        <w:rPr>
          <w:b/>
          <w:bCs/>
          <w:color w:val="1F3A5F"/>
        </w:rPr>
        <w:t xml:space="preserve">Tecnología elegida: </w:t>
      </w:r>
      <w:r>
        <w:t xml:space="preserve">Next.js 15 (App </w:t>
      </w:r>
      <w:proofErr w:type="spellStart"/>
      <w:r>
        <w:t>Router</w:t>
      </w:r>
      <w:proofErr w:type="spellEnd"/>
      <w:r>
        <w:t xml:space="preserve">) + </w:t>
      </w:r>
      <w:proofErr w:type="spellStart"/>
      <w:r>
        <w:t>React</w:t>
      </w:r>
      <w:proofErr w:type="spellEnd"/>
      <w:r>
        <w:t xml:space="preserve"> 19 + </w:t>
      </w:r>
      <w:proofErr w:type="spellStart"/>
      <w:r>
        <w:t>TypeScript</w:t>
      </w:r>
      <w:proofErr w:type="spellEnd"/>
      <w:r>
        <w:t xml:space="preserve"> · </w:t>
      </w:r>
      <w:proofErr w:type="spellStart"/>
      <w:r>
        <w:t>TailwindCSS</w:t>
      </w:r>
      <w:proofErr w:type="spellEnd"/>
      <w:r>
        <w:t xml:space="preserve"> + Radix UI · </w:t>
      </w:r>
      <w:proofErr w:type="spellStart"/>
      <w:r>
        <w:t>Storybook</w:t>
      </w:r>
      <w:proofErr w:type="spellEnd"/>
      <w:r>
        <w:t xml:space="preserve"> como sistema de componentes vivo · </w:t>
      </w:r>
      <w:proofErr w:type="spellStart"/>
      <w:r>
        <w:t>Zustand</w:t>
      </w:r>
      <w:proofErr w:type="spellEnd"/>
      <w:r>
        <w:t xml:space="preserve"> (estado de UI) + </w:t>
      </w:r>
      <w:proofErr w:type="spellStart"/>
      <w:r>
        <w:t>TanStack</w:t>
      </w:r>
      <w:proofErr w:type="spellEnd"/>
      <w:r>
        <w:t xml:space="preserve"> Query (estado de servidor) · cripto en cliente vía </w:t>
      </w:r>
      <w:proofErr w:type="spellStart"/>
      <w:r>
        <w:t>WebCrypto</w:t>
      </w:r>
      <w:proofErr w:type="spellEnd"/>
      <w:r>
        <w:t xml:space="preserve"> API ejecutada en Web </w:t>
      </w:r>
      <w:proofErr w:type="spellStart"/>
      <w:r>
        <w:t>Workers</w:t>
      </w:r>
      <w:proofErr w:type="spellEnd"/>
      <w:r>
        <w:t xml:space="preserve"> (Argon2id vía argon2-browser/WASM).</w:t>
      </w:r>
    </w:p>
    <w:p w14:paraId="2A0B9FA2" w14:textId="77777777" w:rsidR="002419FE" w:rsidRDefault="00000000">
      <w:pPr>
        <w:spacing w:after="60" w:line="276" w:lineRule="auto"/>
      </w:pPr>
      <w:r>
        <w:rPr>
          <w:b/>
          <w:bCs/>
          <w:color w:val="1F3A5F"/>
        </w:rPr>
        <w:t xml:space="preserve">Justificación: </w:t>
      </w:r>
      <w:r>
        <w:t xml:space="preserve">El </w:t>
      </w:r>
      <w:proofErr w:type="spellStart"/>
      <w:r>
        <w:t>frontend</w:t>
      </w:r>
      <w:proofErr w:type="spellEnd"/>
      <w:r>
        <w:t xml:space="preserve"> de Ringworld.io es el único lugar donde el texto en claro de los datos comerciales existe. Esto invierte la prioridad habitual: el cliente no es una capa de presentación, es la frontera de seguridad. Por eso (1) toda operación criptográfica corre en el navegador con </w:t>
      </w:r>
      <w:proofErr w:type="spellStart"/>
      <w:r>
        <w:t>WebCrypto</w:t>
      </w:r>
      <w:proofErr w:type="spellEnd"/>
      <w:r>
        <w:t xml:space="preserve"> (X25519, AES-256-GCM nativos del estándar, exigidos por ADR-001) y la derivación Argon2id se ejecuta en un Web Worker para no bloquear el hilo principal durante los ~500ms-1s que indica ADR-001 §9. (2) Next.js App Router permite SSR/RSC para el contenido público no cifrado (Directorio de Organizaciones, Foro, </w:t>
      </w:r>
      <w:proofErr w:type="spellStart"/>
      <w:r>
        <w:t>landing</w:t>
      </w:r>
      <w:proofErr w:type="spellEnd"/>
      <w:r>
        <w:t xml:space="preserve"> y SEO contra </w:t>
      </w:r>
      <w:proofErr w:type="spellStart"/>
      <w:r>
        <w:t>BearingNet</w:t>
      </w:r>
      <w:proofErr w:type="spellEnd"/>
      <w:r>
        <w:t xml:space="preserve">) mientras las vistas con datos E2EE se renderizan en cliente, manteniendo las claves fuera del servidor incluso bajo SSR. (3) La transición declarada de HTML a </w:t>
      </w:r>
      <w:proofErr w:type="spellStart"/>
      <w:r>
        <w:t>React</w:t>
      </w:r>
      <w:proofErr w:type="spellEnd"/>
      <w:r>
        <w:t xml:space="preserve"> (</w:t>
      </w:r>
      <w:proofErr w:type="spellStart"/>
      <w:r>
        <w:t>Storybook</w:t>
      </w:r>
      <w:proofErr w:type="spellEnd"/>
      <w:r>
        <w:t xml:space="preserve"> ya es decisión cerrada) exige un sistema de componentes aislado y </w:t>
      </w:r>
      <w:proofErr w:type="spellStart"/>
      <w:r>
        <w:t>testeable</w:t>
      </w:r>
      <w:proofErr w:type="spellEnd"/>
      <w:r>
        <w:t xml:space="preserve">; </w:t>
      </w:r>
      <w:proofErr w:type="spellStart"/>
      <w:r>
        <w:t>Storybook</w:t>
      </w:r>
      <w:proofErr w:type="spellEnd"/>
      <w:r>
        <w:t xml:space="preserve"> es la base sobre la que </w:t>
      </w:r>
      <w:proofErr w:type="spellStart"/>
      <w:r>
        <w:t>Playwright</w:t>
      </w:r>
      <w:proofErr w:type="spellEnd"/>
      <w:r>
        <w:t xml:space="preserve"> (E2E, cerrado) verifica los componentes. (4) </w:t>
      </w:r>
      <w:proofErr w:type="spellStart"/>
      <w:r>
        <w:t>TanStack</w:t>
      </w:r>
      <w:proofErr w:type="spellEnd"/>
      <w:r>
        <w:t xml:space="preserve"> Query gestiona el ciclo </w:t>
      </w:r>
      <w:proofErr w:type="spellStart"/>
      <w:r>
        <w:t>fetch</w:t>
      </w:r>
      <w:proofErr w:type="spellEnd"/>
      <w:r>
        <w:t>-</w:t>
      </w:r>
      <w:proofErr w:type="spellStart"/>
      <w:r>
        <w:t>de-ciphertext</w:t>
      </w:r>
      <w:proofErr w:type="spellEnd"/>
      <w:r>
        <w:t xml:space="preserve"> / descifrado-local / cache-en-memoria sin persistir texto en claro.</w:t>
      </w:r>
    </w:p>
    <w:p w14:paraId="1AF7DBE7" w14:textId="77777777" w:rsidR="002419FE" w:rsidRDefault="00000000">
      <w:pPr>
        <w:spacing w:after="60" w:line="276" w:lineRule="auto"/>
      </w:pPr>
      <w:r>
        <w:rPr>
          <w:b/>
          <w:bCs/>
          <w:color w:val="1F3A5F"/>
        </w:rPr>
        <w:t xml:space="preserve">Alternativas descartadas: </w:t>
      </w:r>
      <w:r>
        <w:t xml:space="preserve">SPA pura con Vite (sin SSR): descartada porque el Directorio y el Foro son públicos y necesitan SEO e índice para captar a los 2.000 miembros de </w:t>
      </w:r>
      <w:proofErr w:type="spellStart"/>
      <w:r>
        <w:t>BearingNet</w:t>
      </w:r>
      <w:proofErr w:type="spellEnd"/>
      <w:r>
        <w:t xml:space="preserve"> — Next.js da SSR selectivo sin renunciar al render-en-cliente para lo cifrado. Vue/</w:t>
      </w:r>
      <w:proofErr w:type="spellStart"/>
      <w:r>
        <w:t>Nuxt</w:t>
      </w:r>
      <w:proofErr w:type="spellEnd"/>
      <w:r>
        <w:t xml:space="preserve">: ecosistema </w:t>
      </w:r>
      <w:proofErr w:type="spellStart"/>
      <w:r>
        <w:t>crypto</w:t>
      </w:r>
      <w:proofErr w:type="spellEnd"/>
      <w:r>
        <w:t xml:space="preserve">-en-cliente y disponibilidad de talento menores para un equipo ligero. </w:t>
      </w:r>
      <w:proofErr w:type="spellStart"/>
      <w:r>
        <w:t>Redux</w:t>
      </w:r>
      <w:proofErr w:type="spellEnd"/>
      <w:r>
        <w:t xml:space="preserve"> </w:t>
      </w:r>
      <w:proofErr w:type="spellStart"/>
      <w:r>
        <w:t>Toolkit</w:t>
      </w:r>
      <w:proofErr w:type="spellEnd"/>
      <w:r>
        <w:t xml:space="preserve">: sobredimensionado frente a </w:t>
      </w:r>
      <w:proofErr w:type="spellStart"/>
      <w:r>
        <w:t>Zustand</w:t>
      </w:r>
      <w:proofErr w:type="spellEnd"/>
      <w:r>
        <w:t xml:space="preserve"> + </w:t>
      </w:r>
      <w:proofErr w:type="spellStart"/>
      <w:r>
        <w:t>TanStack</w:t>
      </w:r>
      <w:proofErr w:type="spellEnd"/>
      <w:r>
        <w:t xml:space="preserve"> Query para el tamaño de la </w:t>
      </w:r>
      <w:proofErr w:type="gramStart"/>
      <w:r>
        <w:t>app</w:t>
      </w:r>
      <w:proofErr w:type="gramEnd"/>
      <w:r>
        <w:t xml:space="preserve">. Mantener Next.js 14 (v1.1): se actualiza a 15 por </w:t>
      </w:r>
      <w:proofErr w:type="spellStart"/>
      <w:r>
        <w:t>React</w:t>
      </w:r>
      <w:proofErr w:type="spellEnd"/>
      <w:r>
        <w:t xml:space="preserve"> 19 (mejor manejo de Suspense/acciones) y soporte estable de App </w:t>
      </w:r>
      <w:proofErr w:type="spellStart"/>
      <w:r>
        <w:t>Router</w:t>
      </w:r>
      <w:proofErr w:type="spellEnd"/>
      <w:r>
        <w:t>.</w:t>
      </w:r>
    </w:p>
    <w:p w14:paraId="31BBDC6C" w14:textId="77777777" w:rsidR="002419FE" w:rsidRDefault="00000000">
      <w:pPr>
        <w:spacing w:after="200" w:line="276" w:lineRule="auto"/>
      </w:pPr>
      <w:r>
        <w:rPr>
          <w:b/>
          <w:bCs/>
          <w:color w:val="1F3A5F"/>
        </w:rPr>
        <w:t xml:space="preserve">Estado: </w:t>
      </w:r>
      <w:r>
        <w:rPr>
          <w:b/>
          <w:bCs/>
          <w:color w:val="2E7D32"/>
        </w:rPr>
        <w:t>CERRADA</w:t>
      </w:r>
    </w:p>
    <w:p w14:paraId="0F03FB39" w14:textId="77777777" w:rsidR="002419FE" w:rsidRDefault="00000000">
      <w:pPr>
        <w:pStyle w:val="Ttulo1"/>
      </w:pPr>
      <w:bookmarkStart w:id="3" w:name="_Toc233792523"/>
      <w:r>
        <w:t xml:space="preserve">Capa 2 — </w:t>
      </w:r>
      <w:proofErr w:type="spellStart"/>
      <w:r>
        <w:t>Backend</w:t>
      </w:r>
      <w:proofErr w:type="spellEnd"/>
      <w:r>
        <w:t xml:space="preserve"> / API</w:t>
      </w:r>
      <w:bookmarkEnd w:id="3"/>
    </w:p>
    <w:p w14:paraId="26C960F9" w14:textId="77777777" w:rsidR="002419FE" w:rsidRDefault="00000000">
      <w:pPr>
        <w:spacing w:after="60" w:line="276" w:lineRule="auto"/>
      </w:pPr>
      <w:r>
        <w:rPr>
          <w:b/>
          <w:bCs/>
          <w:color w:val="1F3A5F"/>
        </w:rPr>
        <w:t xml:space="preserve">Tecnología elegida: </w:t>
      </w:r>
      <w:r>
        <w:t xml:space="preserve">Monolito modular en </w:t>
      </w:r>
      <w:proofErr w:type="spellStart"/>
      <w:r>
        <w:t>TypeScript</w:t>
      </w:r>
      <w:proofErr w:type="spellEnd"/>
      <w:r>
        <w:t xml:space="preserve"> (</w:t>
      </w:r>
      <w:proofErr w:type="spellStart"/>
      <w:r>
        <w:t>NestJS</w:t>
      </w:r>
      <w:proofErr w:type="spellEnd"/>
      <w:r>
        <w:t xml:space="preserve">) desplegado como un servicio, con dos extracciones en </w:t>
      </w:r>
      <w:proofErr w:type="spellStart"/>
      <w:r>
        <w:t>Go</w:t>
      </w:r>
      <w:proofErr w:type="spellEnd"/>
      <w:r>
        <w:t xml:space="preserve"> (servicio de Búsqueda y evaluador de </w:t>
      </w:r>
      <w:proofErr w:type="spellStart"/>
      <w:r>
        <w:t>Watchers</w:t>
      </w:r>
      <w:proofErr w:type="spellEnd"/>
      <w:r>
        <w:t xml:space="preserve">/Alertas) cuando la carga lo justifique. API </w:t>
      </w:r>
      <w:proofErr w:type="spellStart"/>
      <w:r>
        <w:t>tipada</w:t>
      </w:r>
      <w:proofErr w:type="spellEnd"/>
      <w:r>
        <w:t xml:space="preserve"> extremo a extremo (</w:t>
      </w:r>
      <w:proofErr w:type="spellStart"/>
      <w:r>
        <w:t>tRPC</w:t>
      </w:r>
      <w:proofErr w:type="spellEnd"/>
      <w:r>
        <w:t xml:space="preserve"> para el cliente propio + </w:t>
      </w:r>
      <w:proofErr w:type="spellStart"/>
      <w:r>
        <w:t>OpenAPI</w:t>
      </w:r>
      <w:proofErr w:type="spellEnd"/>
      <w:r>
        <w:t xml:space="preserve">/REST para ERP y </w:t>
      </w:r>
      <w:proofErr w:type="spellStart"/>
      <w:r>
        <w:t>webhooks</w:t>
      </w:r>
      <w:proofErr w:type="spellEnd"/>
      <w:r>
        <w:t xml:space="preserve"> de distribuidores). </w:t>
      </w:r>
      <w:proofErr w:type="spellStart"/>
      <w:r>
        <w:t>WebSocket</w:t>
      </w:r>
      <w:proofErr w:type="spellEnd"/>
      <w:r>
        <w:t xml:space="preserve"> para mensajería en tiempo real. Auth y borde de datos delegados a </w:t>
      </w:r>
      <w:proofErr w:type="spellStart"/>
      <w:r>
        <w:t>Supabase</w:t>
      </w:r>
      <w:proofErr w:type="spellEnd"/>
      <w:r>
        <w:t xml:space="preserve"> (ver Capa 3).</w:t>
      </w:r>
    </w:p>
    <w:p w14:paraId="1699EAD4" w14:textId="77777777" w:rsidR="002419FE" w:rsidRDefault="00000000">
      <w:pPr>
        <w:spacing w:after="60" w:line="276" w:lineRule="auto"/>
      </w:pPr>
      <w:r>
        <w:rPr>
          <w:b/>
          <w:bCs/>
          <w:color w:val="1F3A5F"/>
        </w:rPr>
        <w:t xml:space="preserve">Justificación: </w:t>
      </w:r>
      <w:r>
        <w:t xml:space="preserve">El Tech Stack v1.1 propone ~10 microservicios sobre Kong + EKS desde el día uno. Para los primeros 100–300 miembros eso es coste y complejidad operativa sin beneficio: multiplica superficie de despliegue, </w:t>
      </w:r>
      <w:proofErr w:type="spellStart"/>
      <w:r>
        <w:t>observabilidad</w:t>
      </w:r>
      <w:proofErr w:type="spellEnd"/>
      <w:r>
        <w:t xml:space="preserve"> y fallos para un equipo ligero cuyo margen depende del sobre de €80–120k/año. La decisión razonada es un monolito modular con costuras de servicio explícitas (</w:t>
      </w:r>
      <w:proofErr w:type="spellStart"/>
      <w:r>
        <w:t>Identity</w:t>
      </w:r>
      <w:proofErr w:type="spellEnd"/>
      <w:r>
        <w:t xml:space="preserve">, </w:t>
      </w:r>
      <w:proofErr w:type="spellStart"/>
      <w:r>
        <w:t>Inventory+Visibility</w:t>
      </w:r>
      <w:proofErr w:type="spellEnd"/>
      <w:r>
        <w:t xml:space="preserve">, </w:t>
      </w:r>
      <w:proofErr w:type="spellStart"/>
      <w:r>
        <w:t>Messaging</w:t>
      </w:r>
      <w:proofErr w:type="spellEnd"/>
      <w:r>
        <w:t xml:space="preserve">, </w:t>
      </w:r>
      <w:proofErr w:type="spellStart"/>
      <w:r>
        <w:t>Ingestion</w:t>
      </w:r>
      <w:proofErr w:type="spellEnd"/>
      <w:r>
        <w:t xml:space="preserve">, </w:t>
      </w:r>
      <w:proofErr w:type="spellStart"/>
      <w:r>
        <w:t>Alerts</w:t>
      </w:r>
      <w:proofErr w:type="spellEnd"/>
      <w:r>
        <w:t xml:space="preserve">, Billing, </w:t>
      </w:r>
      <w:proofErr w:type="spellStart"/>
      <w:r>
        <w:t>Directory</w:t>
      </w:r>
      <w:proofErr w:type="spellEnd"/>
      <w:r>
        <w:t xml:space="preserve">, Forum como módulos internos con interfaces limpias), que permite extraer a servicio independiente exactamente los dos componentes con perfil de carga distinto: la Búsqueda (orquestación sobre </w:t>
      </w:r>
      <w:proofErr w:type="spellStart"/>
      <w:r>
        <w:t>Typesense</w:t>
      </w:r>
      <w:proofErr w:type="spellEnd"/>
      <w:r>
        <w:t xml:space="preserve">, sensible a latencia) y el evaluador de </w:t>
      </w:r>
      <w:proofErr w:type="spellStart"/>
      <w:r>
        <w:t>Watchers</w:t>
      </w:r>
      <w:proofErr w:type="spellEnd"/>
      <w:r>
        <w:t xml:space="preserve"> (consume cada evento </w:t>
      </w:r>
      <w:proofErr w:type="spellStart"/>
      <w:proofErr w:type="gramStart"/>
      <w:r>
        <w:t>stock.updated</w:t>
      </w:r>
      <w:proofErr w:type="spellEnd"/>
      <w:proofErr w:type="gramEnd"/>
      <w:r>
        <w:t>, perfil CPU-</w:t>
      </w:r>
      <w:proofErr w:type="spellStart"/>
      <w:r>
        <w:t>bound</w:t>
      </w:r>
      <w:proofErr w:type="spellEnd"/>
      <w:r>
        <w:t xml:space="preserve">), ambos idóneos para </w:t>
      </w:r>
      <w:proofErr w:type="spellStart"/>
      <w:r>
        <w:t>Go</w:t>
      </w:r>
      <w:proofErr w:type="spellEnd"/>
      <w:r>
        <w:t xml:space="preserve">. </w:t>
      </w:r>
      <w:proofErr w:type="spellStart"/>
      <w:r>
        <w:t>TypeScript</w:t>
      </w:r>
      <w:proofErr w:type="spellEnd"/>
      <w:r>
        <w:t xml:space="preserve"> en el </w:t>
      </w:r>
      <w:proofErr w:type="spellStart"/>
      <w:r>
        <w:t>backend</w:t>
      </w:r>
      <w:proofErr w:type="spellEnd"/>
      <w:r>
        <w:t xml:space="preserve"> permite compartir tipos y la lógica criptográfica/esquemas con el </w:t>
      </w:r>
      <w:proofErr w:type="spellStart"/>
      <w:r>
        <w:t>frontend</w:t>
      </w:r>
      <w:proofErr w:type="spellEnd"/>
      <w:r>
        <w:t xml:space="preserve">, reduciendo el riesgo de divergencia en un sistema donde un error de formato de </w:t>
      </w:r>
      <w:proofErr w:type="spellStart"/>
      <w:r>
        <w:t>payload</w:t>
      </w:r>
      <w:proofErr w:type="spellEnd"/>
      <w:r>
        <w:t xml:space="preserve"> cifrado es irrecuperable.</w:t>
      </w:r>
    </w:p>
    <w:p w14:paraId="29D28D9A" w14:textId="77777777" w:rsidR="002419FE" w:rsidRDefault="00000000">
      <w:pPr>
        <w:spacing w:after="60" w:line="276" w:lineRule="auto"/>
      </w:pPr>
      <w:r>
        <w:rPr>
          <w:b/>
          <w:bCs/>
          <w:color w:val="1F3A5F"/>
        </w:rPr>
        <w:lastRenderedPageBreak/>
        <w:t xml:space="preserve">Alternativas descartadas: </w:t>
      </w:r>
      <w:r>
        <w:t xml:space="preserve">Microservicios completos + Kong + EKS desde el inicio (v1.1): correcto a escala de 2.000 miembros, prematuro a 100; se adopta como destino evolutivo, no como punto de partida. </w:t>
      </w:r>
      <w:proofErr w:type="spellStart"/>
      <w:r>
        <w:t>Go</w:t>
      </w:r>
      <w:proofErr w:type="spellEnd"/>
      <w:r>
        <w:t xml:space="preserve"> para todo el </w:t>
      </w:r>
      <w:proofErr w:type="spellStart"/>
      <w:r>
        <w:t>backend</w:t>
      </w:r>
      <w:proofErr w:type="spellEnd"/>
      <w:r>
        <w:t xml:space="preserve">: penaliza el </w:t>
      </w:r>
      <w:proofErr w:type="spellStart"/>
      <w:r>
        <w:t>reuso</w:t>
      </w:r>
      <w:proofErr w:type="spellEnd"/>
      <w:r>
        <w:t xml:space="preserve"> de tipos/cripto con el cliente y la velocidad del equipo. </w:t>
      </w:r>
      <w:proofErr w:type="spellStart"/>
      <w:r>
        <w:t>GraphQL</w:t>
      </w:r>
      <w:proofErr w:type="spellEnd"/>
      <w:r>
        <w:t xml:space="preserve"> federado: innecesario; </w:t>
      </w:r>
      <w:proofErr w:type="spellStart"/>
      <w:r>
        <w:t>tRPC</w:t>
      </w:r>
      <w:proofErr w:type="spellEnd"/>
      <w:r>
        <w:t xml:space="preserve"> cubre el cliente propio con tipado total y REST/</w:t>
      </w:r>
      <w:proofErr w:type="spellStart"/>
      <w:r>
        <w:t>OpenAPI</w:t>
      </w:r>
      <w:proofErr w:type="spellEnd"/>
      <w:r>
        <w:t xml:space="preserve"> cubre ERP de terceros, que es lo que realmente necesita contrato estable.</w:t>
      </w:r>
    </w:p>
    <w:p w14:paraId="0D8F0478" w14:textId="77777777" w:rsidR="002419FE" w:rsidRDefault="00000000">
      <w:pPr>
        <w:spacing w:after="200" w:line="276" w:lineRule="auto"/>
      </w:pPr>
      <w:r>
        <w:rPr>
          <w:b/>
          <w:bCs/>
          <w:color w:val="1F3A5F"/>
        </w:rPr>
        <w:t xml:space="preserve">Estado: </w:t>
      </w:r>
      <w:r>
        <w:rPr>
          <w:b/>
          <w:bCs/>
          <w:color w:val="2E7D32"/>
        </w:rPr>
        <w:t>CERRADA</w:t>
      </w:r>
      <w:r>
        <w:t xml:space="preserve"> — la extracción a microservicios es un </w:t>
      </w:r>
      <w:proofErr w:type="spellStart"/>
      <w:r>
        <w:t>trigger</w:t>
      </w:r>
      <w:proofErr w:type="spellEnd"/>
      <w:r>
        <w:t xml:space="preserve"> de escala (&gt;~500 miembros activos o cuando Búsqueda/Alertas dominen el perfil de carga), no una decisión pendiente.</w:t>
      </w:r>
    </w:p>
    <w:p w14:paraId="42AB39EC" w14:textId="77777777" w:rsidR="002419FE" w:rsidRDefault="00000000">
      <w:pPr>
        <w:pStyle w:val="Ttulo1"/>
      </w:pPr>
      <w:bookmarkStart w:id="4" w:name="_Toc233792524"/>
      <w:r>
        <w:t>Capa 3 — Base de datos y almacenamiento</w:t>
      </w:r>
      <w:bookmarkEnd w:id="4"/>
    </w:p>
    <w:p w14:paraId="3DD9F3C4" w14:textId="77777777" w:rsidR="002419FE" w:rsidRDefault="00000000">
      <w:pPr>
        <w:spacing w:after="60" w:line="276" w:lineRule="auto"/>
      </w:pPr>
      <w:r>
        <w:rPr>
          <w:b/>
          <w:bCs/>
          <w:color w:val="1F3A5F"/>
        </w:rPr>
        <w:t xml:space="preserve">Tecnología elegida: </w:t>
      </w:r>
      <w:proofErr w:type="spellStart"/>
      <w:r>
        <w:t>Supabase</w:t>
      </w:r>
      <w:proofErr w:type="spellEnd"/>
      <w:r>
        <w:t xml:space="preserve"> como </w:t>
      </w:r>
      <w:proofErr w:type="spellStart"/>
      <w:r>
        <w:t>backbone</w:t>
      </w:r>
      <w:proofErr w:type="spellEnd"/>
      <w:r>
        <w:t xml:space="preserve"> (PostgreSQL gestionado + Auth + Storage + </w:t>
      </w:r>
      <w:proofErr w:type="spellStart"/>
      <w:r>
        <w:t>Realtime</w:t>
      </w:r>
      <w:proofErr w:type="spellEnd"/>
      <w:r>
        <w:t xml:space="preserve">). </w:t>
      </w:r>
      <w:proofErr w:type="spellStart"/>
      <w:r>
        <w:t>Postgres</w:t>
      </w:r>
      <w:proofErr w:type="spellEnd"/>
      <w:r>
        <w:t xml:space="preserve"> como almacén único de datos estructurados y de </w:t>
      </w:r>
      <w:proofErr w:type="spellStart"/>
      <w:r>
        <w:t>ciphertext</w:t>
      </w:r>
      <w:proofErr w:type="spellEnd"/>
      <w:r>
        <w:t xml:space="preserve"> de mensajes (BYTEA/JSONB). </w:t>
      </w:r>
      <w:proofErr w:type="spellStart"/>
      <w:r>
        <w:t>Typesense</w:t>
      </w:r>
      <w:proofErr w:type="spellEnd"/>
      <w:r>
        <w:t xml:space="preserve"> (</w:t>
      </w:r>
      <w:proofErr w:type="spellStart"/>
      <w:r>
        <w:t>self</w:t>
      </w:r>
      <w:proofErr w:type="spellEnd"/>
      <w:r>
        <w:t>-host) como índice de búsqueda. Redis gestionado (</w:t>
      </w:r>
      <w:proofErr w:type="spellStart"/>
      <w:r>
        <w:t>Upstash</w:t>
      </w:r>
      <w:proofErr w:type="spellEnd"/>
      <w:r>
        <w:t xml:space="preserve">) para caché, </w:t>
      </w:r>
      <w:proofErr w:type="spellStart"/>
      <w:r>
        <w:t>rate-limit</w:t>
      </w:r>
      <w:proofErr w:type="spellEnd"/>
      <w:r>
        <w:t xml:space="preserve"> y estado de conexión </w:t>
      </w:r>
      <w:proofErr w:type="spellStart"/>
      <w:r>
        <w:t>WebSocket</w:t>
      </w:r>
      <w:proofErr w:type="spellEnd"/>
      <w:r>
        <w:t xml:space="preserve">. </w:t>
      </w:r>
      <w:proofErr w:type="spellStart"/>
      <w:r>
        <w:t>Supabase</w:t>
      </w:r>
      <w:proofErr w:type="spellEnd"/>
      <w:r>
        <w:t xml:space="preserve"> Storage / </w:t>
      </w:r>
      <w:proofErr w:type="spellStart"/>
      <w:r>
        <w:t>Cloudflare</w:t>
      </w:r>
      <w:proofErr w:type="spellEnd"/>
      <w:r>
        <w:t xml:space="preserve"> R2 para blobs cifrados, CSV y </w:t>
      </w:r>
      <w:proofErr w:type="spellStart"/>
      <w:r>
        <w:t>backups</w:t>
      </w:r>
      <w:proofErr w:type="spellEnd"/>
      <w:r>
        <w:t xml:space="preserve"> de clave.</w:t>
      </w:r>
    </w:p>
    <w:p w14:paraId="6D6988A8" w14:textId="77777777" w:rsidR="002419FE" w:rsidRDefault="00000000">
      <w:pPr>
        <w:spacing w:after="60" w:line="276" w:lineRule="auto"/>
      </w:pPr>
      <w:r>
        <w:rPr>
          <w:b/>
          <w:bCs/>
          <w:color w:val="1F3A5F"/>
        </w:rPr>
        <w:t xml:space="preserve">Justificación: </w:t>
      </w:r>
      <w:r>
        <w:t xml:space="preserve">La señal más fuerte del propio proyecto es que la estrategia de datos sintéticos ya está fijada como «Faker.js + scripts de </w:t>
      </w:r>
      <w:proofErr w:type="spellStart"/>
      <w:r>
        <w:t>seed</w:t>
      </w:r>
      <w:proofErr w:type="spellEnd"/>
      <w:r>
        <w:t xml:space="preserve"> de </w:t>
      </w:r>
      <w:proofErr w:type="spellStart"/>
      <w:r>
        <w:t>Supabase</w:t>
      </w:r>
      <w:proofErr w:type="spellEnd"/>
      <w:r>
        <w:t xml:space="preserve">». Eso implica </w:t>
      </w:r>
      <w:proofErr w:type="spellStart"/>
      <w:r>
        <w:t>Supabase</w:t>
      </w:r>
      <w:proofErr w:type="spellEnd"/>
      <w:r>
        <w:t xml:space="preserve"> como plataforma de datos, y razonado desde cero es la elección correcta para este equipo: </w:t>
      </w:r>
      <w:proofErr w:type="spellStart"/>
      <w:r>
        <w:t>Postgres</w:t>
      </w:r>
      <w:proofErr w:type="spellEnd"/>
      <w:r>
        <w:t xml:space="preserve"> cumple literalmente el esquema de ADR-001 §6.3 (columnas </w:t>
      </w:r>
      <w:proofErr w:type="spellStart"/>
      <w:r>
        <w:t>encrypted_key_blob</w:t>
      </w:r>
      <w:proofErr w:type="spellEnd"/>
      <w:r>
        <w:t xml:space="preserve"> BYTEA, </w:t>
      </w:r>
      <w:proofErr w:type="spellStart"/>
      <w:r>
        <w:t>key_iv</w:t>
      </w:r>
      <w:proofErr w:type="spellEnd"/>
      <w:r>
        <w:t xml:space="preserve"> BYTEA(12), argon2_salt BYTEA(32), </w:t>
      </w:r>
      <w:proofErr w:type="spellStart"/>
      <w:r>
        <w:t>kdf_params</w:t>
      </w:r>
      <w:proofErr w:type="spellEnd"/>
      <w:r>
        <w:t xml:space="preserve"> JSONB desde la primera migración); su Row-Level Security materializa el motor de reglas de visibilidad (</w:t>
      </w:r>
      <w:proofErr w:type="spellStart"/>
      <w:r>
        <w:t>whitelist</w:t>
      </w:r>
      <w:proofErr w:type="spellEnd"/>
      <w:r>
        <w:t>/</w:t>
      </w:r>
      <w:proofErr w:type="spellStart"/>
      <w:r>
        <w:t>blacklist</w:t>
      </w:r>
      <w:proofErr w:type="spellEnd"/>
      <w:r>
        <w:t>/bilateral del PRD §5.2) en la capa de datos, no en código de aplicación; su Auth cubre registro, MFA y distribución de claves públicas para E2EE; y su Storage/</w:t>
      </w:r>
      <w:proofErr w:type="spellStart"/>
      <w:r>
        <w:t>Realtime</w:t>
      </w:r>
      <w:proofErr w:type="spellEnd"/>
      <w:r>
        <w:t xml:space="preserve"> sustituyen piezas que el v1.1 resolvía con servicios AWS separados. Consolidar el </w:t>
      </w:r>
      <w:proofErr w:type="spellStart"/>
      <w:r>
        <w:t>ciphertext</w:t>
      </w:r>
      <w:proofErr w:type="spellEnd"/>
      <w:r>
        <w:t xml:space="preserve"> de mensajes en </w:t>
      </w:r>
      <w:proofErr w:type="spellStart"/>
      <w:r>
        <w:t>Postgres</w:t>
      </w:r>
      <w:proofErr w:type="spellEnd"/>
      <w:r>
        <w:t xml:space="preserve"> (JSONB/BYTEA) en lugar de un MongoDB aparte elimina un </w:t>
      </w:r>
      <w:proofErr w:type="spellStart"/>
      <w:r>
        <w:t>datastore</w:t>
      </w:r>
      <w:proofErr w:type="spellEnd"/>
      <w:r>
        <w:t xml:space="preserve"> entero: el contenido es opaco para el servidor de todos modos, no necesita un motor documental, y el modelo de «un hilo por par de organizaciones» encaja en relacional. </w:t>
      </w:r>
      <w:proofErr w:type="spellStart"/>
      <w:r>
        <w:t>Typesense</w:t>
      </w:r>
      <w:proofErr w:type="spellEnd"/>
      <w:r>
        <w:t xml:space="preserve"> se mantiene como índice porque a paridad con el incumbente son ~18M líneas y la búsqueda de prefijo es el caso de uso central de VERA; es 10× más rápido en prefijo que </w:t>
      </w:r>
      <w:proofErr w:type="spellStart"/>
      <w:r>
        <w:t>Elasticsearch</w:t>
      </w:r>
      <w:proofErr w:type="spellEnd"/>
      <w:r>
        <w:t xml:space="preserve"> y mucho más simple de operar.</w:t>
      </w:r>
    </w:p>
    <w:p w14:paraId="04AC88CD" w14:textId="77777777" w:rsidR="002419FE" w:rsidRDefault="00000000">
      <w:pPr>
        <w:spacing w:after="60" w:line="276" w:lineRule="auto"/>
      </w:pPr>
      <w:r>
        <w:rPr>
          <w:b/>
          <w:bCs/>
          <w:color w:val="1F3A5F"/>
        </w:rPr>
        <w:t xml:space="preserve">Alternativas descartadas: </w:t>
      </w:r>
      <w:r>
        <w:t>RDS Aurora + Auth0/</w:t>
      </w:r>
      <w:proofErr w:type="spellStart"/>
      <w:r>
        <w:t>Keycloak</w:t>
      </w:r>
      <w:proofErr w:type="spellEnd"/>
      <w:r>
        <w:t xml:space="preserve"> + MongoDB Atlas + S3 (v1.1): cuatro proveedores y cuatro planos de operación donde </w:t>
      </w:r>
      <w:proofErr w:type="spellStart"/>
      <w:r>
        <w:t>Supabase</w:t>
      </w:r>
      <w:proofErr w:type="spellEnd"/>
      <w:r>
        <w:t xml:space="preserve"> da uno; Aurora es excelente pero su coste fijo no se justifica a 100 miembros. MongoDB para mensajes: se descarta por consolidación — no aporta sobre </w:t>
      </w:r>
      <w:proofErr w:type="spellStart"/>
      <w:r>
        <w:t>Postgres</w:t>
      </w:r>
      <w:proofErr w:type="spellEnd"/>
      <w:r>
        <w:t xml:space="preserve"> JSONB para </w:t>
      </w:r>
      <w:proofErr w:type="spellStart"/>
      <w:r>
        <w:t>ciphertext</w:t>
      </w:r>
      <w:proofErr w:type="spellEnd"/>
      <w:r>
        <w:t xml:space="preserve"> opaco. </w:t>
      </w:r>
      <w:proofErr w:type="spellStart"/>
      <w:r>
        <w:t>Elasticsearch</w:t>
      </w:r>
      <w:proofErr w:type="spellEnd"/>
      <w:r>
        <w:t xml:space="preserve">: mayor complejidad operativa sin ventaja en el patrón </w:t>
      </w:r>
      <w:proofErr w:type="spellStart"/>
      <w:r>
        <w:t>prefix-search</w:t>
      </w:r>
      <w:proofErr w:type="spellEnd"/>
      <w:r>
        <w:t xml:space="preserve">. </w:t>
      </w:r>
      <w:proofErr w:type="spellStart"/>
      <w:r>
        <w:t>Postgres</w:t>
      </w:r>
      <w:proofErr w:type="spellEnd"/>
      <w:r>
        <w:t xml:space="preserve"> FTS en lugar de </w:t>
      </w:r>
      <w:proofErr w:type="spellStart"/>
      <w:r>
        <w:t>Typesense</w:t>
      </w:r>
      <w:proofErr w:type="spellEnd"/>
      <w:r>
        <w:t xml:space="preserve">: viable a 100 </w:t>
      </w:r>
      <w:proofErr w:type="gramStart"/>
      <w:r>
        <w:t>miembros</w:t>
      </w:r>
      <w:proofErr w:type="gramEnd"/>
      <w:r>
        <w:t xml:space="preserve"> pero no a 18M líneas; se prefiere no rehacer la capa de búsqueda al escalar.</w:t>
      </w:r>
    </w:p>
    <w:p w14:paraId="6A08C602" w14:textId="77777777" w:rsidR="002419FE" w:rsidRDefault="00000000">
      <w:pPr>
        <w:spacing w:after="60" w:line="276" w:lineRule="auto"/>
      </w:pPr>
      <w:r>
        <w:rPr>
          <w:b/>
          <w:bCs/>
          <w:color w:val="1F3A5F"/>
        </w:rPr>
        <w:t xml:space="preserve">Nota de coherencia con ADR-001: </w:t>
      </w:r>
      <w:proofErr w:type="gramStart"/>
      <w:r>
        <w:t xml:space="preserve">el </w:t>
      </w:r>
      <w:proofErr w:type="spellStart"/>
      <w:r>
        <w:t>backup</w:t>
      </w:r>
      <w:proofErr w:type="spellEnd"/>
      <w:proofErr w:type="gramEnd"/>
      <w:r>
        <w:t xml:space="preserve"> de clave (Opción C de ADR-001) escribe en Storage/R2 un blob AES-256-GCM cuyo </w:t>
      </w:r>
      <w:proofErr w:type="spellStart"/>
      <w:r>
        <w:t>passphrase</w:t>
      </w:r>
      <w:proofErr w:type="spellEnd"/>
      <w:r>
        <w:t xml:space="preserve"> nunca llega al servidor. </w:t>
      </w:r>
      <w:proofErr w:type="spellStart"/>
      <w:r>
        <w:t>Postgres</w:t>
      </w:r>
      <w:proofErr w:type="spellEnd"/>
      <w:r>
        <w:t xml:space="preserve"> guarda los cuatro campos de derivación; RLS y el </w:t>
      </w:r>
      <w:proofErr w:type="spellStart"/>
      <w:r>
        <w:t>rate-limit</w:t>
      </w:r>
      <w:proofErr w:type="spellEnd"/>
      <w:r>
        <w:t xml:space="preserve"> del </w:t>
      </w:r>
      <w:proofErr w:type="spellStart"/>
      <w:r>
        <w:t>endpoint</w:t>
      </w:r>
      <w:proofErr w:type="spellEnd"/>
      <w:r>
        <w:t xml:space="preserve"> /api/</w:t>
      </w:r>
      <w:proofErr w:type="spellStart"/>
      <w:r>
        <w:t>identity</w:t>
      </w:r>
      <w:proofErr w:type="spellEnd"/>
      <w:r>
        <w:t>/</w:t>
      </w:r>
      <w:proofErr w:type="spellStart"/>
      <w:r>
        <w:t>key-recovery</w:t>
      </w:r>
      <w:proofErr w:type="spellEnd"/>
      <w:r>
        <w:t xml:space="preserve"> (5 intentos + </w:t>
      </w:r>
      <w:proofErr w:type="spellStart"/>
      <w:r>
        <w:t>cooldown</w:t>
      </w:r>
      <w:proofErr w:type="spellEnd"/>
      <w:r>
        <w:t>, invariante de ADR-001 §8) se implementan en esta capa.</w:t>
      </w:r>
    </w:p>
    <w:p w14:paraId="6DA13B00" w14:textId="77777777" w:rsidR="002419FE" w:rsidRDefault="00000000">
      <w:pPr>
        <w:spacing w:after="200" w:line="276" w:lineRule="auto"/>
      </w:pPr>
      <w:r>
        <w:rPr>
          <w:b/>
          <w:bCs/>
          <w:color w:val="1F3A5F"/>
        </w:rPr>
        <w:t xml:space="preserve">Estado: </w:t>
      </w:r>
      <w:r>
        <w:rPr>
          <w:b/>
          <w:bCs/>
          <w:color w:val="2E7D32"/>
        </w:rPr>
        <w:t>CERRADA</w:t>
      </w:r>
    </w:p>
    <w:p w14:paraId="5D616E01" w14:textId="77777777" w:rsidR="002419FE" w:rsidRDefault="00000000">
      <w:pPr>
        <w:pStyle w:val="Ttulo1"/>
      </w:pPr>
      <w:bookmarkStart w:id="5" w:name="_Toc233792525"/>
      <w:r>
        <w:t>Capa 4 — Mensajería y eventos entre servicios</w:t>
      </w:r>
      <w:bookmarkEnd w:id="5"/>
    </w:p>
    <w:p w14:paraId="7DC5F1B4" w14:textId="77777777" w:rsidR="002419FE" w:rsidRDefault="00000000">
      <w:pPr>
        <w:spacing w:after="60" w:line="276" w:lineRule="auto"/>
      </w:pPr>
      <w:r>
        <w:rPr>
          <w:b/>
          <w:bCs/>
          <w:color w:val="1F3A5F"/>
        </w:rPr>
        <w:t xml:space="preserve">Tecnología elegida: </w:t>
      </w:r>
      <w:r>
        <w:t>Cola/</w:t>
      </w:r>
      <w:proofErr w:type="spellStart"/>
      <w:r>
        <w:t>event</w:t>
      </w:r>
      <w:proofErr w:type="spellEnd"/>
      <w:r>
        <w:t xml:space="preserve">-bus basado en </w:t>
      </w:r>
      <w:proofErr w:type="spellStart"/>
      <w:r>
        <w:t>Postgres</w:t>
      </w:r>
      <w:proofErr w:type="spellEnd"/>
      <w:r>
        <w:t xml:space="preserve"> (</w:t>
      </w:r>
      <w:proofErr w:type="spellStart"/>
      <w:r>
        <w:t>pgmq</w:t>
      </w:r>
      <w:proofErr w:type="spellEnd"/>
      <w:r>
        <w:t xml:space="preserve"> sobre </w:t>
      </w:r>
      <w:proofErr w:type="spellStart"/>
      <w:r>
        <w:t>Supabase</w:t>
      </w:r>
      <w:proofErr w:type="spellEnd"/>
      <w:r>
        <w:t xml:space="preserve">) + </w:t>
      </w:r>
      <w:proofErr w:type="spellStart"/>
      <w:r>
        <w:t>Supabase</w:t>
      </w:r>
      <w:proofErr w:type="spellEnd"/>
      <w:r>
        <w:t xml:space="preserve"> </w:t>
      </w:r>
      <w:proofErr w:type="spellStart"/>
      <w:r>
        <w:t>Realtime</w:t>
      </w:r>
      <w:proofErr w:type="spellEnd"/>
      <w:r>
        <w:t xml:space="preserve"> para entrega de señales de mensajería en V1; migración a NATS </w:t>
      </w:r>
      <w:proofErr w:type="spellStart"/>
      <w:r>
        <w:t>JetStream</w:t>
      </w:r>
      <w:proofErr w:type="spellEnd"/>
      <w:r>
        <w:t xml:space="preserve"> o Kafka (MSK </w:t>
      </w:r>
      <w:proofErr w:type="spellStart"/>
      <w:r>
        <w:lastRenderedPageBreak/>
        <w:t>Serverless</w:t>
      </w:r>
      <w:proofErr w:type="spellEnd"/>
      <w:r>
        <w:t>) cuando el volumen de eventos lo exija. Redis pub/sub para fan-</w:t>
      </w:r>
      <w:proofErr w:type="spellStart"/>
      <w:r>
        <w:t>out</w:t>
      </w:r>
      <w:proofErr w:type="spellEnd"/>
      <w:r>
        <w:t xml:space="preserve"> de conexiones </w:t>
      </w:r>
      <w:proofErr w:type="spellStart"/>
      <w:r>
        <w:t>WebSocket</w:t>
      </w:r>
      <w:proofErr w:type="spellEnd"/>
      <w:r>
        <w:t>.</w:t>
      </w:r>
    </w:p>
    <w:p w14:paraId="2DD68253" w14:textId="77777777" w:rsidR="002419FE" w:rsidRDefault="00000000">
      <w:pPr>
        <w:spacing w:after="60" w:line="276" w:lineRule="auto"/>
      </w:pPr>
      <w:r>
        <w:rPr>
          <w:b/>
          <w:bCs/>
          <w:color w:val="1F3A5F"/>
        </w:rPr>
        <w:t xml:space="preserve">Justificación: </w:t>
      </w:r>
      <w:r>
        <w:t xml:space="preserve">El v1.1 ancla todo el desacoplamiento en Apache Kafka (MSK). Kafka es la respuesta correcta a un volumen que aún no existe: con 100 miembros y los </w:t>
      </w:r>
      <w:proofErr w:type="spellStart"/>
      <w:r>
        <w:t>topics</w:t>
      </w:r>
      <w:proofErr w:type="spellEnd"/>
      <w:r>
        <w:t xml:space="preserve"> realmente vivos tras descartar el </w:t>
      </w:r>
      <w:proofErr w:type="spellStart"/>
      <w:r>
        <w:t>Reputation</w:t>
      </w:r>
      <w:proofErr w:type="spellEnd"/>
      <w:r>
        <w:t xml:space="preserve"> Service (</w:t>
      </w:r>
      <w:proofErr w:type="spellStart"/>
      <w:proofErr w:type="gramStart"/>
      <w:r>
        <w:t>stock.updated</w:t>
      </w:r>
      <w:proofErr w:type="spellEnd"/>
      <w:proofErr w:type="gramEnd"/>
      <w:r>
        <w:t xml:space="preserve">, </w:t>
      </w:r>
      <w:proofErr w:type="spellStart"/>
      <w:proofErr w:type="gramStart"/>
      <w:r>
        <w:t>message.sent</w:t>
      </w:r>
      <w:proofErr w:type="spellEnd"/>
      <w:proofErr w:type="gramEnd"/>
      <w:r>
        <w:t xml:space="preserve">, </w:t>
      </w:r>
      <w:proofErr w:type="spellStart"/>
      <w:proofErr w:type="gramStart"/>
      <w:r>
        <w:t>alert.triggered</w:t>
      </w:r>
      <w:proofErr w:type="spellEnd"/>
      <w:proofErr w:type="gramEnd"/>
      <w:r>
        <w:t xml:space="preserve">, </w:t>
      </w:r>
      <w:proofErr w:type="spellStart"/>
      <w:proofErr w:type="gramStart"/>
      <w:r>
        <w:t>ingestion.completed</w:t>
      </w:r>
      <w:proofErr w:type="spellEnd"/>
      <w:proofErr w:type="gramEnd"/>
      <w:r>
        <w:t xml:space="preserve">, </w:t>
      </w:r>
      <w:proofErr w:type="spellStart"/>
      <w:proofErr w:type="gramStart"/>
      <w:r>
        <w:t>user.action</w:t>
      </w:r>
      <w:proofErr w:type="spellEnd"/>
      <w:proofErr w:type="gramEnd"/>
      <w:r>
        <w:t xml:space="preserve">), el </w:t>
      </w:r>
      <w:proofErr w:type="spellStart"/>
      <w:r>
        <w:t>throughput</w:t>
      </w:r>
      <w:proofErr w:type="spellEnd"/>
      <w:r>
        <w:t xml:space="preserve"> es de cientos de eventos por minuto, no millones. </w:t>
      </w:r>
      <w:proofErr w:type="spellStart"/>
      <w:r>
        <w:t>pgmq</w:t>
      </w:r>
      <w:proofErr w:type="spellEnd"/>
      <w:r>
        <w:t xml:space="preserve"> corre dentro del </w:t>
      </w:r>
      <w:proofErr w:type="spellStart"/>
      <w:r>
        <w:t>Postgres</w:t>
      </w:r>
      <w:proofErr w:type="spellEnd"/>
      <w:r>
        <w:t xml:space="preserve"> que ya existe (</w:t>
      </w:r>
      <w:proofErr w:type="gramStart"/>
      <w:r>
        <w:t>cero infraestructura nueva</w:t>
      </w:r>
      <w:proofErr w:type="gramEnd"/>
      <w:r>
        <w:t xml:space="preserve">, transaccionalidad con los datos), y </w:t>
      </w:r>
      <w:proofErr w:type="spellStart"/>
      <w:r>
        <w:t>Supabase</w:t>
      </w:r>
      <w:proofErr w:type="spellEnd"/>
      <w:r>
        <w:t xml:space="preserve"> </w:t>
      </w:r>
      <w:proofErr w:type="spellStart"/>
      <w:r>
        <w:t>Realtime</w:t>
      </w:r>
      <w:proofErr w:type="spellEnd"/>
      <w:r>
        <w:t xml:space="preserve"> entrega al cliente la señal de «hay un mensaje nuevo» — nunca el contenido, que viaja cifrado y se descarga/descifra aparte. El patrón clave a preservar desde el día uno es la entrega incremental de eventos </w:t>
      </w:r>
      <w:proofErr w:type="spellStart"/>
      <w:proofErr w:type="gramStart"/>
      <w:r>
        <w:t>stock.updated</w:t>
      </w:r>
      <w:proofErr w:type="spellEnd"/>
      <w:proofErr w:type="gramEnd"/>
      <w:r>
        <w:t xml:space="preserve"> al evaluador de </w:t>
      </w:r>
      <w:proofErr w:type="spellStart"/>
      <w:r>
        <w:t>Watchers</w:t>
      </w:r>
      <w:proofErr w:type="spellEnd"/>
      <w:r>
        <w:t xml:space="preserve">; eso se diseña idéntico sobre </w:t>
      </w:r>
      <w:proofErr w:type="spellStart"/>
      <w:r>
        <w:t>pgmq</w:t>
      </w:r>
      <w:proofErr w:type="spellEnd"/>
      <w:r>
        <w:t xml:space="preserve"> o sobre Kafka, de modo que la migración no toca la lógica de negocio. Importante: la mensajería E2EE no es un caso de </w:t>
      </w:r>
      <w:proofErr w:type="spellStart"/>
      <w:r>
        <w:t>event</w:t>
      </w:r>
      <w:proofErr w:type="spellEnd"/>
      <w:r>
        <w:t xml:space="preserve">-bus de negocio — es transporte de </w:t>
      </w:r>
      <w:proofErr w:type="spellStart"/>
      <w:r>
        <w:t>ciphertext</w:t>
      </w:r>
      <w:proofErr w:type="spellEnd"/>
      <w:r>
        <w:t xml:space="preserve">; el </w:t>
      </w:r>
      <w:proofErr w:type="spellStart"/>
      <w:r>
        <w:t>broker</w:t>
      </w:r>
      <w:proofErr w:type="spellEnd"/>
      <w:r>
        <w:t xml:space="preserve"> nunca ve texto en claro en ninguna de las dos topologías.</w:t>
      </w:r>
    </w:p>
    <w:p w14:paraId="19526E6A" w14:textId="77777777" w:rsidR="002419FE" w:rsidRDefault="00000000">
      <w:pPr>
        <w:spacing w:after="60" w:line="276" w:lineRule="auto"/>
      </w:pPr>
      <w:r>
        <w:rPr>
          <w:b/>
          <w:bCs/>
          <w:color w:val="1F3A5F"/>
        </w:rPr>
        <w:t xml:space="preserve">Alternativas descartadas: </w:t>
      </w:r>
      <w:r>
        <w:t xml:space="preserve">Apache Kafka / MSK desde el inicio (v1.1): sobredimensionado y caro a la escala de lanzamiento; se mantiene como destino a escala. </w:t>
      </w:r>
      <w:proofErr w:type="spellStart"/>
      <w:r>
        <w:t>RabbitMQ</w:t>
      </w:r>
      <w:proofErr w:type="spellEnd"/>
      <w:r>
        <w:t xml:space="preserve">: buen </w:t>
      </w:r>
      <w:proofErr w:type="spellStart"/>
      <w:proofErr w:type="gramStart"/>
      <w:r>
        <w:t>broker</w:t>
      </w:r>
      <w:proofErr w:type="spellEnd"/>
      <w:proofErr w:type="gramEnd"/>
      <w:r>
        <w:t xml:space="preserve"> pero añade un servicio frente a usar el </w:t>
      </w:r>
      <w:proofErr w:type="spellStart"/>
      <w:r>
        <w:t>Postgres</w:t>
      </w:r>
      <w:proofErr w:type="spellEnd"/>
      <w:r>
        <w:t xml:space="preserve"> existente. SQS/SNS: ata a AWS y fragmenta el plano de datos que </w:t>
      </w:r>
      <w:proofErr w:type="spellStart"/>
      <w:r>
        <w:t>Supabase</w:t>
      </w:r>
      <w:proofErr w:type="spellEnd"/>
      <w:r>
        <w:t xml:space="preserve"> unifica.</w:t>
      </w:r>
    </w:p>
    <w:p w14:paraId="0A629E32" w14:textId="77777777" w:rsidR="002419FE" w:rsidRDefault="00000000">
      <w:pPr>
        <w:spacing w:after="200" w:line="276" w:lineRule="auto"/>
      </w:pPr>
      <w:r>
        <w:rPr>
          <w:b/>
          <w:bCs/>
          <w:color w:val="1F3A5F"/>
        </w:rPr>
        <w:t xml:space="preserve">Estado: </w:t>
      </w:r>
      <w:r>
        <w:rPr>
          <w:b/>
          <w:bCs/>
          <w:color w:val="2E7D32"/>
        </w:rPr>
        <w:t>CERRADA</w:t>
      </w:r>
      <w:r>
        <w:t xml:space="preserve"> — migración a NATS/Kafka es </w:t>
      </w:r>
      <w:proofErr w:type="spellStart"/>
      <w:r>
        <w:t>trigger</w:t>
      </w:r>
      <w:proofErr w:type="spellEnd"/>
      <w:r>
        <w:t xml:space="preserve"> de escala, no decisión pendiente.</w:t>
      </w:r>
    </w:p>
    <w:p w14:paraId="045B94CC" w14:textId="77777777" w:rsidR="002419FE" w:rsidRDefault="00000000">
      <w:pPr>
        <w:pStyle w:val="Ttulo1"/>
      </w:pPr>
      <w:bookmarkStart w:id="6" w:name="_Toc233792526"/>
      <w:r>
        <w:t>Capa 5 — Agente conversacional VERA</w:t>
      </w:r>
      <w:bookmarkEnd w:id="6"/>
    </w:p>
    <w:p w14:paraId="4868052A" w14:textId="77777777" w:rsidR="002419FE" w:rsidRDefault="00000000">
      <w:pPr>
        <w:spacing w:after="60" w:line="276" w:lineRule="auto"/>
      </w:pPr>
      <w:r>
        <w:rPr>
          <w:b/>
          <w:bCs/>
          <w:color w:val="1F3A5F"/>
        </w:rPr>
        <w:t xml:space="preserve">Tecnología elegida: </w:t>
      </w:r>
      <w:r>
        <w:t>Claude Sonnet 4.6 (</w:t>
      </w:r>
      <w:proofErr w:type="spellStart"/>
      <w:r>
        <w:t>Anthropic</w:t>
      </w:r>
      <w:proofErr w:type="spellEnd"/>
      <w:r>
        <w:t xml:space="preserve">) como modelo de VERA en producción (QA-A00-06, cerrada). Orquestación de </w:t>
      </w:r>
      <w:proofErr w:type="spellStart"/>
      <w:r>
        <w:t>tool</w:t>
      </w:r>
      <w:proofErr w:type="spellEnd"/>
      <w:r>
        <w:t xml:space="preserve">-use vía el SDK oficial de </w:t>
      </w:r>
      <w:proofErr w:type="spellStart"/>
      <w:r>
        <w:t>Anthropic</w:t>
      </w:r>
      <w:proofErr w:type="spellEnd"/>
      <w:r>
        <w:t xml:space="preserve"> con un grafo de herramientas ligero (sin </w:t>
      </w:r>
      <w:proofErr w:type="spellStart"/>
      <w:r>
        <w:t>framework</w:t>
      </w:r>
      <w:proofErr w:type="spellEnd"/>
      <w:r>
        <w:t xml:space="preserve"> pesado en </w:t>
      </w:r>
      <w:proofErr w:type="spellStart"/>
      <w:r>
        <w:t>runtime</w:t>
      </w:r>
      <w:proofErr w:type="spellEnd"/>
      <w:r>
        <w:t xml:space="preserve">). Herramientas: búsqueda en </w:t>
      </w:r>
      <w:proofErr w:type="spellStart"/>
      <w:r>
        <w:t>Typesense</w:t>
      </w:r>
      <w:proofErr w:type="spellEnd"/>
      <w:r>
        <w:t xml:space="preserve">, búsqueda por lotes, mapeo de columnas en ingesta, y gestión de </w:t>
      </w:r>
      <w:proofErr w:type="spellStart"/>
      <w:r>
        <w:t>Watchers</w:t>
      </w:r>
      <w:proofErr w:type="spellEnd"/>
      <w:r>
        <w:t xml:space="preserve">. Memoria de contexto vía </w:t>
      </w:r>
      <w:proofErr w:type="spellStart"/>
      <w:r>
        <w:t>pgvector</w:t>
      </w:r>
      <w:proofErr w:type="spellEnd"/>
      <w:r>
        <w:t xml:space="preserve"> (</w:t>
      </w:r>
      <w:proofErr w:type="spellStart"/>
      <w:r>
        <w:t>embeddings</w:t>
      </w:r>
      <w:proofErr w:type="spellEnd"/>
      <w:r>
        <w:t xml:space="preserve"> de preferencias y consultas), estrictamente sobre datos NO cifrados. </w:t>
      </w:r>
      <w:proofErr w:type="spellStart"/>
      <w:r>
        <w:t>Prompt</w:t>
      </w:r>
      <w:proofErr w:type="spellEnd"/>
      <w:r>
        <w:t xml:space="preserve"> </w:t>
      </w:r>
      <w:proofErr w:type="spellStart"/>
      <w:r>
        <w:t>caching</w:t>
      </w:r>
      <w:proofErr w:type="spellEnd"/>
      <w:r>
        <w:t xml:space="preserve"> del </w:t>
      </w:r>
      <w:proofErr w:type="spellStart"/>
      <w:r>
        <w:t>system</w:t>
      </w:r>
      <w:proofErr w:type="spellEnd"/>
      <w:r>
        <w:t xml:space="preserve"> </w:t>
      </w:r>
      <w:proofErr w:type="spellStart"/>
      <w:r>
        <w:t>prompt</w:t>
      </w:r>
      <w:proofErr w:type="spellEnd"/>
      <w:r>
        <w:t xml:space="preserve"> + definiciones de herramientas + esquema de stock.</w:t>
      </w:r>
    </w:p>
    <w:p w14:paraId="599AF8CB" w14:textId="77777777" w:rsidR="002419FE" w:rsidRDefault="00000000">
      <w:pPr>
        <w:spacing w:after="60" w:line="276" w:lineRule="auto"/>
      </w:pPr>
      <w:r>
        <w:rPr>
          <w:b/>
          <w:bCs/>
          <w:color w:val="1F3A5F"/>
        </w:rPr>
        <w:t xml:space="preserve">Justificación: </w:t>
      </w:r>
      <w:r>
        <w:t xml:space="preserve">VERA es la capa primaria de interacción (Módulo 00) y sustituye el formulario de </w:t>
      </w:r>
      <w:proofErr w:type="spellStart"/>
      <w:r>
        <w:t>BearingNet</w:t>
      </w:r>
      <w:proofErr w:type="spellEnd"/>
      <w:r>
        <w:t xml:space="preserve"> por lenguaje natural con consulta única, por lotes y aprendizaje de preferencias (PRD §5.1). Claude está fijado por QA-A00-06; dentro de la familia, Sonnet 4.6 es el punto correcto coste/calidad para un bucle conversacional de alto volumen con </w:t>
      </w:r>
      <w:proofErr w:type="spellStart"/>
      <w:r>
        <w:t>tool</w:t>
      </w:r>
      <w:proofErr w:type="spellEnd"/>
      <w:r>
        <w:t xml:space="preserve">-use (Opus se reserva para el orquestador de desarrollo, no para </w:t>
      </w:r>
      <w:proofErr w:type="spellStart"/>
      <w:r>
        <w:t>runtime</w:t>
      </w:r>
      <w:proofErr w:type="spellEnd"/>
      <w:r>
        <w:t xml:space="preserve"> por miembro). El requisito no negociable que condiciona el diseño: VERA opera bajo </w:t>
      </w:r>
      <w:proofErr w:type="spellStart"/>
      <w:r>
        <w:t>zero-knowledge</w:t>
      </w:r>
      <w:proofErr w:type="spellEnd"/>
      <w:r>
        <w:t xml:space="preserve">, así que su «memoria» y su aprendizaje de preferencias se construyen exclusivamente sobre datos que el servidor sí puede ver legítimamente —comportamiento de búsqueda, filtros recurrentes, disponibilidad pública de stock— y nunca sobre precios, cantidades de negociación o mensajes (que son </w:t>
      </w:r>
      <w:proofErr w:type="spellStart"/>
      <w:r>
        <w:t>ciphertext</w:t>
      </w:r>
      <w:proofErr w:type="spellEnd"/>
      <w:r>
        <w:t xml:space="preserve"> y a los que ni VERA ni el servidor tienen clave). El razonamiento sobre contenido cifrado, si alguna vez se ofreciera, tendría que ocurrir en el cliente con la clave del miembro; queda fuera de V1. El </w:t>
      </w:r>
      <w:proofErr w:type="spellStart"/>
      <w:r>
        <w:t>prompt</w:t>
      </w:r>
      <w:proofErr w:type="spellEnd"/>
      <w:r>
        <w:t xml:space="preserve"> </w:t>
      </w:r>
      <w:proofErr w:type="spellStart"/>
      <w:r>
        <w:t>caching</w:t>
      </w:r>
      <w:proofErr w:type="spellEnd"/>
      <w:r>
        <w:t xml:space="preserve"> sobre el </w:t>
      </w:r>
      <w:proofErr w:type="spellStart"/>
      <w:r>
        <w:t>system</w:t>
      </w:r>
      <w:proofErr w:type="spellEnd"/>
      <w:r>
        <w:t xml:space="preserve"> </w:t>
      </w:r>
      <w:proofErr w:type="spellStart"/>
      <w:r>
        <w:t>prompt</w:t>
      </w:r>
      <w:proofErr w:type="spellEnd"/>
      <w:r>
        <w:t xml:space="preserve"> y el esquema (estáticos por consulta) reduce ~90% el coste de la porción cacheada del input, que es la decisión económica que hace sostenible el modelo de coste (Capa 12).</w:t>
      </w:r>
    </w:p>
    <w:p w14:paraId="29476A1A" w14:textId="77777777" w:rsidR="002419FE" w:rsidRDefault="00000000">
      <w:pPr>
        <w:spacing w:after="60" w:line="276" w:lineRule="auto"/>
      </w:pPr>
      <w:r>
        <w:rPr>
          <w:b/>
          <w:bCs/>
          <w:color w:val="1F3A5F"/>
        </w:rPr>
        <w:t xml:space="preserve">Alternativas descartadas: </w:t>
      </w:r>
      <w:r>
        <w:t xml:space="preserve">Claude Opus 4.8 para VERA en </w:t>
      </w:r>
      <w:proofErr w:type="spellStart"/>
      <w:r>
        <w:t>runtime</w:t>
      </w:r>
      <w:proofErr w:type="spellEnd"/>
      <w:r>
        <w:t xml:space="preserve">: calidad </w:t>
      </w:r>
      <w:proofErr w:type="gramStart"/>
      <w:r>
        <w:t>superior</w:t>
      </w:r>
      <w:proofErr w:type="gramEnd"/>
      <w:r>
        <w:t xml:space="preserve"> pero 1,7× el coste de input y de output de Sonnet, injustificable para 176+ llamadas/miembro/mes. </w:t>
      </w:r>
      <w:proofErr w:type="spellStart"/>
      <w:r>
        <w:t>Frameworks</w:t>
      </w:r>
      <w:proofErr w:type="spellEnd"/>
      <w:r>
        <w:t xml:space="preserve"> de orquestación pesados (</w:t>
      </w:r>
      <w:proofErr w:type="spellStart"/>
      <w:r>
        <w:t>LangChain</w:t>
      </w:r>
      <w:proofErr w:type="spellEnd"/>
      <w:r>
        <w:t xml:space="preserve">) en el camino del usuario: añaden latencia y capas de abstracción frágiles; el SDK de </w:t>
      </w:r>
      <w:proofErr w:type="spellStart"/>
      <w:r>
        <w:t>Anthropic</w:t>
      </w:r>
      <w:proofErr w:type="spellEnd"/>
      <w:r>
        <w:t xml:space="preserve"> con </w:t>
      </w:r>
      <w:proofErr w:type="spellStart"/>
      <w:r>
        <w:t>tool</w:t>
      </w:r>
      <w:proofErr w:type="spellEnd"/>
      <w:r>
        <w:t xml:space="preserve">-use nativo es suficiente y más auditable. RAG sobre datos cifrados: imposible por diseño </w:t>
      </w:r>
      <w:proofErr w:type="spellStart"/>
      <w:r>
        <w:t>zero-knowledge</w:t>
      </w:r>
      <w:proofErr w:type="spellEnd"/>
      <w:r>
        <w:t>.</w:t>
      </w:r>
    </w:p>
    <w:p w14:paraId="33BE1F91" w14:textId="77777777" w:rsidR="002419FE" w:rsidRDefault="00000000">
      <w:pPr>
        <w:spacing w:after="200" w:line="276" w:lineRule="auto"/>
      </w:pPr>
      <w:r>
        <w:rPr>
          <w:b/>
          <w:bCs/>
          <w:color w:val="1F3A5F"/>
        </w:rPr>
        <w:lastRenderedPageBreak/>
        <w:t xml:space="preserve">Estado: </w:t>
      </w:r>
      <w:r>
        <w:rPr>
          <w:b/>
          <w:bCs/>
          <w:color w:val="2E7D32"/>
        </w:rPr>
        <w:t>CERRADA</w:t>
      </w:r>
    </w:p>
    <w:p w14:paraId="1FCDD964" w14:textId="77777777" w:rsidR="002419FE" w:rsidRDefault="00000000">
      <w:pPr>
        <w:pStyle w:val="Ttulo1"/>
      </w:pPr>
      <w:bookmarkStart w:id="7" w:name="_Toc233792527"/>
      <w:r>
        <w:t>Capa 6 — Orquestación de agentes de desarrollo</w:t>
      </w:r>
      <w:bookmarkEnd w:id="7"/>
    </w:p>
    <w:p w14:paraId="37199165" w14:textId="77777777" w:rsidR="002419FE" w:rsidRDefault="00000000">
      <w:pPr>
        <w:spacing w:after="60" w:line="276" w:lineRule="auto"/>
      </w:pPr>
      <w:r>
        <w:rPr>
          <w:b/>
          <w:bCs/>
          <w:color w:val="1F3A5F"/>
        </w:rPr>
        <w:t xml:space="preserve">Tecnología elegida: </w:t>
      </w:r>
      <w:proofErr w:type="spellStart"/>
      <w:r>
        <w:t>LangGraph</w:t>
      </w:r>
      <w:proofErr w:type="spellEnd"/>
      <w:r>
        <w:t xml:space="preserve"> como orquestador del pipeline de implementación (</w:t>
      </w:r>
      <w:proofErr w:type="spellStart"/>
      <w:r>
        <w:t>subfases</w:t>
      </w:r>
      <w:proofErr w:type="spellEnd"/>
      <w:r>
        <w:t xml:space="preserve"> E y F del SDD). Arquitectura de dos modelos: Claude Opus 4.8 en los nodos de orquestación/decisión; GLM-5.2 (Z.AI, 753B </w:t>
      </w:r>
      <w:proofErr w:type="spellStart"/>
      <w:r>
        <w:t>MoE</w:t>
      </w:r>
      <w:proofErr w:type="spellEnd"/>
      <w:r>
        <w:t xml:space="preserve">, contexto 1M, vía </w:t>
      </w:r>
      <w:proofErr w:type="spellStart"/>
      <w:r>
        <w:t>DeepInfra</w:t>
      </w:r>
      <w:proofErr w:type="spellEnd"/>
      <w:r>
        <w:t>) en los nodos de ejecución de código.</w:t>
      </w:r>
    </w:p>
    <w:p w14:paraId="6AEB8EC7" w14:textId="77777777" w:rsidR="002419FE" w:rsidRDefault="00000000">
      <w:pPr>
        <w:spacing w:after="60" w:line="276" w:lineRule="auto"/>
      </w:pPr>
      <w:r>
        <w:rPr>
          <w:b/>
          <w:bCs/>
          <w:color w:val="1F3A5F"/>
        </w:rPr>
        <w:t xml:space="preserve">Justificación: </w:t>
      </w:r>
      <w:r>
        <w:t xml:space="preserve">Esta es la fábrica que construye Ringworld.io, no parte del producto en </w:t>
      </w:r>
      <w:proofErr w:type="spellStart"/>
      <w:r>
        <w:t>runtime</w:t>
      </w:r>
      <w:proofErr w:type="spellEnd"/>
      <w:r>
        <w:t xml:space="preserve">; su criterio es </w:t>
      </w:r>
      <w:proofErr w:type="spellStart"/>
      <w:r>
        <w:t>throughput</w:t>
      </w:r>
      <w:proofErr w:type="spellEnd"/>
      <w:r>
        <w:t xml:space="preserve"> de implementación fiable contra </w:t>
      </w:r>
      <w:proofErr w:type="spellStart"/>
      <w:r>
        <w:t>specs</w:t>
      </w:r>
      <w:proofErr w:type="spellEnd"/>
      <w:r>
        <w:t xml:space="preserve"> (</w:t>
      </w:r>
      <w:proofErr w:type="spellStart"/>
      <w:r>
        <w:t>OpenSpec</w:t>
      </w:r>
      <w:proofErr w:type="spellEnd"/>
      <w:r>
        <w:t xml:space="preserve">) y design.md/tasks.md. </w:t>
      </w:r>
      <w:proofErr w:type="spellStart"/>
      <w:r>
        <w:t>LangGraph</w:t>
      </w:r>
      <w:proofErr w:type="spellEnd"/>
      <w:r>
        <w:t xml:space="preserve"> (cerrado) aporta el grafo con estado, ciclos e interrupciones humanas (escalado al </w:t>
      </w:r>
      <w:proofErr w:type="spellStart"/>
      <w:r>
        <w:t>Product</w:t>
      </w:r>
      <w:proofErr w:type="spellEnd"/>
      <w:r>
        <w:t xml:space="preserve"> Owner) que un pipeline SDD necesita. El reparto de modelos responde a roles: Opus 4.8 razona, coordina y evalúa criterios de salida del </w:t>
      </w:r>
      <w:proofErr w:type="spellStart"/>
      <w:r>
        <w:t>loop</w:t>
      </w:r>
      <w:proofErr w:type="spellEnd"/>
      <w:r>
        <w:t xml:space="preserve"> —decisiones de bajo volumen y alto coste de error, donde su calidad amortiza su precio—; GLM-5.2 genera y edita código en </w:t>
      </w:r>
      <w:proofErr w:type="spellStart"/>
      <w:r>
        <w:t>loops</w:t>
      </w:r>
      <w:proofErr w:type="spellEnd"/>
      <w:r>
        <w:t xml:space="preserve"> largos —alto volumen de tokens, contexto de 1M estable bajo trayectorias de </w:t>
      </w:r>
      <w:proofErr w:type="spellStart"/>
      <w:r>
        <w:t>coding-agent</w:t>
      </w:r>
      <w:proofErr w:type="spellEnd"/>
      <w:r>
        <w:t>, y a $1,20/$3,00 por millón (</w:t>
      </w:r>
      <w:proofErr w:type="spellStart"/>
      <w:r>
        <w:t>DeepInfra</w:t>
      </w:r>
      <w:proofErr w:type="spellEnd"/>
      <w:r>
        <w:t xml:space="preserve">) hace económicamente viable iterar. La verificación del código que produce GLM-5.2 la cierran </w:t>
      </w:r>
      <w:proofErr w:type="spellStart"/>
      <w:r>
        <w:t>Playwright</w:t>
      </w:r>
      <w:proofErr w:type="spellEnd"/>
      <w:r>
        <w:t xml:space="preserve"> (E2E) y la suite de </w:t>
      </w:r>
      <w:proofErr w:type="spellStart"/>
      <w:r>
        <w:t>tests</w:t>
      </w:r>
      <w:proofErr w:type="spellEnd"/>
      <w:r>
        <w:t xml:space="preserve"> (Capa 9), y </w:t>
      </w:r>
      <w:proofErr w:type="spellStart"/>
      <w:r>
        <w:t>Snyk</w:t>
      </w:r>
      <w:proofErr w:type="spellEnd"/>
      <w:r>
        <w:t xml:space="preserve"> (Capa 8) la audita; el orquestador Opus decide si el </w:t>
      </w:r>
      <w:proofErr w:type="spellStart"/>
      <w:r>
        <w:t>loop</w:t>
      </w:r>
      <w:proofErr w:type="spellEnd"/>
      <w:r>
        <w:t xml:space="preserve"> converge o escala.</w:t>
      </w:r>
    </w:p>
    <w:p w14:paraId="69D1663F" w14:textId="77777777" w:rsidR="002419FE" w:rsidRDefault="00000000">
      <w:pPr>
        <w:pStyle w:val="Ttulo3"/>
      </w:pPr>
      <w:r>
        <w:t>Asignación de modelo por nodo del grafo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419FE" w14:paraId="3928CA84" w14:textId="77777777">
        <w:tblPrEx>
          <w:tblCellMar>
            <w:top w:w="0" w:type="dxa"/>
            <w:bottom w:w="0" w:type="dxa"/>
          </w:tblCellMar>
        </w:tblPrEx>
        <w:trPr>
          <w:tblHeader/>
        </w:trPr>
        <w:tc>
          <w:tcPr>
            <w:tcW w:w="312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214C65C4" w14:textId="77777777" w:rsidR="002419FE" w:rsidRDefault="00000000">
            <w:pPr>
              <w:spacing w:line="252" w:lineRule="auto"/>
            </w:pPr>
            <w:r>
              <w:rPr>
                <w:b/>
                <w:bCs/>
                <w:color w:val="FFFFFF"/>
              </w:rPr>
              <w:t xml:space="preserve">Nodo </w:t>
            </w:r>
            <w:proofErr w:type="spellStart"/>
            <w:r>
              <w:rPr>
                <w:b/>
                <w:bCs/>
                <w:color w:val="FFFFFF"/>
              </w:rPr>
              <w:t>LangGraph</w:t>
            </w:r>
            <w:proofErr w:type="spellEnd"/>
          </w:p>
        </w:tc>
        <w:tc>
          <w:tcPr>
            <w:tcW w:w="312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0AE8D2BE" w14:textId="77777777" w:rsidR="002419FE" w:rsidRDefault="00000000">
            <w:pPr>
              <w:spacing w:line="252" w:lineRule="auto"/>
            </w:pPr>
            <w:r>
              <w:rPr>
                <w:b/>
                <w:bCs/>
                <w:color w:val="FFFFFF"/>
              </w:rPr>
              <w:t>Modelo</w:t>
            </w:r>
          </w:p>
        </w:tc>
        <w:tc>
          <w:tcPr>
            <w:tcW w:w="312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20E981E4" w14:textId="77777777" w:rsidR="002419FE" w:rsidRDefault="00000000">
            <w:pPr>
              <w:spacing w:line="252" w:lineRule="auto"/>
            </w:pPr>
            <w:r>
              <w:rPr>
                <w:b/>
                <w:bCs/>
                <w:color w:val="FFFFFF"/>
              </w:rPr>
              <w:t>Rol</w:t>
            </w:r>
          </w:p>
        </w:tc>
      </w:tr>
      <w:tr w:rsidR="002419FE" w14:paraId="503C6349"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CEDF6C1" w14:textId="77777777" w:rsidR="002419FE" w:rsidRDefault="00000000">
            <w:pPr>
              <w:spacing w:line="252" w:lineRule="auto"/>
            </w:pPr>
            <w:proofErr w:type="spellStart"/>
            <w:r>
              <w:t>Planner</w:t>
            </w:r>
            <w:proofErr w:type="spellEnd"/>
            <w:r>
              <w:t xml:space="preserve"> / descomposición de tasks.md</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0202AED" w14:textId="77777777" w:rsidR="002419FE" w:rsidRDefault="00000000">
            <w:pPr>
              <w:spacing w:line="252" w:lineRule="auto"/>
            </w:pPr>
            <w:r>
              <w:t>Opus 4.8</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D1B6D48" w14:textId="77777777" w:rsidR="002419FE" w:rsidRDefault="00000000">
            <w:pPr>
              <w:spacing w:line="252" w:lineRule="auto"/>
            </w:pPr>
            <w:r>
              <w:t xml:space="preserve">Lee </w:t>
            </w:r>
            <w:proofErr w:type="spellStart"/>
            <w:r>
              <w:t>spec</w:t>
            </w:r>
            <w:proofErr w:type="spellEnd"/>
            <w:r>
              <w:t xml:space="preserve"> + </w:t>
            </w:r>
            <w:proofErr w:type="spellStart"/>
            <w:r>
              <w:t>design</w:t>
            </w:r>
            <w:proofErr w:type="spellEnd"/>
            <w:r>
              <w:t>, ordena tareas, define criterios de salida.</w:t>
            </w:r>
          </w:p>
        </w:tc>
      </w:tr>
      <w:tr w:rsidR="002419FE" w14:paraId="19B6C072"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7B9C09C" w14:textId="77777777" w:rsidR="002419FE" w:rsidRDefault="00000000">
            <w:pPr>
              <w:spacing w:line="252" w:lineRule="auto"/>
            </w:pPr>
            <w:r>
              <w:rPr>
                <w:color w:val="000000"/>
              </w:rPr>
              <w:t>Coder / implementación</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C1EF962" w14:textId="77777777" w:rsidR="002419FE" w:rsidRDefault="00000000">
            <w:pPr>
              <w:spacing w:line="252" w:lineRule="auto"/>
            </w:pPr>
            <w:r>
              <w:rPr>
                <w:color w:val="000000"/>
              </w:rPr>
              <w:t>GLM-5.2</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B522733" w14:textId="77777777" w:rsidR="002419FE" w:rsidRDefault="00000000">
            <w:pPr>
              <w:spacing w:line="252" w:lineRule="auto"/>
            </w:pPr>
            <w:r>
              <w:rPr>
                <w:color w:val="000000"/>
              </w:rPr>
              <w:t xml:space="preserve">Genera y edita código contra </w:t>
            </w:r>
            <w:proofErr w:type="spellStart"/>
            <w:r>
              <w:rPr>
                <w:color w:val="000000"/>
              </w:rPr>
              <w:t>spec</w:t>
            </w:r>
            <w:proofErr w:type="spellEnd"/>
            <w:r>
              <w:rPr>
                <w:color w:val="000000"/>
              </w:rPr>
              <w:t xml:space="preserve"> y design.md.</w:t>
            </w:r>
          </w:p>
        </w:tc>
      </w:tr>
      <w:tr w:rsidR="002419FE" w14:paraId="4428D44B"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301A511" w14:textId="77777777" w:rsidR="002419FE" w:rsidRDefault="00000000">
            <w:pPr>
              <w:spacing w:line="252" w:lineRule="auto"/>
            </w:pPr>
            <w:r>
              <w:t xml:space="preserve">Test-runner / </w:t>
            </w:r>
            <w:proofErr w:type="spellStart"/>
            <w:r>
              <w:t>loop</w:t>
            </w:r>
            <w:proofErr w:type="spellEnd"/>
            <w:r>
              <w:t xml:space="preserve"> de verificación</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12633E0" w14:textId="77777777" w:rsidR="002419FE" w:rsidRDefault="00000000">
            <w:pPr>
              <w:spacing w:line="252" w:lineRule="auto"/>
            </w:pPr>
            <w:r>
              <w:t>GLM-5.2</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1A0E2C7" w14:textId="77777777" w:rsidR="002419FE" w:rsidRDefault="00000000">
            <w:pPr>
              <w:spacing w:line="252" w:lineRule="auto"/>
            </w:pPr>
            <w:r>
              <w:t xml:space="preserve">Escribe y corre </w:t>
            </w:r>
            <w:proofErr w:type="spellStart"/>
            <w:r>
              <w:t>tests</w:t>
            </w:r>
            <w:proofErr w:type="spellEnd"/>
            <w:r>
              <w:t>, itera sobre fallos (</w:t>
            </w:r>
            <w:proofErr w:type="spellStart"/>
            <w:r>
              <w:t>Playwright</w:t>
            </w:r>
            <w:proofErr w:type="spellEnd"/>
            <w:r>
              <w:t>/</w:t>
            </w:r>
            <w:proofErr w:type="spellStart"/>
            <w:r>
              <w:t>unit</w:t>
            </w:r>
            <w:proofErr w:type="spellEnd"/>
            <w:r>
              <w:t>).</w:t>
            </w:r>
          </w:p>
        </w:tc>
      </w:tr>
      <w:tr w:rsidR="002419FE" w14:paraId="175A7EF1"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D651F94" w14:textId="77777777" w:rsidR="002419FE" w:rsidRDefault="00000000">
            <w:pPr>
              <w:spacing w:line="252" w:lineRule="auto"/>
            </w:pPr>
            <w:proofErr w:type="spellStart"/>
            <w:r>
              <w:rPr>
                <w:color w:val="000000"/>
              </w:rPr>
              <w:t>Evaluator</w:t>
            </w:r>
            <w:proofErr w:type="spellEnd"/>
            <w:r>
              <w:rPr>
                <w:color w:val="000000"/>
              </w:rPr>
              <w:t xml:space="preserve"> / </w:t>
            </w:r>
            <w:proofErr w:type="spellStart"/>
            <w:r>
              <w:rPr>
                <w:color w:val="000000"/>
              </w:rPr>
              <w:t>exit-criteria</w:t>
            </w:r>
            <w:proofErr w:type="spellEnd"/>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B7964E7" w14:textId="77777777" w:rsidR="002419FE" w:rsidRDefault="00000000">
            <w:pPr>
              <w:spacing w:line="252" w:lineRule="auto"/>
            </w:pPr>
            <w:r>
              <w:rPr>
                <w:color w:val="000000"/>
              </w:rPr>
              <w:t>Opus 4.8</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B20E0BC" w14:textId="77777777" w:rsidR="002419FE" w:rsidRDefault="00000000">
            <w:pPr>
              <w:spacing w:line="252" w:lineRule="auto"/>
            </w:pPr>
            <w:r>
              <w:rPr>
                <w:color w:val="000000"/>
              </w:rPr>
              <w:t xml:space="preserve">Evalúa si se cumplen los criterios de salida del </w:t>
            </w:r>
            <w:proofErr w:type="spellStart"/>
            <w:r>
              <w:rPr>
                <w:color w:val="000000"/>
              </w:rPr>
              <w:t>loop</w:t>
            </w:r>
            <w:proofErr w:type="spellEnd"/>
            <w:r>
              <w:rPr>
                <w:color w:val="000000"/>
              </w:rPr>
              <w:t>.</w:t>
            </w:r>
          </w:p>
        </w:tc>
      </w:tr>
      <w:tr w:rsidR="002419FE" w14:paraId="40103D69"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5C49395" w14:textId="77777777" w:rsidR="002419FE" w:rsidRPr="008736EE" w:rsidRDefault="00000000">
            <w:pPr>
              <w:spacing w:line="252" w:lineRule="auto"/>
              <w:rPr>
                <w:lang w:val="en-US"/>
              </w:rPr>
            </w:pPr>
            <w:r w:rsidRPr="008736EE">
              <w:rPr>
                <w:lang w:val="en-US"/>
              </w:rPr>
              <w:t>Escalation / Human-in-the-loop</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15E7F29" w14:textId="77777777" w:rsidR="002419FE" w:rsidRDefault="00000000">
            <w:pPr>
              <w:spacing w:line="252" w:lineRule="auto"/>
            </w:pPr>
            <w:r>
              <w:t>Opus 4.8</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1414567" w14:textId="77777777" w:rsidR="002419FE" w:rsidRDefault="00000000">
            <w:pPr>
              <w:spacing w:line="252" w:lineRule="auto"/>
            </w:pPr>
            <w:r>
              <w:t xml:space="preserve">Decide y formula el escalado al </w:t>
            </w:r>
            <w:proofErr w:type="spellStart"/>
            <w:r>
              <w:t>Product</w:t>
            </w:r>
            <w:proofErr w:type="spellEnd"/>
            <w:r>
              <w:t xml:space="preserve"> Owner.</w:t>
            </w:r>
          </w:p>
        </w:tc>
      </w:tr>
      <w:tr w:rsidR="002419FE" w14:paraId="0B6FF0CB"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A10B971" w14:textId="77777777" w:rsidR="002419FE" w:rsidRDefault="00000000">
            <w:pPr>
              <w:spacing w:line="252" w:lineRule="auto"/>
            </w:pPr>
            <w:proofErr w:type="spellStart"/>
            <w:r>
              <w:rPr>
                <w:color w:val="000000"/>
              </w:rPr>
              <w:t>Reviewer</w:t>
            </w:r>
            <w:proofErr w:type="spellEnd"/>
            <w:r>
              <w:rPr>
                <w:color w:val="000000"/>
              </w:rPr>
              <w:t xml:space="preserve"> / coherencia con </w:t>
            </w:r>
            <w:proofErr w:type="spellStart"/>
            <w:r>
              <w:rPr>
                <w:color w:val="000000"/>
              </w:rPr>
              <w:t>specs</w:t>
            </w:r>
            <w:proofErr w:type="spellEnd"/>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EA6F040" w14:textId="77777777" w:rsidR="002419FE" w:rsidRDefault="00000000">
            <w:pPr>
              <w:spacing w:line="252" w:lineRule="auto"/>
            </w:pPr>
            <w:r>
              <w:rPr>
                <w:color w:val="000000"/>
              </w:rPr>
              <w:t>Opus 4.8</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55BBD09" w14:textId="77777777" w:rsidR="002419FE" w:rsidRDefault="00000000">
            <w:pPr>
              <w:spacing w:line="252" w:lineRule="auto"/>
            </w:pPr>
            <w:r>
              <w:rPr>
                <w:color w:val="000000"/>
              </w:rPr>
              <w:t xml:space="preserve">Detecta deriva respecto a </w:t>
            </w:r>
            <w:proofErr w:type="spellStart"/>
            <w:r>
              <w:rPr>
                <w:color w:val="000000"/>
              </w:rPr>
              <w:t>OpenSpec</w:t>
            </w:r>
            <w:proofErr w:type="spellEnd"/>
            <w:r>
              <w:rPr>
                <w:color w:val="000000"/>
              </w:rPr>
              <w:t xml:space="preserve"> antes de cerrar el </w:t>
            </w:r>
            <w:proofErr w:type="spellStart"/>
            <w:r>
              <w:rPr>
                <w:color w:val="000000"/>
              </w:rPr>
              <w:t>change</w:t>
            </w:r>
            <w:proofErr w:type="spellEnd"/>
            <w:r>
              <w:rPr>
                <w:color w:val="000000"/>
              </w:rPr>
              <w:t>.</w:t>
            </w:r>
          </w:p>
        </w:tc>
      </w:tr>
    </w:tbl>
    <w:p w14:paraId="60754C26" w14:textId="77777777" w:rsidR="002419FE" w:rsidRDefault="00000000">
      <w:pPr>
        <w:spacing w:after="200" w:line="276" w:lineRule="auto"/>
      </w:pPr>
      <w:r>
        <w:rPr>
          <w:b/>
          <w:bCs/>
          <w:color w:val="1F3A5F"/>
        </w:rPr>
        <w:t xml:space="preserve">Estado: </w:t>
      </w:r>
      <w:r>
        <w:rPr>
          <w:b/>
          <w:bCs/>
          <w:color w:val="2E7D32"/>
        </w:rPr>
        <w:t>CERRADA</w:t>
      </w:r>
    </w:p>
    <w:p w14:paraId="0EF734AF" w14:textId="77777777" w:rsidR="002419FE" w:rsidRDefault="00000000">
      <w:pPr>
        <w:pStyle w:val="Ttulo1"/>
      </w:pPr>
      <w:bookmarkStart w:id="8" w:name="_Toc233792528"/>
      <w:r>
        <w:t>Capa 7 — Infraestructura y despliegue</w:t>
      </w:r>
      <w:bookmarkEnd w:id="8"/>
    </w:p>
    <w:p w14:paraId="3CACE01C" w14:textId="77777777" w:rsidR="002419FE" w:rsidRDefault="00000000">
      <w:pPr>
        <w:spacing w:after="60" w:line="276" w:lineRule="auto"/>
      </w:pPr>
      <w:r>
        <w:rPr>
          <w:b/>
          <w:bCs/>
          <w:color w:val="1F3A5F"/>
        </w:rPr>
        <w:t xml:space="preserve">Tecnología elegida: </w:t>
      </w:r>
      <w:proofErr w:type="spellStart"/>
      <w:r>
        <w:t>Cloudflare</w:t>
      </w:r>
      <w:proofErr w:type="spellEnd"/>
      <w:r>
        <w:t xml:space="preserve"> en el borde (CDN + WAF + </w:t>
      </w:r>
      <w:proofErr w:type="spellStart"/>
      <w:r>
        <w:t>Workers</w:t>
      </w:r>
      <w:proofErr w:type="spellEnd"/>
      <w:r>
        <w:t>, enrutado EU-</w:t>
      </w:r>
      <w:proofErr w:type="spellStart"/>
      <w:r>
        <w:t>first</w:t>
      </w:r>
      <w:proofErr w:type="spellEnd"/>
      <w:r>
        <w:t xml:space="preserve">). </w:t>
      </w:r>
      <w:proofErr w:type="spellStart"/>
      <w:r>
        <w:t>Supabase</w:t>
      </w:r>
      <w:proofErr w:type="spellEnd"/>
      <w:r>
        <w:t xml:space="preserve"> gestionado para datos/</w:t>
      </w:r>
      <w:proofErr w:type="spellStart"/>
      <w:r>
        <w:t>auth</w:t>
      </w:r>
      <w:proofErr w:type="spellEnd"/>
      <w:r>
        <w:t>/</w:t>
      </w:r>
      <w:proofErr w:type="spellStart"/>
      <w:r>
        <w:t>storage</w:t>
      </w:r>
      <w:proofErr w:type="spellEnd"/>
      <w:r>
        <w:t>. Contenedores de aplicación (</w:t>
      </w:r>
      <w:proofErr w:type="spellStart"/>
      <w:r>
        <w:t>NestJS</w:t>
      </w:r>
      <w:proofErr w:type="spellEnd"/>
      <w:r>
        <w:t xml:space="preserve"> + servicios </w:t>
      </w:r>
      <w:proofErr w:type="spellStart"/>
      <w:r>
        <w:t>Go</w:t>
      </w:r>
      <w:proofErr w:type="spellEnd"/>
      <w:r>
        <w:t xml:space="preserve"> + </w:t>
      </w:r>
      <w:proofErr w:type="spellStart"/>
      <w:r>
        <w:t>Typesense</w:t>
      </w:r>
      <w:proofErr w:type="spellEnd"/>
      <w:r>
        <w:t xml:space="preserve">) en un host de contenedores gestionado (Fly.io o AWS ECS </w:t>
      </w:r>
      <w:proofErr w:type="spellStart"/>
      <w:r>
        <w:t>Fargate</w:t>
      </w:r>
      <w:proofErr w:type="spellEnd"/>
      <w:r>
        <w:t xml:space="preserve">) en V1; </w:t>
      </w:r>
      <w:proofErr w:type="spellStart"/>
      <w:r>
        <w:t>Kubernetes</w:t>
      </w:r>
      <w:proofErr w:type="spellEnd"/>
      <w:r>
        <w:t xml:space="preserve">/EKS diferido a escala. </w:t>
      </w:r>
      <w:proofErr w:type="spellStart"/>
      <w:r>
        <w:t>IaC</w:t>
      </w:r>
      <w:proofErr w:type="spellEnd"/>
      <w:r>
        <w:t xml:space="preserve"> con </w:t>
      </w:r>
      <w:proofErr w:type="spellStart"/>
      <w:r>
        <w:t>Terraform</w:t>
      </w:r>
      <w:proofErr w:type="spellEnd"/>
      <w:r>
        <w:t xml:space="preserve">. Tres entornos: </w:t>
      </w:r>
      <w:proofErr w:type="spellStart"/>
      <w:r>
        <w:t>dev</w:t>
      </w:r>
      <w:proofErr w:type="spellEnd"/>
      <w:r>
        <w:t xml:space="preserve">, </w:t>
      </w:r>
      <w:proofErr w:type="spellStart"/>
      <w:r>
        <w:t>staging</w:t>
      </w:r>
      <w:proofErr w:type="spellEnd"/>
      <w:r>
        <w:t xml:space="preserve">, </w:t>
      </w:r>
      <w:proofErr w:type="spellStart"/>
      <w:r>
        <w:t>prod</w:t>
      </w:r>
      <w:proofErr w:type="spellEnd"/>
      <w:r>
        <w:t xml:space="preserve">. CI/CD con GitHub </w:t>
      </w:r>
      <w:proofErr w:type="spellStart"/>
      <w:r>
        <w:t>Actions</w:t>
      </w:r>
      <w:proofErr w:type="spellEnd"/>
      <w:r>
        <w:t xml:space="preserve"> (blue/</w:t>
      </w:r>
      <w:proofErr w:type="spellStart"/>
      <w:r>
        <w:t>green</w:t>
      </w:r>
      <w:proofErr w:type="spellEnd"/>
      <w:r>
        <w:t>).</w:t>
      </w:r>
    </w:p>
    <w:p w14:paraId="4F1E7766" w14:textId="77777777" w:rsidR="002419FE" w:rsidRDefault="00000000">
      <w:pPr>
        <w:spacing w:after="60" w:line="276" w:lineRule="auto"/>
      </w:pPr>
      <w:r>
        <w:rPr>
          <w:b/>
          <w:bCs/>
          <w:color w:val="1F3A5F"/>
        </w:rPr>
        <w:lastRenderedPageBreak/>
        <w:t xml:space="preserve">Justificación: </w:t>
      </w:r>
      <w:r>
        <w:t xml:space="preserve">El borde es la primera línea de defensa de una plataforma cuyo argumento de venta es la seguridad: </w:t>
      </w:r>
      <w:proofErr w:type="spellStart"/>
      <w:r>
        <w:t>Cloudflare</w:t>
      </w:r>
      <w:proofErr w:type="spellEnd"/>
      <w:r>
        <w:t xml:space="preserve"> aporta WAF, mitigación </w:t>
      </w:r>
      <w:proofErr w:type="spellStart"/>
      <w:r>
        <w:t>DDoS</w:t>
      </w:r>
      <w:proofErr w:type="spellEnd"/>
      <w:r>
        <w:t>, terminación TLS y enrutado EU-</w:t>
      </w:r>
      <w:proofErr w:type="spellStart"/>
      <w:r>
        <w:t>first</w:t>
      </w:r>
      <w:proofErr w:type="spellEnd"/>
      <w:r>
        <w:t xml:space="preserve"> que cubre la expectativa de residencia de datos del RGPD (PRD §9, riesgo legal). Para el cómputo, el v1.1 fija EKS desde el día uno; </w:t>
      </w:r>
      <w:proofErr w:type="spellStart"/>
      <w:r>
        <w:t>Kubernetes</w:t>
      </w:r>
      <w:proofErr w:type="spellEnd"/>
      <w:r>
        <w:t xml:space="preserve"> a 100 miembros es coste fijo y carga operativa (un clúster, su control-plane, su </w:t>
      </w:r>
      <w:proofErr w:type="spellStart"/>
      <w:r>
        <w:t>tooling</w:t>
      </w:r>
      <w:proofErr w:type="spellEnd"/>
      <w:r>
        <w:t xml:space="preserve">) que un equipo ligero no debe asumir antes de necesitarlo. Un host de contenedores gestionado despliega los mismos contenedores con una fracción del </w:t>
      </w:r>
      <w:proofErr w:type="spellStart"/>
      <w:r>
        <w:t>overhead</w:t>
      </w:r>
      <w:proofErr w:type="spellEnd"/>
      <w:r>
        <w:t xml:space="preserve"> y migra a EKS cuando el número de servicios y el escalado horizontal lo exijan —exactamente el mismo </w:t>
      </w:r>
      <w:proofErr w:type="spellStart"/>
      <w:r>
        <w:t>trigger</w:t>
      </w:r>
      <w:proofErr w:type="spellEnd"/>
      <w:r>
        <w:t xml:space="preserve"> que la Capa 2. </w:t>
      </w:r>
      <w:proofErr w:type="spellStart"/>
      <w:r>
        <w:t>Terraform</w:t>
      </w:r>
      <w:proofErr w:type="spellEnd"/>
      <w:r>
        <w:t xml:space="preserve"> mantiene la infraestructura reproducible para que esa migración sea un cambio de </w:t>
      </w:r>
      <w:proofErr w:type="gramStart"/>
      <w:r>
        <w:t>target</w:t>
      </w:r>
      <w:proofErr w:type="gramEnd"/>
      <w:r>
        <w:t xml:space="preserve">, no una reconstrucción. Tres entornos con </w:t>
      </w:r>
      <w:proofErr w:type="spellStart"/>
      <w:r>
        <w:t>staging</w:t>
      </w:r>
      <w:proofErr w:type="spellEnd"/>
      <w:r>
        <w:t xml:space="preserve"> poblado por datos sintéticos (Capa 11) permiten ensayar el flujo E2EE completo —incluido </w:t>
      </w:r>
      <w:proofErr w:type="gramStart"/>
      <w:r>
        <w:t xml:space="preserve">el </w:t>
      </w:r>
      <w:proofErr w:type="spellStart"/>
      <w:r>
        <w:t>backup</w:t>
      </w:r>
      <w:proofErr w:type="spellEnd"/>
      <w:proofErr w:type="gramEnd"/>
      <w:r>
        <w:t>/recuperación de clave de ADR-001— sin datos reales.</w:t>
      </w:r>
    </w:p>
    <w:p w14:paraId="5ED76D1A" w14:textId="77777777" w:rsidR="002419FE" w:rsidRDefault="00000000">
      <w:pPr>
        <w:spacing w:after="60" w:line="276" w:lineRule="auto"/>
      </w:pPr>
      <w:r>
        <w:rPr>
          <w:b/>
          <w:bCs/>
          <w:color w:val="1F3A5F"/>
        </w:rPr>
        <w:t xml:space="preserve">Alternativas descartadas: </w:t>
      </w:r>
      <w:r>
        <w:t>EKS/</w:t>
      </w:r>
      <w:proofErr w:type="spellStart"/>
      <w:r>
        <w:t>Kubernetes</w:t>
      </w:r>
      <w:proofErr w:type="spellEnd"/>
      <w:r>
        <w:t xml:space="preserve"> desde el inicio (v1.1): prematuro; destino evolutivo. </w:t>
      </w:r>
      <w:proofErr w:type="spellStart"/>
      <w:r>
        <w:t>Vercel</w:t>
      </w:r>
      <w:proofErr w:type="spellEnd"/>
      <w:r>
        <w:t xml:space="preserve"> para todo: excelente para el </w:t>
      </w:r>
      <w:proofErr w:type="spellStart"/>
      <w:r>
        <w:t>frontend</w:t>
      </w:r>
      <w:proofErr w:type="spellEnd"/>
      <w:r>
        <w:t xml:space="preserve"> Next.js pero no para servicios </w:t>
      </w:r>
      <w:proofErr w:type="spellStart"/>
      <w:r>
        <w:t>Go</w:t>
      </w:r>
      <w:proofErr w:type="spellEnd"/>
      <w:r>
        <w:t xml:space="preserve"> con estado y </w:t>
      </w:r>
      <w:proofErr w:type="spellStart"/>
      <w:r>
        <w:t>Typesense</w:t>
      </w:r>
      <w:proofErr w:type="spellEnd"/>
      <w:r>
        <w:t xml:space="preserve"> </w:t>
      </w:r>
      <w:proofErr w:type="spellStart"/>
      <w:r>
        <w:t>self</w:t>
      </w:r>
      <w:proofErr w:type="spellEnd"/>
      <w:r>
        <w:t xml:space="preserve">-host. </w:t>
      </w:r>
      <w:proofErr w:type="spellStart"/>
      <w:r>
        <w:t>Multi-cloud</w:t>
      </w:r>
      <w:proofErr w:type="spellEnd"/>
      <w:r>
        <w:t xml:space="preserve">: añade complejidad sin beneficio a esta escala; </w:t>
      </w:r>
      <w:proofErr w:type="spellStart"/>
      <w:r>
        <w:t>Cloudflare</w:t>
      </w:r>
      <w:proofErr w:type="spellEnd"/>
      <w:r>
        <w:t xml:space="preserve"> + </w:t>
      </w:r>
      <w:proofErr w:type="spellStart"/>
      <w:r>
        <w:t>Supabase</w:t>
      </w:r>
      <w:proofErr w:type="spellEnd"/>
      <w:r>
        <w:t xml:space="preserve"> + un host de contenedores es suficiente y barato.</w:t>
      </w:r>
    </w:p>
    <w:p w14:paraId="0981719D" w14:textId="77777777" w:rsidR="002419FE" w:rsidRDefault="00000000">
      <w:pPr>
        <w:spacing w:after="200" w:line="276" w:lineRule="auto"/>
      </w:pPr>
      <w:r>
        <w:rPr>
          <w:b/>
          <w:bCs/>
          <w:color w:val="1F3A5F"/>
        </w:rPr>
        <w:t xml:space="preserve">Estado: </w:t>
      </w:r>
      <w:r>
        <w:rPr>
          <w:b/>
          <w:bCs/>
          <w:color w:val="2E7D32"/>
        </w:rPr>
        <w:t>CERRADA</w:t>
      </w:r>
      <w:r>
        <w:t xml:space="preserve"> — migración a EKS es </w:t>
      </w:r>
      <w:proofErr w:type="spellStart"/>
      <w:r>
        <w:t>trigger</w:t>
      </w:r>
      <w:proofErr w:type="spellEnd"/>
      <w:r>
        <w:t xml:space="preserve"> de escala.</w:t>
      </w:r>
    </w:p>
    <w:p w14:paraId="45F04E7B" w14:textId="77777777" w:rsidR="002419FE" w:rsidRDefault="00000000">
      <w:pPr>
        <w:pStyle w:val="Ttulo1"/>
      </w:pPr>
      <w:bookmarkStart w:id="9" w:name="_Toc233792529"/>
      <w:r>
        <w:t>Capa 8 — Seguridad</w:t>
      </w:r>
      <w:bookmarkEnd w:id="9"/>
    </w:p>
    <w:p w14:paraId="2EFF923C" w14:textId="77777777" w:rsidR="002419FE" w:rsidRDefault="00000000">
      <w:pPr>
        <w:spacing w:after="60" w:line="276" w:lineRule="auto"/>
      </w:pPr>
      <w:r>
        <w:rPr>
          <w:b/>
          <w:bCs/>
          <w:color w:val="1F3A5F"/>
        </w:rPr>
        <w:t xml:space="preserve">Tecnología elegida: </w:t>
      </w:r>
      <w:proofErr w:type="spellStart"/>
      <w:r>
        <w:t>Snyk</w:t>
      </w:r>
      <w:proofErr w:type="spellEnd"/>
      <w:r>
        <w:t xml:space="preserve"> (SAST + SCA, en repo y CI/CD desde el inicio, cerrado) + </w:t>
      </w:r>
      <w:proofErr w:type="spellStart"/>
      <w:r>
        <w:t>Trivy</w:t>
      </w:r>
      <w:proofErr w:type="spellEnd"/>
      <w:r>
        <w:t xml:space="preserve"> (escaneo de imágenes de contenedor). Gestión de secretos con </w:t>
      </w:r>
      <w:proofErr w:type="spellStart"/>
      <w:r>
        <w:t>Supabase</w:t>
      </w:r>
      <w:proofErr w:type="spellEnd"/>
      <w:r>
        <w:t xml:space="preserve"> Vault / gestor de secretos del host + KMS para claves de servidor (firma de </w:t>
      </w:r>
      <w:proofErr w:type="spellStart"/>
      <w:r>
        <w:t>webhooks</w:t>
      </w:r>
      <w:proofErr w:type="spellEnd"/>
      <w:r>
        <w:t xml:space="preserve">, cifrado de </w:t>
      </w:r>
      <w:proofErr w:type="spellStart"/>
      <w:r>
        <w:t>backups</w:t>
      </w:r>
      <w:proofErr w:type="spellEnd"/>
      <w:r>
        <w:t xml:space="preserve"> del lado servidor). Auditoría criptográfica independiente del E2EE antes de GA (mandato de ADR-001 §9 y Tech Stack). </w:t>
      </w:r>
      <w:proofErr w:type="spellStart"/>
      <w:r>
        <w:t>Pentest</w:t>
      </w:r>
      <w:proofErr w:type="spellEnd"/>
      <w:r>
        <w:t xml:space="preserve"> anual de terceros; programa de divulgación responsable desde el día uno.</w:t>
      </w:r>
    </w:p>
    <w:p w14:paraId="1D99E190" w14:textId="77777777" w:rsidR="002419FE" w:rsidRDefault="00000000">
      <w:pPr>
        <w:spacing w:after="60" w:line="276" w:lineRule="auto"/>
      </w:pPr>
      <w:r>
        <w:rPr>
          <w:b/>
          <w:bCs/>
          <w:color w:val="1F3A5F"/>
        </w:rPr>
        <w:t xml:space="preserve">Justificación: </w:t>
      </w:r>
      <w:r>
        <w:t xml:space="preserve">En una plataforma </w:t>
      </w:r>
      <w:proofErr w:type="spellStart"/>
      <w:r>
        <w:t>zero-knowledge</w:t>
      </w:r>
      <w:proofErr w:type="spellEnd"/>
      <w:r>
        <w:t xml:space="preserve"> la seguridad no es transversal genérica: es la promesa de producto. </w:t>
      </w:r>
      <w:proofErr w:type="spellStart"/>
      <w:r>
        <w:t>Snyk</w:t>
      </w:r>
      <w:proofErr w:type="spellEnd"/>
      <w:r>
        <w:t xml:space="preserve"> (cerrado) cubre dependencias y código en cada PR —crítico porque el cliente contiene la lógica criptográfica y una dependencia comprometida en el </w:t>
      </w:r>
      <w:proofErr w:type="spellStart"/>
      <w:r>
        <w:t>frontend</w:t>
      </w:r>
      <w:proofErr w:type="spellEnd"/>
      <w:r>
        <w:t xml:space="preserve"> rompería el modelo E2EE en el único punto donde existe texto en claro. La auditoría criptográfica independiente no es opcional: ADR-001 §9 la declara hito obligatorio pre-GA, y debe verificar </w:t>
      </w:r>
      <w:proofErr w:type="gramStart"/>
      <w:r>
        <w:t>los tres invariantes</w:t>
      </w:r>
      <w:proofErr w:type="gramEnd"/>
      <w:r>
        <w:t xml:space="preserve"> de ADR-001 §8 (</w:t>
      </w:r>
      <w:proofErr w:type="spellStart"/>
      <w:r>
        <w:t>passphrase</w:t>
      </w:r>
      <w:proofErr w:type="spellEnd"/>
      <w:r>
        <w:t xml:space="preserve"> nunca transmitido; credencial de </w:t>
      </w:r>
      <w:proofErr w:type="spellStart"/>
      <w:r>
        <w:t>backup</w:t>
      </w:r>
      <w:proofErr w:type="spellEnd"/>
      <w:r>
        <w:t xml:space="preserve"> distinta del </w:t>
      </w:r>
      <w:proofErr w:type="spellStart"/>
      <w:r>
        <w:t>login</w:t>
      </w:r>
      <w:proofErr w:type="spellEnd"/>
      <w:r>
        <w:t xml:space="preserve">; </w:t>
      </w:r>
      <w:proofErr w:type="spellStart"/>
      <w:r>
        <w:t>rate-limit</w:t>
      </w:r>
      <w:proofErr w:type="spellEnd"/>
      <w:r>
        <w:t xml:space="preserve"> </w:t>
      </w:r>
      <w:proofErr w:type="gramStart"/>
      <w:r>
        <w:t>server</w:t>
      </w:r>
      <w:proofErr w:type="gramEnd"/>
      <w:r>
        <w:t>-</w:t>
      </w:r>
      <w:proofErr w:type="spellStart"/>
      <w:r>
        <w:t>side</w:t>
      </w:r>
      <w:proofErr w:type="spellEnd"/>
      <w:r>
        <w:t xml:space="preserve"> en </w:t>
      </w:r>
      <w:proofErr w:type="spellStart"/>
      <w:r>
        <w:t>recovery</w:t>
      </w:r>
      <w:proofErr w:type="spellEnd"/>
      <w:r>
        <w:t xml:space="preserve">). La gestión de secretos del lado servidor se limita a lo que el servidor sí posee legítimamente (claves de firma de </w:t>
      </w:r>
      <w:proofErr w:type="spellStart"/>
      <w:r>
        <w:t>webhook</w:t>
      </w:r>
      <w:proofErr w:type="spellEnd"/>
      <w:r>
        <w:t xml:space="preserve">, cifrado de </w:t>
      </w:r>
      <w:proofErr w:type="spellStart"/>
      <w:r>
        <w:t>backups</w:t>
      </w:r>
      <w:proofErr w:type="spellEnd"/>
      <w:r>
        <w:t xml:space="preserve"> del lado servidor) — nunca claves que descifren datos de miembro, que por diseño no existen en el servidor.</w:t>
      </w:r>
    </w:p>
    <w:p w14:paraId="336F1C04" w14:textId="77777777" w:rsidR="002419FE" w:rsidRDefault="00000000">
      <w:pPr>
        <w:spacing w:after="60" w:line="276" w:lineRule="auto"/>
      </w:pPr>
      <w:r>
        <w:rPr>
          <w:b/>
          <w:bCs/>
          <w:color w:val="1F3A5F"/>
        </w:rPr>
        <w:t xml:space="preserve">Alternativas descartadas: </w:t>
      </w:r>
      <w:r>
        <w:t xml:space="preserve">SonarQube en lugar de </w:t>
      </w:r>
      <w:proofErr w:type="spellStart"/>
      <w:r>
        <w:t>Snyk</w:t>
      </w:r>
      <w:proofErr w:type="spellEnd"/>
      <w:r>
        <w:t xml:space="preserve">: </w:t>
      </w:r>
      <w:proofErr w:type="spellStart"/>
      <w:r>
        <w:t>Snyk</w:t>
      </w:r>
      <w:proofErr w:type="spellEnd"/>
      <w:r>
        <w:t xml:space="preserve"> ya es decisión cerrada y cubre SCA (dependencias) mejor para este perfil. Secretos en variables de entorno planas: insuficiente para material sensible; se usa un gestor con rotación. Renunciar al </w:t>
      </w:r>
      <w:proofErr w:type="spellStart"/>
      <w:r>
        <w:t>pentest</w:t>
      </w:r>
      <w:proofErr w:type="spellEnd"/>
      <w:r>
        <w:t>/auditoría externa: incompatible con el posicionamiento y con ADR-001.</w:t>
      </w:r>
    </w:p>
    <w:p w14:paraId="4892A2F7" w14:textId="77777777" w:rsidR="002419FE" w:rsidRDefault="00000000">
      <w:pPr>
        <w:spacing w:after="200" w:line="276" w:lineRule="auto"/>
      </w:pPr>
      <w:r>
        <w:rPr>
          <w:b/>
          <w:bCs/>
          <w:color w:val="1F3A5F"/>
        </w:rPr>
        <w:t xml:space="preserve">Estado: </w:t>
      </w:r>
      <w:r>
        <w:rPr>
          <w:b/>
          <w:bCs/>
          <w:color w:val="2E7D32"/>
        </w:rPr>
        <w:t>CERRADA</w:t>
      </w:r>
      <w:r>
        <w:t xml:space="preserve"> — la auditoría criptográfica es un hito pre-GA bloqueante, no una decisión pendiente.</w:t>
      </w:r>
    </w:p>
    <w:p w14:paraId="3C82AB95" w14:textId="77777777" w:rsidR="002419FE" w:rsidRDefault="00000000">
      <w:pPr>
        <w:pStyle w:val="Ttulo1"/>
      </w:pPr>
      <w:bookmarkStart w:id="10" w:name="_Toc233792530"/>
      <w:r>
        <w:t xml:space="preserve">Capa 9 — </w:t>
      </w:r>
      <w:proofErr w:type="spellStart"/>
      <w:r>
        <w:t>Testing</w:t>
      </w:r>
      <w:proofErr w:type="spellEnd"/>
      <w:r>
        <w:t xml:space="preserve"> y verificación</w:t>
      </w:r>
      <w:bookmarkEnd w:id="10"/>
    </w:p>
    <w:p w14:paraId="7BFD4266" w14:textId="77777777" w:rsidR="002419FE" w:rsidRDefault="00000000">
      <w:pPr>
        <w:spacing w:after="60" w:line="276" w:lineRule="auto"/>
      </w:pPr>
      <w:r>
        <w:rPr>
          <w:b/>
          <w:bCs/>
          <w:color w:val="1F3A5F"/>
        </w:rPr>
        <w:t xml:space="preserve">Tecnología elegida: </w:t>
      </w:r>
      <w:proofErr w:type="spellStart"/>
      <w:r>
        <w:t>Vitest</w:t>
      </w:r>
      <w:proofErr w:type="spellEnd"/>
      <w:r>
        <w:t xml:space="preserve"> (unitario/integración en </w:t>
      </w:r>
      <w:proofErr w:type="spellStart"/>
      <w:r>
        <w:t>TypeScript</w:t>
      </w:r>
      <w:proofErr w:type="spellEnd"/>
      <w:r>
        <w:t xml:space="preserve">) + </w:t>
      </w:r>
      <w:proofErr w:type="spellStart"/>
      <w:r>
        <w:t>go</w:t>
      </w:r>
      <w:proofErr w:type="spellEnd"/>
      <w:r>
        <w:t xml:space="preserve"> test (servicios </w:t>
      </w:r>
      <w:proofErr w:type="spellStart"/>
      <w:r>
        <w:t>Go</w:t>
      </w:r>
      <w:proofErr w:type="spellEnd"/>
      <w:r>
        <w:t xml:space="preserve">). </w:t>
      </w:r>
      <w:proofErr w:type="spellStart"/>
      <w:r>
        <w:t>Testcontainers</w:t>
      </w:r>
      <w:proofErr w:type="spellEnd"/>
      <w:r>
        <w:t xml:space="preserve"> + </w:t>
      </w:r>
      <w:proofErr w:type="spellStart"/>
      <w:r>
        <w:t>Supertest</w:t>
      </w:r>
      <w:proofErr w:type="spellEnd"/>
      <w:r>
        <w:t xml:space="preserve"> para integración contra </w:t>
      </w:r>
      <w:proofErr w:type="spellStart"/>
      <w:r>
        <w:t>Postgres</w:t>
      </w:r>
      <w:proofErr w:type="spellEnd"/>
      <w:r>
        <w:t>/</w:t>
      </w:r>
      <w:proofErr w:type="spellStart"/>
      <w:r>
        <w:t>Typesense</w:t>
      </w:r>
      <w:proofErr w:type="spellEnd"/>
      <w:r>
        <w:t xml:space="preserve"> reales. </w:t>
      </w:r>
      <w:proofErr w:type="spellStart"/>
      <w:r>
        <w:t>Playwright</w:t>
      </w:r>
      <w:proofErr w:type="spellEnd"/>
      <w:r>
        <w:t xml:space="preserve"> (E2E de </w:t>
      </w:r>
      <w:proofErr w:type="spellStart"/>
      <w:r>
        <w:t>frontend</w:t>
      </w:r>
      <w:proofErr w:type="spellEnd"/>
      <w:r>
        <w:t xml:space="preserve">, cerrado, también </w:t>
      </w:r>
      <w:proofErr w:type="spellStart"/>
      <w:r>
        <w:t>harness</w:t>
      </w:r>
      <w:proofErr w:type="spellEnd"/>
      <w:r>
        <w:t xml:space="preserve"> del </w:t>
      </w:r>
      <w:proofErr w:type="spellStart"/>
      <w:r>
        <w:t>loop</w:t>
      </w:r>
      <w:proofErr w:type="spellEnd"/>
      <w:r>
        <w:t xml:space="preserve"> de agentes de desarrollo). k6 (carga, cerrado, foco </w:t>
      </w:r>
      <w:r>
        <w:lastRenderedPageBreak/>
        <w:t xml:space="preserve">E2EE bajo concurrencia). Vectores de prueba criptográficos dedicados para el </w:t>
      </w:r>
      <w:proofErr w:type="gramStart"/>
      <w:r>
        <w:t>round</w:t>
      </w:r>
      <w:proofErr w:type="gramEnd"/>
      <w:r>
        <w:t>-</w:t>
      </w:r>
      <w:proofErr w:type="spellStart"/>
      <w:r>
        <w:t>trip</w:t>
      </w:r>
      <w:proofErr w:type="spellEnd"/>
      <w:r>
        <w:t xml:space="preserve"> de ADR-001.</w:t>
      </w:r>
    </w:p>
    <w:p w14:paraId="3DE94A00" w14:textId="77777777" w:rsidR="002419FE" w:rsidRDefault="00000000">
      <w:pPr>
        <w:spacing w:after="60" w:line="276" w:lineRule="auto"/>
      </w:pPr>
      <w:r>
        <w:rPr>
          <w:b/>
          <w:bCs/>
          <w:color w:val="1F3A5F"/>
        </w:rPr>
        <w:t xml:space="preserve">Justificación: </w:t>
      </w:r>
      <w:r>
        <w:t xml:space="preserve">Decisión abierta cerrada aquí — </w:t>
      </w:r>
      <w:proofErr w:type="spellStart"/>
      <w:r>
        <w:t>framework</w:t>
      </w:r>
      <w:proofErr w:type="spellEnd"/>
      <w:r>
        <w:t xml:space="preserve"> unitario: </w:t>
      </w:r>
      <w:proofErr w:type="spellStart"/>
      <w:r>
        <w:t>Vitest</w:t>
      </w:r>
      <w:proofErr w:type="spellEnd"/>
      <w:r>
        <w:t xml:space="preserve"> sobre Jest. El </w:t>
      </w:r>
      <w:proofErr w:type="spellStart"/>
      <w:r>
        <w:t>stack</w:t>
      </w:r>
      <w:proofErr w:type="spellEnd"/>
      <w:r>
        <w:t xml:space="preserve"> de cliente es Vite/Next + </w:t>
      </w:r>
      <w:proofErr w:type="spellStart"/>
      <w:r>
        <w:t>TypeScript</w:t>
      </w:r>
      <w:proofErr w:type="spellEnd"/>
      <w:r>
        <w:t xml:space="preserve"> + ESM; </w:t>
      </w:r>
      <w:proofErr w:type="spellStart"/>
      <w:r>
        <w:t>Vitest</w:t>
      </w:r>
      <w:proofErr w:type="spellEnd"/>
      <w:r>
        <w:t xml:space="preserve"> es nativo de ese entorno, comparte configuración con el </w:t>
      </w:r>
      <w:proofErr w:type="spellStart"/>
      <w:r>
        <w:t>build</w:t>
      </w:r>
      <w:proofErr w:type="spellEnd"/>
      <w:r>
        <w:t xml:space="preserve">, es marcadamente más rápido y maneja ESM sin la fricción de </w:t>
      </w:r>
      <w:proofErr w:type="spellStart"/>
      <w:r>
        <w:t>transpilación</w:t>
      </w:r>
      <w:proofErr w:type="spellEnd"/>
      <w:r>
        <w:t xml:space="preserve"> de Jest. Para </w:t>
      </w:r>
      <w:proofErr w:type="spellStart"/>
      <w:r>
        <w:t>Go</w:t>
      </w:r>
      <w:proofErr w:type="spellEnd"/>
      <w:r>
        <w:t xml:space="preserve">, </w:t>
      </w:r>
      <w:proofErr w:type="spellStart"/>
      <w:r>
        <w:t>go</w:t>
      </w:r>
      <w:proofErr w:type="spellEnd"/>
      <w:r>
        <w:t xml:space="preserve"> test es el estándar de facto, sin dependencia externa. Lo específico de esta plataforma es la verificación criptográfica: debe existir una batería de vectores que pruebe el </w:t>
      </w:r>
      <w:proofErr w:type="gramStart"/>
      <w:r>
        <w:t>round</w:t>
      </w:r>
      <w:proofErr w:type="gramEnd"/>
      <w:r>
        <w:t>-</w:t>
      </w:r>
      <w:proofErr w:type="spellStart"/>
      <w:r>
        <w:t>trip</w:t>
      </w:r>
      <w:proofErr w:type="spellEnd"/>
      <w:r>
        <w:t xml:space="preserve"> completo de ADR-001 —derivar </w:t>
      </w:r>
      <w:proofErr w:type="spellStart"/>
      <w:r>
        <w:t>wrapping</w:t>
      </w:r>
      <w:proofErr w:type="spellEnd"/>
      <w:r>
        <w:t xml:space="preserve"> </w:t>
      </w:r>
      <w:proofErr w:type="spellStart"/>
      <w:r>
        <w:t>key</w:t>
      </w:r>
      <w:proofErr w:type="spellEnd"/>
      <w:r>
        <w:t xml:space="preserve"> con Argon2id, cifrar la clave privada X25519 con AES-256-GCM, subir el blob, recuperarlo en otro «dispositivo» y descifrarlo— y que falle si el tag GCM no valida (</w:t>
      </w:r>
      <w:proofErr w:type="spellStart"/>
      <w:r>
        <w:t>passphrase</w:t>
      </w:r>
      <w:proofErr w:type="spellEnd"/>
      <w:r>
        <w:t xml:space="preserve"> erróneo o manipulación). k6 (cerrado) se centra en la capa E2EE bajo concurrencia porque la derivación Argon2id (64 MB, ~500ms-1s) es cara y su comportamiento agregado bajo carga es un riesgo real de capacidad. </w:t>
      </w:r>
      <w:proofErr w:type="spellStart"/>
      <w:r>
        <w:t>Playwright</w:t>
      </w:r>
      <w:proofErr w:type="spellEnd"/>
      <w:r>
        <w:t xml:space="preserve"> (cerrado) cubre el E2E de usuario y, a la vez, es el </w:t>
      </w:r>
      <w:proofErr w:type="spellStart"/>
      <w:r>
        <w:t>harness</w:t>
      </w:r>
      <w:proofErr w:type="spellEnd"/>
      <w:r>
        <w:t xml:space="preserve"> con el que el pipeline de agentes (Capa 6) verifica el </w:t>
      </w:r>
      <w:proofErr w:type="spellStart"/>
      <w:r>
        <w:t>frontend</w:t>
      </w:r>
      <w:proofErr w:type="spellEnd"/>
      <w:r>
        <w:t xml:space="preserve"> que genera.</w:t>
      </w:r>
    </w:p>
    <w:p w14:paraId="39C8C116" w14:textId="77777777" w:rsidR="002419FE" w:rsidRDefault="00000000">
      <w:pPr>
        <w:spacing w:after="60" w:line="276" w:lineRule="auto"/>
      </w:pPr>
      <w:r>
        <w:rPr>
          <w:b/>
          <w:bCs/>
          <w:color w:val="1F3A5F"/>
        </w:rPr>
        <w:t xml:space="preserve">Alternativas descartadas: </w:t>
      </w:r>
      <w:r>
        <w:t xml:space="preserve">Jest: más lento, fricción ESM, configuración duplicada frente a </w:t>
      </w:r>
      <w:proofErr w:type="spellStart"/>
      <w:r>
        <w:t>Vitest</w:t>
      </w:r>
      <w:proofErr w:type="spellEnd"/>
      <w:r>
        <w:t xml:space="preserve"> en un proyecto Vite/Next. Cypress en lugar de </w:t>
      </w:r>
      <w:proofErr w:type="spellStart"/>
      <w:r>
        <w:t>Playwright</w:t>
      </w:r>
      <w:proofErr w:type="spellEnd"/>
      <w:r>
        <w:t xml:space="preserve">: </w:t>
      </w:r>
      <w:proofErr w:type="spellStart"/>
      <w:r>
        <w:t>Playwright</w:t>
      </w:r>
      <w:proofErr w:type="spellEnd"/>
      <w:r>
        <w:t xml:space="preserve"> ya es decisión cerrada y </w:t>
      </w:r>
      <w:proofErr w:type="spellStart"/>
      <w:r>
        <w:t>multi-navegador</w:t>
      </w:r>
      <w:proofErr w:type="spellEnd"/>
      <w:r>
        <w:t xml:space="preserve">. </w:t>
      </w:r>
      <w:proofErr w:type="spellStart"/>
      <w:r>
        <w:t>Mocks</w:t>
      </w:r>
      <w:proofErr w:type="spellEnd"/>
      <w:r>
        <w:t xml:space="preserve"> de base de datos en integración: se prefiere </w:t>
      </w:r>
      <w:proofErr w:type="spellStart"/>
      <w:r>
        <w:t>Testcontainers</w:t>
      </w:r>
      <w:proofErr w:type="spellEnd"/>
      <w:r>
        <w:t xml:space="preserve"> contra </w:t>
      </w:r>
      <w:proofErr w:type="spellStart"/>
      <w:r>
        <w:t>Postgres</w:t>
      </w:r>
      <w:proofErr w:type="spellEnd"/>
      <w:r>
        <w:t>/</w:t>
      </w:r>
      <w:proofErr w:type="spellStart"/>
      <w:r>
        <w:t>Typesense</w:t>
      </w:r>
      <w:proofErr w:type="spellEnd"/>
      <w:r>
        <w:t xml:space="preserve"> reales para no enmascarar errores de RLS/índice.</w:t>
      </w:r>
    </w:p>
    <w:p w14:paraId="65A42FB9" w14:textId="77777777" w:rsidR="002419FE" w:rsidRDefault="00000000">
      <w:pPr>
        <w:spacing w:after="200" w:line="276" w:lineRule="auto"/>
      </w:pPr>
      <w:r>
        <w:rPr>
          <w:b/>
          <w:bCs/>
          <w:color w:val="1F3A5F"/>
        </w:rPr>
        <w:t xml:space="preserve">Estado: </w:t>
      </w:r>
      <w:r>
        <w:rPr>
          <w:b/>
          <w:bCs/>
          <w:color w:val="2E7D32"/>
        </w:rPr>
        <w:t>CERRADA</w:t>
      </w:r>
      <w:r>
        <w:t xml:space="preserve"> — </w:t>
      </w:r>
      <w:proofErr w:type="spellStart"/>
      <w:r>
        <w:t>framework</w:t>
      </w:r>
      <w:proofErr w:type="spellEnd"/>
      <w:r>
        <w:t xml:space="preserve"> unitario decidido: </w:t>
      </w:r>
      <w:proofErr w:type="spellStart"/>
      <w:r>
        <w:t>Vitest</w:t>
      </w:r>
      <w:proofErr w:type="spellEnd"/>
      <w:r>
        <w:t xml:space="preserve"> + </w:t>
      </w:r>
      <w:proofErr w:type="spellStart"/>
      <w:r>
        <w:t>go</w:t>
      </w:r>
      <w:proofErr w:type="spellEnd"/>
      <w:r>
        <w:t xml:space="preserve"> test.</w:t>
      </w:r>
    </w:p>
    <w:p w14:paraId="66C7B807" w14:textId="77777777" w:rsidR="002419FE" w:rsidRDefault="00000000">
      <w:pPr>
        <w:pStyle w:val="Ttulo1"/>
      </w:pPr>
      <w:bookmarkStart w:id="11" w:name="_Toc233792531"/>
      <w:r>
        <w:t xml:space="preserve">Capa 10 — </w:t>
      </w:r>
      <w:proofErr w:type="spellStart"/>
      <w:r>
        <w:t>Observabilidad</w:t>
      </w:r>
      <w:bookmarkEnd w:id="11"/>
      <w:proofErr w:type="spellEnd"/>
    </w:p>
    <w:p w14:paraId="16EBCCFF" w14:textId="77777777" w:rsidR="002419FE" w:rsidRDefault="00000000">
      <w:pPr>
        <w:spacing w:after="60" w:line="276" w:lineRule="auto"/>
      </w:pPr>
      <w:r>
        <w:rPr>
          <w:b/>
          <w:bCs/>
          <w:color w:val="1F3A5F"/>
        </w:rPr>
        <w:t xml:space="preserve">Tecnología elegida: </w:t>
      </w:r>
      <w:proofErr w:type="spellStart"/>
      <w:r>
        <w:t>OpenTelemetry</w:t>
      </w:r>
      <w:proofErr w:type="spellEnd"/>
      <w:r>
        <w:t xml:space="preserve"> (SDK en todos los servicios) → </w:t>
      </w:r>
      <w:proofErr w:type="spellStart"/>
      <w:r>
        <w:t>Grafana</w:t>
      </w:r>
      <w:proofErr w:type="spellEnd"/>
      <w:r>
        <w:t xml:space="preserve"> Cloud (métricas, trazas y logs). </w:t>
      </w:r>
      <w:proofErr w:type="spellStart"/>
      <w:r>
        <w:t>Sentry</w:t>
      </w:r>
      <w:proofErr w:type="spellEnd"/>
      <w:r>
        <w:t xml:space="preserve"> para errores de </w:t>
      </w:r>
      <w:proofErr w:type="spellStart"/>
      <w:r>
        <w:t>frontend</w:t>
      </w:r>
      <w:proofErr w:type="spellEnd"/>
      <w:r>
        <w:t xml:space="preserve"> y </w:t>
      </w:r>
      <w:proofErr w:type="spellStart"/>
      <w:r>
        <w:t>runtime</w:t>
      </w:r>
      <w:proofErr w:type="spellEnd"/>
      <w:r>
        <w:t xml:space="preserve"> (cerrado), en </w:t>
      </w:r>
      <w:proofErr w:type="spellStart"/>
      <w:r>
        <w:t>staging</w:t>
      </w:r>
      <w:proofErr w:type="spellEnd"/>
      <w:r>
        <w:t xml:space="preserve"> y producción. Alertas/</w:t>
      </w:r>
      <w:proofErr w:type="spellStart"/>
      <w:r>
        <w:t>on-call</w:t>
      </w:r>
      <w:proofErr w:type="spellEnd"/>
      <w:r>
        <w:t xml:space="preserve"> vía la integración del propio </w:t>
      </w:r>
      <w:proofErr w:type="spellStart"/>
      <w:r>
        <w:t>Grafana</w:t>
      </w:r>
      <w:proofErr w:type="spellEnd"/>
      <w:r>
        <w:t>/</w:t>
      </w:r>
      <w:proofErr w:type="spellStart"/>
      <w:r>
        <w:t>Sentry</w:t>
      </w:r>
      <w:proofErr w:type="spellEnd"/>
      <w:r>
        <w:t xml:space="preserve">; </w:t>
      </w:r>
      <w:proofErr w:type="spellStart"/>
      <w:r>
        <w:t>PagerDuty</w:t>
      </w:r>
      <w:proofErr w:type="spellEnd"/>
      <w:r>
        <w:t xml:space="preserve"> opcional a escala.</w:t>
      </w:r>
    </w:p>
    <w:p w14:paraId="6F240E0D" w14:textId="77777777" w:rsidR="002419FE" w:rsidRDefault="00000000">
      <w:pPr>
        <w:spacing w:after="60" w:line="276" w:lineRule="auto"/>
      </w:pPr>
      <w:r>
        <w:rPr>
          <w:b/>
          <w:bCs/>
          <w:color w:val="1F3A5F"/>
        </w:rPr>
        <w:t xml:space="preserve">Justificación: </w:t>
      </w:r>
      <w:r>
        <w:t xml:space="preserve">La </w:t>
      </w:r>
      <w:proofErr w:type="spellStart"/>
      <w:r>
        <w:t>observabilidad</w:t>
      </w:r>
      <w:proofErr w:type="spellEnd"/>
      <w:r>
        <w:t xml:space="preserve"> de una plataforma E2EE tiene una regla dura que la condiciona toda: ningún dato comercial en claro puede aparecer jamás en un log, una traza, un evento de error o un </w:t>
      </w:r>
      <w:proofErr w:type="spellStart"/>
      <w:r>
        <w:t>breadcrumb</w:t>
      </w:r>
      <w:proofErr w:type="spellEnd"/>
      <w:r>
        <w:t xml:space="preserve"> — y muy en particular </w:t>
      </w:r>
      <w:proofErr w:type="gramStart"/>
      <w:r>
        <w:t xml:space="preserve">el </w:t>
      </w:r>
      <w:proofErr w:type="spellStart"/>
      <w:r>
        <w:t>backup</w:t>
      </w:r>
      <w:proofErr w:type="spellEnd"/>
      <w:proofErr w:type="gramEnd"/>
      <w:r>
        <w:t xml:space="preserve"> </w:t>
      </w:r>
      <w:proofErr w:type="spellStart"/>
      <w:r>
        <w:t>passphrase</w:t>
      </w:r>
      <w:proofErr w:type="spellEnd"/>
      <w:r>
        <w:t xml:space="preserve"> de ADR-001 (invariante §8). </w:t>
      </w:r>
      <w:proofErr w:type="spellStart"/>
      <w:r>
        <w:t>Sentry</w:t>
      </w:r>
      <w:proofErr w:type="spellEnd"/>
      <w:r>
        <w:t xml:space="preserve"> (cerrado) se configura con </w:t>
      </w:r>
      <w:proofErr w:type="spellStart"/>
      <w:r>
        <w:t>scrubbing</w:t>
      </w:r>
      <w:proofErr w:type="spellEnd"/>
      <w:r>
        <w:t xml:space="preserve"> agresivo de PII y secretos por esa razón; un </w:t>
      </w:r>
      <w:proofErr w:type="spellStart"/>
      <w:r>
        <w:t>passphrase</w:t>
      </w:r>
      <w:proofErr w:type="spellEnd"/>
      <w:r>
        <w:t xml:space="preserve"> en un evento de </w:t>
      </w:r>
      <w:proofErr w:type="spellStart"/>
      <w:r>
        <w:t>Sentry</w:t>
      </w:r>
      <w:proofErr w:type="spellEnd"/>
      <w:r>
        <w:t xml:space="preserve"> sería un bug de seguridad crítico, no una fuga menor. </w:t>
      </w:r>
      <w:proofErr w:type="spellStart"/>
      <w:r>
        <w:t>OpenTelemetry</w:t>
      </w:r>
      <w:proofErr w:type="spellEnd"/>
      <w:r>
        <w:t xml:space="preserve"> da instrumentación </w:t>
      </w:r>
      <w:proofErr w:type="spellStart"/>
      <w:r>
        <w:t>vendor</w:t>
      </w:r>
      <w:proofErr w:type="spellEnd"/>
      <w:r>
        <w:t xml:space="preserve">-neutral (no ata a un APM) y </w:t>
      </w:r>
      <w:proofErr w:type="spellStart"/>
      <w:r>
        <w:t>Grafana</w:t>
      </w:r>
      <w:proofErr w:type="spellEnd"/>
      <w:r>
        <w:t xml:space="preserve"> Cloud consolida métricas/trazas/logs con un coste de entrada bajo apropiado para la escala de lanzamiento. La métrica de negocio a vigilar desde el día uno es la latencia y la tasa de fallo del flujo de recuperación de clave: es el mayor riesgo de soporte identificado (ADR-001; Tech Stack v1.1 — CRITICAL).</w:t>
      </w:r>
    </w:p>
    <w:p w14:paraId="553C0A7F" w14:textId="77777777" w:rsidR="002419FE" w:rsidRDefault="00000000">
      <w:pPr>
        <w:spacing w:after="60" w:line="276" w:lineRule="auto"/>
      </w:pPr>
      <w:r>
        <w:rPr>
          <w:b/>
          <w:bCs/>
          <w:color w:val="1F3A5F"/>
        </w:rPr>
        <w:t xml:space="preserve">Alternativas descartadas: </w:t>
      </w:r>
      <w:proofErr w:type="spellStart"/>
      <w:r>
        <w:t>Datadog</w:t>
      </w:r>
      <w:proofErr w:type="spellEnd"/>
      <w:r>
        <w:t xml:space="preserve">: potente pero caro y propietario; </w:t>
      </w:r>
      <w:proofErr w:type="spellStart"/>
      <w:r>
        <w:t>OTel</w:t>
      </w:r>
      <w:proofErr w:type="spellEnd"/>
      <w:r>
        <w:t xml:space="preserve"> + </w:t>
      </w:r>
      <w:proofErr w:type="spellStart"/>
      <w:r>
        <w:t>Grafana</w:t>
      </w:r>
      <w:proofErr w:type="spellEnd"/>
      <w:r>
        <w:t xml:space="preserve"> cubre lo necesario sin </w:t>
      </w:r>
      <w:proofErr w:type="spellStart"/>
      <w:r>
        <w:t>lock</w:t>
      </w:r>
      <w:proofErr w:type="spellEnd"/>
      <w:r>
        <w:t xml:space="preserve">-in a esta escala. </w:t>
      </w:r>
      <w:proofErr w:type="spellStart"/>
      <w:r>
        <w:t>Logging</w:t>
      </w:r>
      <w:proofErr w:type="spellEnd"/>
      <w:r>
        <w:t xml:space="preserve"> propio en ELK: complejidad operativa que contradice el equipo ligero. Sin </w:t>
      </w:r>
      <w:proofErr w:type="spellStart"/>
      <w:r>
        <w:t>scrubbing</w:t>
      </w:r>
      <w:proofErr w:type="spellEnd"/>
      <w:r>
        <w:t xml:space="preserve"> por defecto: inaceptable bajo el modelo </w:t>
      </w:r>
      <w:proofErr w:type="spellStart"/>
      <w:r>
        <w:t>zero-knowledge</w:t>
      </w:r>
      <w:proofErr w:type="spellEnd"/>
      <w:r>
        <w:t>.</w:t>
      </w:r>
    </w:p>
    <w:p w14:paraId="7B6B9B0D" w14:textId="77777777" w:rsidR="002419FE" w:rsidRDefault="00000000">
      <w:pPr>
        <w:spacing w:after="200" w:line="276" w:lineRule="auto"/>
      </w:pPr>
      <w:r>
        <w:rPr>
          <w:b/>
          <w:bCs/>
          <w:color w:val="1F3A5F"/>
        </w:rPr>
        <w:t xml:space="preserve">Estado: </w:t>
      </w:r>
      <w:r>
        <w:rPr>
          <w:b/>
          <w:bCs/>
          <w:color w:val="2E7D32"/>
        </w:rPr>
        <w:t>CERRADA</w:t>
      </w:r>
    </w:p>
    <w:p w14:paraId="6A2837A8" w14:textId="77777777" w:rsidR="002419FE" w:rsidRDefault="00000000">
      <w:pPr>
        <w:pStyle w:val="Ttulo1"/>
      </w:pPr>
      <w:bookmarkStart w:id="12" w:name="_Toc233792532"/>
      <w:r>
        <w:t xml:space="preserve">Capa 11 — Datos sintéticos y </w:t>
      </w:r>
      <w:proofErr w:type="spellStart"/>
      <w:r>
        <w:t>staging</w:t>
      </w:r>
      <w:bookmarkEnd w:id="12"/>
      <w:proofErr w:type="spellEnd"/>
    </w:p>
    <w:p w14:paraId="23EC24A4" w14:textId="77777777" w:rsidR="002419FE" w:rsidRDefault="00000000">
      <w:pPr>
        <w:spacing w:after="60" w:line="276" w:lineRule="auto"/>
      </w:pPr>
      <w:r>
        <w:rPr>
          <w:b/>
          <w:bCs/>
          <w:color w:val="1F3A5F"/>
        </w:rPr>
        <w:t xml:space="preserve">Tecnología elegida: </w:t>
      </w:r>
      <w:r>
        <w:t xml:space="preserve">Faker.js + scripts de </w:t>
      </w:r>
      <w:proofErr w:type="spellStart"/>
      <w:r>
        <w:t>seed</w:t>
      </w:r>
      <w:proofErr w:type="spellEnd"/>
      <w:r>
        <w:t xml:space="preserve"> de </w:t>
      </w:r>
      <w:proofErr w:type="spellStart"/>
      <w:r>
        <w:t>Supabase</w:t>
      </w:r>
      <w:proofErr w:type="spellEnd"/>
      <w:r>
        <w:t xml:space="preserve"> (cerrado) para generar un </w:t>
      </w:r>
      <w:proofErr w:type="spellStart"/>
      <w:r>
        <w:t>staging</w:t>
      </w:r>
      <w:proofErr w:type="spellEnd"/>
      <w:r>
        <w:t xml:space="preserve"> realista: organizaciones distribuidas en ~180 países, catálogos de inventario a escala (referencias SKF/FAG/NSK/NTN/Timken con convenciones de nomenclatura heterogéneas), reglas de visibilidad, hilos de mensajería con </w:t>
      </w:r>
      <w:proofErr w:type="spellStart"/>
      <w:r>
        <w:t>ciphertext</w:t>
      </w:r>
      <w:proofErr w:type="spellEnd"/>
      <w:r>
        <w:t xml:space="preserve"> sintético, y favoritos.</w:t>
      </w:r>
    </w:p>
    <w:p w14:paraId="35465DAD" w14:textId="77777777" w:rsidR="002419FE" w:rsidRDefault="00000000">
      <w:pPr>
        <w:spacing w:after="60" w:line="276" w:lineRule="auto"/>
      </w:pPr>
      <w:r>
        <w:rPr>
          <w:b/>
          <w:bCs/>
          <w:color w:val="1F3A5F"/>
        </w:rPr>
        <w:lastRenderedPageBreak/>
        <w:t xml:space="preserve">Justificación: </w:t>
      </w:r>
      <w:r>
        <w:t xml:space="preserve">El alcance de 180 países y la fragmentación operativa del sector (cada distribuidor con su ERP y su nomenclatura, PRD §2.2) hacen que probar con datos triviales no valga: la ingesta inteligente, la búsqueda conversacional y el reconstruido de índice de </w:t>
      </w:r>
      <w:proofErr w:type="spellStart"/>
      <w:r>
        <w:t>Typesense</w:t>
      </w:r>
      <w:proofErr w:type="spellEnd"/>
      <w:r>
        <w:t xml:space="preserve"> solo se validan contra datos que reproduzcan esa diversidad —idiomas, husos, formatos de referencia, densidad desigual por región. Faker.js + </w:t>
      </w:r>
      <w:proofErr w:type="spellStart"/>
      <w:r>
        <w:t>seeds</w:t>
      </w:r>
      <w:proofErr w:type="spellEnd"/>
      <w:r>
        <w:t xml:space="preserve"> de </w:t>
      </w:r>
      <w:proofErr w:type="spellStart"/>
      <w:r>
        <w:t>Supabase</w:t>
      </w:r>
      <w:proofErr w:type="spellEnd"/>
      <w:r>
        <w:t xml:space="preserve"> (cerrado) es coherente con el </w:t>
      </w:r>
      <w:proofErr w:type="spellStart"/>
      <w:r>
        <w:t>backbone</w:t>
      </w:r>
      <w:proofErr w:type="spellEnd"/>
      <w:r>
        <w:t xml:space="preserve"> de datos (Capa 3) y permite regenerar </w:t>
      </w:r>
      <w:proofErr w:type="spellStart"/>
      <w:r>
        <w:t>staging</w:t>
      </w:r>
      <w:proofErr w:type="spellEnd"/>
      <w:r>
        <w:t xml:space="preserve"> de forma reproducible para cada ciclo del pipeline de agentes. Punto crítico de seguridad: los datos sintéticos deben permitir ensayar el flujo E2EE de extremo a extremo —incluida la pérdida y recuperación de clave de ADR-001— sin que exista jamás un dato real; el </w:t>
      </w:r>
      <w:proofErr w:type="spellStart"/>
      <w:r>
        <w:t>ciphertext</w:t>
      </w:r>
      <w:proofErr w:type="spellEnd"/>
      <w:r>
        <w:t xml:space="preserve"> de </w:t>
      </w:r>
      <w:proofErr w:type="spellStart"/>
      <w:r>
        <w:t>staging</w:t>
      </w:r>
      <w:proofErr w:type="spellEnd"/>
      <w:r>
        <w:t xml:space="preserve"> se genera con claves de prueba desechables. k6 (Capa 9) consume este </w:t>
      </w:r>
      <w:proofErr w:type="spellStart"/>
      <w:r>
        <w:t>staging</w:t>
      </w:r>
      <w:proofErr w:type="spellEnd"/>
      <w:r>
        <w:t xml:space="preserve"> para la prueba de carga sobre la capa E2EE.</w:t>
      </w:r>
    </w:p>
    <w:p w14:paraId="6784953B" w14:textId="77777777" w:rsidR="002419FE" w:rsidRDefault="00000000">
      <w:pPr>
        <w:spacing w:after="60" w:line="276" w:lineRule="auto"/>
      </w:pPr>
      <w:r>
        <w:rPr>
          <w:b/>
          <w:bCs/>
          <w:color w:val="1F3A5F"/>
        </w:rPr>
        <w:t xml:space="preserve">Alternativas descartadas: </w:t>
      </w:r>
      <w:proofErr w:type="spellStart"/>
      <w:r>
        <w:t>Snapshots</w:t>
      </w:r>
      <w:proofErr w:type="spellEnd"/>
      <w:r>
        <w:t xml:space="preserve"> anonimizados de producción: imposible por diseño (no hay producción al lanzar, y los datos reales son cifrados e ilegibles). Datos mínimos hechos a mano: no reproducen la diversidad de 180 países ni estresan la búsqueda/ingesta. </w:t>
      </w:r>
      <w:proofErr w:type="spellStart"/>
      <w:r>
        <w:t>Mockaroo</w:t>
      </w:r>
      <w:proofErr w:type="spellEnd"/>
      <w:r>
        <w:t xml:space="preserve"> u otros generadores SaaS: Faker.js ya es decisión cerrada y corre en el </w:t>
      </w:r>
      <w:proofErr w:type="spellStart"/>
      <w:r>
        <w:t>seed</w:t>
      </w:r>
      <w:proofErr w:type="spellEnd"/>
      <w:r>
        <w:t xml:space="preserve"> local sin dependencia externa.</w:t>
      </w:r>
    </w:p>
    <w:p w14:paraId="645DDB0A" w14:textId="77777777" w:rsidR="002419FE" w:rsidRDefault="00000000">
      <w:pPr>
        <w:spacing w:after="200" w:line="276" w:lineRule="auto"/>
      </w:pPr>
      <w:r>
        <w:rPr>
          <w:b/>
          <w:bCs/>
          <w:color w:val="1F3A5F"/>
        </w:rPr>
        <w:t xml:space="preserve">Estado: </w:t>
      </w:r>
      <w:r>
        <w:rPr>
          <w:b/>
          <w:bCs/>
          <w:color w:val="2E7D32"/>
        </w:rPr>
        <w:t>CERRADA</w:t>
      </w:r>
    </w:p>
    <w:p w14:paraId="7FA8E9F8" w14:textId="77777777" w:rsidR="002419FE" w:rsidRDefault="00000000">
      <w:pPr>
        <w:pStyle w:val="Ttulo1"/>
      </w:pPr>
      <w:bookmarkStart w:id="13" w:name="_Toc233792533"/>
      <w:r>
        <w:t>Capa 12 — Costes de IA (recálculo con precios reales)</w:t>
      </w:r>
      <w:bookmarkEnd w:id="13"/>
    </w:p>
    <w:p w14:paraId="0E24B90C" w14:textId="77777777" w:rsidR="002419FE" w:rsidRDefault="00000000">
      <w:pPr>
        <w:spacing w:after="120" w:line="276" w:lineRule="auto"/>
      </w:pPr>
      <w:r>
        <w:t xml:space="preserve">El Tech Stack v1.1 modeló los costes sobre GPT-4o. Esta sección recalcula desde cero con los precios públicos vigentes a junio de 2026 para los modelos realmente usados: </w:t>
      </w:r>
      <w:r>
        <w:rPr>
          <w:b/>
          <w:bCs/>
        </w:rPr>
        <w:t>Claude Sonnet 4.6</w:t>
      </w:r>
      <w:r>
        <w:t xml:space="preserve"> para VERA en producción y </w:t>
      </w:r>
      <w:r>
        <w:rPr>
          <w:b/>
          <w:bCs/>
        </w:rPr>
        <w:t>GLM-5.2 + Claude Opus 4.8</w:t>
      </w:r>
      <w:r>
        <w:t xml:space="preserve"> para el pipeline de desarrollo. Tipo de cambio asumido: $1 = €0,92.</w:t>
      </w:r>
    </w:p>
    <w:p w14:paraId="31DBAED8" w14:textId="77777777" w:rsidR="002419FE" w:rsidRDefault="00000000">
      <w:pPr>
        <w:pStyle w:val="Ttulo3"/>
      </w:pPr>
      <w:r>
        <w:t>Precios unitarios (junio 2026, por millón de tokens)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120"/>
        <w:gridCol w:w="2120"/>
        <w:gridCol w:w="2120"/>
      </w:tblGrid>
      <w:tr w:rsidR="002419FE" w14:paraId="7E0E9E9B"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53CF51C2" w14:textId="77777777" w:rsidR="002419FE" w:rsidRDefault="00000000">
            <w:pPr>
              <w:spacing w:line="252" w:lineRule="auto"/>
            </w:pPr>
            <w:r>
              <w:rPr>
                <w:b/>
                <w:bCs/>
                <w:color w:val="FFFFFF"/>
              </w:rPr>
              <w:t>Modelo</w:t>
            </w:r>
          </w:p>
        </w:tc>
        <w:tc>
          <w:tcPr>
            <w:tcW w:w="212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53806FA5" w14:textId="77777777" w:rsidR="002419FE" w:rsidRDefault="00000000">
            <w:pPr>
              <w:spacing w:line="252" w:lineRule="auto"/>
            </w:pPr>
            <w:r>
              <w:rPr>
                <w:b/>
                <w:bCs/>
                <w:color w:val="FFFFFF"/>
              </w:rPr>
              <w:t>Input</w:t>
            </w:r>
          </w:p>
        </w:tc>
        <w:tc>
          <w:tcPr>
            <w:tcW w:w="212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0147E390" w14:textId="77777777" w:rsidR="002419FE" w:rsidRDefault="00000000">
            <w:pPr>
              <w:spacing w:line="252" w:lineRule="auto"/>
            </w:pPr>
            <w:r>
              <w:rPr>
                <w:b/>
                <w:bCs/>
                <w:color w:val="FFFFFF"/>
              </w:rPr>
              <w:t>Output</w:t>
            </w:r>
          </w:p>
        </w:tc>
        <w:tc>
          <w:tcPr>
            <w:tcW w:w="212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3DF1BDE4" w14:textId="77777777" w:rsidR="002419FE" w:rsidRDefault="00000000">
            <w:pPr>
              <w:spacing w:line="252" w:lineRule="auto"/>
            </w:pPr>
            <w:r>
              <w:rPr>
                <w:b/>
                <w:bCs/>
                <w:color w:val="FFFFFF"/>
              </w:rPr>
              <w:t>Fuente</w:t>
            </w:r>
          </w:p>
        </w:tc>
      </w:tr>
      <w:tr w:rsidR="002419FE" w14:paraId="722ADFB8"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1E79041" w14:textId="77777777" w:rsidR="002419FE" w:rsidRDefault="00000000">
            <w:pPr>
              <w:spacing w:line="252" w:lineRule="auto"/>
            </w:pPr>
            <w:r>
              <w:t>Claude Sonnet 4.6 (VERA)</w:t>
            </w:r>
          </w:p>
        </w:tc>
        <w:tc>
          <w:tcPr>
            <w:tcW w:w="2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B95CF79" w14:textId="77777777" w:rsidR="002419FE" w:rsidRDefault="00000000">
            <w:pPr>
              <w:spacing w:line="252" w:lineRule="auto"/>
            </w:pPr>
            <w:r>
              <w:t>$3,00</w:t>
            </w:r>
          </w:p>
        </w:tc>
        <w:tc>
          <w:tcPr>
            <w:tcW w:w="2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D454832" w14:textId="77777777" w:rsidR="002419FE" w:rsidRDefault="00000000">
            <w:pPr>
              <w:spacing w:line="252" w:lineRule="auto"/>
            </w:pPr>
            <w:r>
              <w:t>$15,00</w:t>
            </w:r>
          </w:p>
        </w:tc>
        <w:tc>
          <w:tcPr>
            <w:tcW w:w="2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5EF8E17" w14:textId="77777777" w:rsidR="002419FE" w:rsidRDefault="00000000">
            <w:pPr>
              <w:spacing w:line="252" w:lineRule="auto"/>
            </w:pPr>
            <w:proofErr w:type="spellStart"/>
            <w:r>
              <w:t>Anthropic</w:t>
            </w:r>
            <w:proofErr w:type="spellEnd"/>
          </w:p>
        </w:tc>
      </w:tr>
      <w:tr w:rsidR="002419FE" w14:paraId="198C2F7A"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1D58E1A" w14:textId="77777777" w:rsidR="002419FE" w:rsidRDefault="00000000">
            <w:pPr>
              <w:spacing w:line="252" w:lineRule="auto"/>
            </w:pPr>
            <w:r>
              <w:rPr>
                <w:color w:val="000000"/>
              </w:rPr>
              <w:t xml:space="preserve">Claude Opus 4.8 (orquestador </w:t>
            </w:r>
            <w:proofErr w:type="spellStart"/>
            <w:r>
              <w:rPr>
                <w:color w:val="000000"/>
              </w:rPr>
              <w:t>dev</w:t>
            </w:r>
            <w:proofErr w:type="spellEnd"/>
            <w:r>
              <w:rPr>
                <w:color w:val="000000"/>
              </w:rPr>
              <w:t>)</w:t>
            </w:r>
          </w:p>
        </w:tc>
        <w:tc>
          <w:tcPr>
            <w:tcW w:w="2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8B969D1" w14:textId="77777777" w:rsidR="002419FE" w:rsidRDefault="00000000">
            <w:pPr>
              <w:spacing w:line="252" w:lineRule="auto"/>
            </w:pPr>
            <w:r>
              <w:rPr>
                <w:color w:val="000000"/>
              </w:rPr>
              <w:t>$5,00</w:t>
            </w:r>
          </w:p>
        </w:tc>
        <w:tc>
          <w:tcPr>
            <w:tcW w:w="2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C1D3FD4" w14:textId="77777777" w:rsidR="002419FE" w:rsidRDefault="00000000">
            <w:pPr>
              <w:spacing w:line="252" w:lineRule="auto"/>
            </w:pPr>
            <w:r>
              <w:rPr>
                <w:color w:val="000000"/>
              </w:rPr>
              <w:t>$25,00</w:t>
            </w:r>
          </w:p>
        </w:tc>
        <w:tc>
          <w:tcPr>
            <w:tcW w:w="2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9269E1A" w14:textId="77777777" w:rsidR="002419FE" w:rsidRDefault="00000000">
            <w:pPr>
              <w:spacing w:line="252" w:lineRule="auto"/>
            </w:pPr>
            <w:proofErr w:type="spellStart"/>
            <w:r>
              <w:rPr>
                <w:color w:val="000000"/>
              </w:rPr>
              <w:t>Anthropic</w:t>
            </w:r>
            <w:proofErr w:type="spellEnd"/>
          </w:p>
        </w:tc>
      </w:tr>
      <w:tr w:rsidR="002419FE" w14:paraId="466DA0DD"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206219B" w14:textId="77777777" w:rsidR="002419FE" w:rsidRDefault="00000000">
            <w:pPr>
              <w:spacing w:line="252" w:lineRule="auto"/>
            </w:pPr>
            <w:r>
              <w:t xml:space="preserve">Claude Haiku 4.5 (tareas </w:t>
            </w:r>
            <w:proofErr w:type="spellStart"/>
            <w:r>
              <w:t>batch</w:t>
            </w:r>
            <w:proofErr w:type="spellEnd"/>
            <w:r>
              <w:t>)</w:t>
            </w:r>
          </w:p>
        </w:tc>
        <w:tc>
          <w:tcPr>
            <w:tcW w:w="2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043F952" w14:textId="77777777" w:rsidR="002419FE" w:rsidRDefault="00000000">
            <w:pPr>
              <w:spacing w:line="252" w:lineRule="auto"/>
            </w:pPr>
            <w:r>
              <w:t>$0,25</w:t>
            </w:r>
          </w:p>
        </w:tc>
        <w:tc>
          <w:tcPr>
            <w:tcW w:w="2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AC0999A" w14:textId="77777777" w:rsidR="002419FE" w:rsidRDefault="00000000">
            <w:pPr>
              <w:spacing w:line="252" w:lineRule="auto"/>
            </w:pPr>
            <w:r>
              <w:t>$1,25</w:t>
            </w:r>
          </w:p>
        </w:tc>
        <w:tc>
          <w:tcPr>
            <w:tcW w:w="2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9D1887C" w14:textId="77777777" w:rsidR="002419FE" w:rsidRDefault="00000000">
            <w:pPr>
              <w:spacing w:line="252" w:lineRule="auto"/>
            </w:pPr>
            <w:proofErr w:type="spellStart"/>
            <w:r>
              <w:t>Anthropic</w:t>
            </w:r>
            <w:proofErr w:type="spellEnd"/>
          </w:p>
        </w:tc>
      </w:tr>
      <w:tr w:rsidR="002419FE" w14:paraId="042229C4"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6C11161" w14:textId="77777777" w:rsidR="002419FE" w:rsidRDefault="00000000">
            <w:pPr>
              <w:spacing w:line="252" w:lineRule="auto"/>
            </w:pPr>
            <w:r>
              <w:rPr>
                <w:color w:val="000000"/>
              </w:rPr>
              <w:t xml:space="preserve">GLM-5.2 (ejecutores </w:t>
            </w:r>
            <w:proofErr w:type="spellStart"/>
            <w:r>
              <w:rPr>
                <w:color w:val="000000"/>
              </w:rPr>
              <w:t>dev</w:t>
            </w:r>
            <w:proofErr w:type="spellEnd"/>
            <w:r>
              <w:rPr>
                <w:color w:val="000000"/>
              </w:rPr>
              <w:t>)</w:t>
            </w:r>
          </w:p>
        </w:tc>
        <w:tc>
          <w:tcPr>
            <w:tcW w:w="2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7C4A0EF" w14:textId="77777777" w:rsidR="002419FE" w:rsidRDefault="00000000">
            <w:pPr>
              <w:spacing w:line="252" w:lineRule="auto"/>
            </w:pPr>
            <w:r>
              <w:rPr>
                <w:color w:val="000000"/>
              </w:rPr>
              <w:t>$1,20</w:t>
            </w:r>
          </w:p>
        </w:tc>
        <w:tc>
          <w:tcPr>
            <w:tcW w:w="2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D5EE3D6" w14:textId="77777777" w:rsidR="002419FE" w:rsidRDefault="00000000">
            <w:pPr>
              <w:spacing w:line="252" w:lineRule="auto"/>
            </w:pPr>
            <w:r>
              <w:rPr>
                <w:color w:val="000000"/>
              </w:rPr>
              <w:t>$3,00</w:t>
            </w:r>
          </w:p>
        </w:tc>
        <w:tc>
          <w:tcPr>
            <w:tcW w:w="2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C5781FA" w14:textId="77777777" w:rsidR="002419FE" w:rsidRDefault="00000000">
            <w:pPr>
              <w:spacing w:line="252" w:lineRule="auto"/>
            </w:pPr>
            <w:proofErr w:type="spellStart"/>
            <w:r>
              <w:rPr>
                <w:color w:val="000000"/>
              </w:rPr>
              <w:t>DeepInfra</w:t>
            </w:r>
            <w:proofErr w:type="spellEnd"/>
          </w:p>
        </w:tc>
      </w:tr>
    </w:tbl>
    <w:p w14:paraId="2DA904CB" w14:textId="77777777" w:rsidR="002419FE" w:rsidRDefault="00000000">
      <w:pPr>
        <w:spacing w:after="120" w:line="276" w:lineRule="auto"/>
      </w:pPr>
      <w:proofErr w:type="spellStart"/>
      <w:r>
        <w:rPr>
          <w:i/>
          <w:iCs/>
          <w:color w:val="555555"/>
        </w:rPr>
        <w:t>Prompt</w:t>
      </w:r>
      <w:proofErr w:type="spellEnd"/>
      <w:r>
        <w:rPr>
          <w:i/>
          <w:iCs/>
          <w:color w:val="555555"/>
        </w:rPr>
        <w:t xml:space="preserve"> </w:t>
      </w:r>
      <w:proofErr w:type="spellStart"/>
      <w:r>
        <w:rPr>
          <w:i/>
          <w:iCs/>
          <w:color w:val="555555"/>
        </w:rPr>
        <w:t>caching</w:t>
      </w:r>
      <w:proofErr w:type="spellEnd"/>
      <w:r>
        <w:rPr>
          <w:i/>
          <w:iCs/>
          <w:color w:val="555555"/>
        </w:rPr>
        <w:t xml:space="preserve"> de </w:t>
      </w:r>
      <w:proofErr w:type="spellStart"/>
      <w:r>
        <w:rPr>
          <w:i/>
          <w:iCs/>
          <w:color w:val="555555"/>
        </w:rPr>
        <w:t>Anthropic</w:t>
      </w:r>
      <w:proofErr w:type="spellEnd"/>
      <w:r>
        <w:rPr>
          <w:i/>
          <w:iCs/>
          <w:color w:val="555555"/>
        </w:rPr>
        <w:t xml:space="preserve">: el input cacheado cuesta ~90% menos. Batch: 50% menos. VERA aplica </w:t>
      </w:r>
      <w:proofErr w:type="spellStart"/>
      <w:r>
        <w:rPr>
          <w:i/>
          <w:iCs/>
          <w:color w:val="555555"/>
        </w:rPr>
        <w:t>caching</w:t>
      </w:r>
      <w:proofErr w:type="spellEnd"/>
      <w:r>
        <w:rPr>
          <w:i/>
          <w:iCs/>
          <w:color w:val="555555"/>
        </w:rPr>
        <w:t xml:space="preserve"> al </w:t>
      </w:r>
      <w:proofErr w:type="spellStart"/>
      <w:r>
        <w:rPr>
          <w:i/>
          <w:iCs/>
          <w:color w:val="555555"/>
        </w:rPr>
        <w:t>system</w:t>
      </w:r>
      <w:proofErr w:type="spellEnd"/>
      <w:r>
        <w:rPr>
          <w:i/>
          <w:iCs/>
          <w:color w:val="555555"/>
        </w:rPr>
        <w:t xml:space="preserve"> </w:t>
      </w:r>
      <w:proofErr w:type="spellStart"/>
      <w:r>
        <w:rPr>
          <w:i/>
          <w:iCs/>
          <w:color w:val="555555"/>
        </w:rPr>
        <w:t>prompt</w:t>
      </w:r>
      <w:proofErr w:type="spellEnd"/>
      <w:r>
        <w:rPr>
          <w:i/>
          <w:iCs/>
          <w:color w:val="555555"/>
        </w:rPr>
        <w:t xml:space="preserve"> + definiciones de herramientas + esquema de stock (porción estática de cada consulta).</w:t>
      </w:r>
    </w:p>
    <w:p w14:paraId="4829A940" w14:textId="77777777" w:rsidR="002419FE" w:rsidRDefault="00000000">
      <w:pPr>
        <w:pStyle w:val="Ttulo3"/>
      </w:pPr>
      <w:r>
        <w:t>VERA en producción — coste para 100 miembros activos</w:t>
      </w:r>
    </w:p>
    <w:p w14:paraId="014EDD5C" w14:textId="77777777" w:rsidR="002419FE" w:rsidRDefault="00000000">
      <w:pPr>
        <w:spacing w:after="120" w:line="276" w:lineRule="auto"/>
      </w:pPr>
      <w:r>
        <w:t xml:space="preserve">Cohorte de lanzamiento (Fase 2, </w:t>
      </w:r>
      <w:proofErr w:type="spellStart"/>
      <w:r>
        <w:t>soft</w:t>
      </w:r>
      <w:proofErr w:type="spellEnd"/>
      <w:r>
        <w:t xml:space="preserve"> </w:t>
      </w:r>
      <w:proofErr w:type="spellStart"/>
      <w:r>
        <w:t>launch</w:t>
      </w:r>
      <w:proofErr w:type="spellEnd"/>
      <w:r>
        <w:t>): se excluye la referencia cruzada (</w:t>
      </w:r>
      <w:proofErr w:type="spellStart"/>
      <w:r>
        <w:t>feature</w:t>
      </w:r>
      <w:proofErr w:type="spellEnd"/>
      <w:r>
        <w:t xml:space="preserve"> de Fase 4). Supuestos de uso por miembro/</w:t>
      </w:r>
      <w:proofErr w:type="gramStart"/>
      <w:r>
        <w:t>mes alineados</w:t>
      </w:r>
      <w:proofErr w:type="gramEnd"/>
      <w:r>
        <w:t xml:space="preserve"> con el funcional (PRD §5.1), con sobrecoste </w:t>
      </w:r>
      <w:proofErr w:type="spellStart"/>
      <w:r>
        <w:t>agéntico</w:t>
      </w:r>
      <w:proofErr w:type="spellEnd"/>
      <w:r>
        <w:t xml:space="preserve"> por </w:t>
      </w:r>
      <w:proofErr w:type="spellStart"/>
      <w:r>
        <w:t>tool</w:t>
      </w:r>
      <w:proofErr w:type="spellEnd"/>
      <w:r>
        <w:t>-use: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9"/>
        <w:gridCol w:w="1668"/>
        <w:gridCol w:w="1665"/>
        <w:gridCol w:w="1666"/>
        <w:gridCol w:w="1662"/>
      </w:tblGrid>
      <w:tr w:rsidR="002419FE" w14:paraId="03E45E80" w14:textId="77777777">
        <w:tblPrEx>
          <w:tblCellMar>
            <w:top w:w="0" w:type="dxa"/>
            <w:bottom w:w="0" w:type="dxa"/>
          </w:tblCellMar>
        </w:tblPrEx>
        <w:trPr>
          <w:tblHeader/>
        </w:trPr>
        <w:tc>
          <w:tcPr>
            <w:tcW w:w="270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498ED57C" w14:textId="77777777" w:rsidR="002419FE" w:rsidRDefault="00000000">
            <w:pPr>
              <w:spacing w:line="252" w:lineRule="auto"/>
            </w:pPr>
            <w:r>
              <w:rPr>
                <w:b/>
                <w:bCs/>
                <w:color w:val="FFFFFF"/>
              </w:rPr>
              <w:t>Caso de uso</w:t>
            </w:r>
          </w:p>
        </w:tc>
        <w:tc>
          <w:tcPr>
            <w:tcW w:w="1666"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07A0BF55" w14:textId="77777777" w:rsidR="002419FE" w:rsidRDefault="00000000">
            <w:pPr>
              <w:spacing w:line="252" w:lineRule="auto"/>
            </w:pPr>
            <w:r>
              <w:rPr>
                <w:b/>
                <w:bCs/>
                <w:color w:val="FFFFFF"/>
              </w:rPr>
              <w:t>Llamadas/mes</w:t>
            </w:r>
          </w:p>
        </w:tc>
        <w:tc>
          <w:tcPr>
            <w:tcW w:w="1666"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3CD8D12F" w14:textId="77777777" w:rsidR="002419FE" w:rsidRDefault="00000000">
            <w:pPr>
              <w:spacing w:line="252" w:lineRule="auto"/>
            </w:pPr>
            <w:r>
              <w:rPr>
                <w:b/>
                <w:bCs/>
                <w:color w:val="FFFFFF"/>
              </w:rPr>
              <w:t xml:space="preserve">Tok. IN/mes (100 </w:t>
            </w:r>
            <w:proofErr w:type="spellStart"/>
            <w:r>
              <w:rPr>
                <w:b/>
                <w:bCs/>
                <w:color w:val="FFFFFF"/>
              </w:rPr>
              <w:t>mbr</w:t>
            </w:r>
            <w:proofErr w:type="spellEnd"/>
            <w:r>
              <w:rPr>
                <w:b/>
                <w:bCs/>
                <w:color w:val="FFFFFF"/>
              </w:rPr>
              <w:t>)</w:t>
            </w:r>
          </w:p>
        </w:tc>
        <w:tc>
          <w:tcPr>
            <w:tcW w:w="1666"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64DDBF7B" w14:textId="77777777" w:rsidR="002419FE" w:rsidRDefault="00000000">
            <w:pPr>
              <w:spacing w:line="252" w:lineRule="auto"/>
            </w:pPr>
            <w:r>
              <w:rPr>
                <w:b/>
                <w:bCs/>
                <w:color w:val="FFFFFF"/>
              </w:rPr>
              <w:t xml:space="preserve">Tok. OUT/mes (100 </w:t>
            </w:r>
            <w:proofErr w:type="spellStart"/>
            <w:r>
              <w:rPr>
                <w:b/>
                <w:bCs/>
                <w:color w:val="FFFFFF"/>
              </w:rPr>
              <w:t>mbr</w:t>
            </w:r>
            <w:proofErr w:type="spellEnd"/>
            <w:r>
              <w:rPr>
                <w:b/>
                <w:bCs/>
                <w:color w:val="FFFFFF"/>
              </w:rPr>
              <w:t>)</w:t>
            </w:r>
          </w:p>
        </w:tc>
        <w:tc>
          <w:tcPr>
            <w:tcW w:w="1662"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2A07AF7F" w14:textId="77777777" w:rsidR="002419FE" w:rsidRDefault="00000000">
            <w:pPr>
              <w:spacing w:line="252" w:lineRule="auto"/>
            </w:pPr>
            <w:r>
              <w:rPr>
                <w:b/>
                <w:bCs/>
                <w:color w:val="FFFFFF"/>
              </w:rPr>
              <w:t>Coste/mes</w:t>
            </w:r>
          </w:p>
        </w:tc>
      </w:tr>
      <w:tr w:rsidR="002419FE" w14:paraId="5F51206A"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B0A134A" w14:textId="77777777" w:rsidR="002419FE" w:rsidRDefault="00000000">
            <w:pPr>
              <w:spacing w:line="252" w:lineRule="auto"/>
            </w:pPr>
            <w:r>
              <w:t>Búsqueda conversacional</w:t>
            </w:r>
          </w:p>
        </w:tc>
        <w:tc>
          <w:tcPr>
            <w:tcW w:w="166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C92DFF6" w14:textId="77777777" w:rsidR="002419FE" w:rsidRDefault="00000000">
            <w:pPr>
              <w:spacing w:line="252" w:lineRule="auto"/>
            </w:pPr>
            <w:r>
              <w:t>176/</w:t>
            </w:r>
            <w:proofErr w:type="spellStart"/>
            <w:r>
              <w:t>mbr</w:t>
            </w:r>
            <w:proofErr w:type="spellEnd"/>
          </w:p>
        </w:tc>
        <w:tc>
          <w:tcPr>
            <w:tcW w:w="166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9A6D7BB" w14:textId="77777777" w:rsidR="002419FE" w:rsidRDefault="00000000">
            <w:pPr>
              <w:spacing w:line="252" w:lineRule="auto"/>
            </w:pPr>
            <w:r>
              <w:t>15,84M</w:t>
            </w:r>
          </w:p>
        </w:tc>
        <w:tc>
          <w:tcPr>
            <w:tcW w:w="166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0AEE20D" w14:textId="77777777" w:rsidR="002419FE" w:rsidRDefault="00000000">
            <w:pPr>
              <w:spacing w:line="252" w:lineRule="auto"/>
            </w:pPr>
            <w:r>
              <w:t>10,56M</w:t>
            </w:r>
          </w:p>
        </w:tc>
        <w:tc>
          <w:tcPr>
            <w:tcW w:w="166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022BA47" w14:textId="77777777" w:rsidR="002419FE" w:rsidRDefault="00000000">
            <w:pPr>
              <w:spacing w:line="252" w:lineRule="auto"/>
            </w:pPr>
            <w:r>
              <w:t>€189</w:t>
            </w:r>
          </w:p>
        </w:tc>
      </w:tr>
      <w:tr w:rsidR="002419FE" w14:paraId="05E14E5B"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6557A05" w14:textId="77777777" w:rsidR="002419FE" w:rsidRDefault="00000000">
            <w:pPr>
              <w:spacing w:line="252" w:lineRule="auto"/>
            </w:pPr>
            <w:r>
              <w:lastRenderedPageBreak/>
              <w:t>Búsqueda por lotes</w:t>
            </w:r>
          </w:p>
        </w:tc>
        <w:tc>
          <w:tcPr>
            <w:tcW w:w="166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836E0CA" w14:textId="77777777" w:rsidR="002419FE" w:rsidRDefault="00000000">
            <w:pPr>
              <w:spacing w:line="252" w:lineRule="auto"/>
            </w:pPr>
            <w:r>
              <w:t>66/</w:t>
            </w:r>
            <w:proofErr w:type="spellStart"/>
            <w:r>
              <w:t>mbr</w:t>
            </w:r>
            <w:proofErr w:type="spellEnd"/>
          </w:p>
        </w:tc>
        <w:tc>
          <w:tcPr>
            <w:tcW w:w="166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C5A9074" w14:textId="77777777" w:rsidR="002419FE" w:rsidRDefault="00000000">
            <w:pPr>
              <w:spacing w:line="252" w:lineRule="auto"/>
            </w:pPr>
            <w:r>
              <w:t>11,88M</w:t>
            </w:r>
          </w:p>
        </w:tc>
        <w:tc>
          <w:tcPr>
            <w:tcW w:w="166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964A1A2" w14:textId="77777777" w:rsidR="002419FE" w:rsidRDefault="00000000">
            <w:pPr>
              <w:spacing w:line="252" w:lineRule="auto"/>
            </w:pPr>
            <w:r>
              <w:t>7,92M</w:t>
            </w:r>
          </w:p>
        </w:tc>
        <w:tc>
          <w:tcPr>
            <w:tcW w:w="166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499A87B" w14:textId="77777777" w:rsidR="002419FE" w:rsidRDefault="00000000">
            <w:pPr>
              <w:spacing w:line="252" w:lineRule="auto"/>
            </w:pPr>
            <w:r>
              <w:t>€142</w:t>
            </w:r>
          </w:p>
        </w:tc>
      </w:tr>
      <w:tr w:rsidR="002419FE" w14:paraId="7EACE805"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F879A1A" w14:textId="77777777" w:rsidR="002419FE" w:rsidRDefault="00000000">
            <w:pPr>
              <w:spacing w:line="252" w:lineRule="auto"/>
            </w:pPr>
            <w:r>
              <w:t>Aprendizaje de preferencias (Haiku)</w:t>
            </w:r>
          </w:p>
        </w:tc>
        <w:tc>
          <w:tcPr>
            <w:tcW w:w="166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02FB542" w14:textId="77777777" w:rsidR="002419FE" w:rsidRDefault="00000000">
            <w:pPr>
              <w:spacing w:line="252" w:lineRule="auto"/>
            </w:pPr>
            <w:r>
              <w:t>30/</w:t>
            </w:r>
            <w:proofErr w:type="spellStart"/>
            <w:r>
              <w:t>mbr</w:t>
            </w:r>
            <w:proofErr w:type="spellEnd"/>
          </w:p>
        </w:tc>
        <w:tc>
          <w:tcPr>
            <w:tcW w:w="166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1496856" w14:textId="77777777" w:rsidR="002419FE" w:rsidRDefault="00000000">
            <w:pPr>
              <w:spacing w:line="252" w:lineRule="auto"/>
            </w:pPr>
            <w:r>
              <w:t>1,20M</w:t>
            </w:r>
          </w:p>
        </w:tc>
        <w:tc>
          <w:tcPr>
            <w:tcW w:w="166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8349066" w14:textId="77777777" w:rsidR="002419FE" w:rsidRDefault="00000000">
            <w:pPr>
              <w:spacing w:line="252" w:lineRule="auto"/>
            </w:pPr>
            <w:r>
              <w:t>0,30M</w:t>
            </w:r>
          </w:p>
        </w:tc>
        <w:tc>
          <w:tcPr>
            <w:tcW w:w="166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3946328" w14:textId="77777777" w:rsidR="002419FE" w:rsidRDefault="00000000">
            <w:pPr>
              <w:spacing w:line="252" w:lineRule="auto"/>
            </w:pPr>
            <w:r>
              <w:t>€1</w:t>
            </w:r>
          </w:p>
        </w:tc>
      </w:tr>
      <w:tr w:rsidR="002419FE" w14:paraId="17DA2295"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A4DF6A3" w14:textId="77777777" w:rsidR="002419FE" w:rsidRDefault="00000000">
            <w:pPr>
              <w:spacing w:line="252" w:lineRule="auto"/>
            </w:pPr>
            <w:r>
              <w:t>Mapeo de columnas CSV (Haiku)</w:t>
            </w:r>
          </w:p>
        </w:tc>
        <w:tc>
          <w:tcPr>
            <w:tcW w:w="166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BFB9791" w14:textId="77777777" w:rsidR="002419FE" w:rsidRDefault="00000000">
            <w:pPr>
              <w:spacing w:line="252" w:lineRule="auto"/>
            </w:pPr>
            <w:r>
              <w:t>1,7/</w:t>
            </w:r>
            <w:proofErr w:type="spellStart"/>
            <w:r>
              <w:t>mbr</w:t>
            </w:r>
            <w:proofErr w:type="spellEnd"/>
          </w:p>
        </w:tc>
        <w:tc>
          <w:tcPr>
            <w:tcW w:w="166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DF27309" w14:textId="77777777" w:rsidR="002419FE" w:rsidRDefault="00000000">
            <w:pPr>
              <w:spacing w:line="252" w:lineRule="auto"/>
            </w:pPr>
            <w:r>
              <w:t>0,09M</w:t>
            </w:r>
          </w:p>
        </w:tc>
        <w:tc>
          <w:tcPr>
            <w:tcW w:w="166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934068D" w14:textId="77777777" w:rsidR="002419FE" w:rsidRDefault="00000000">
            <w:pPr>
              <w:spacing w:line="252" w:lineRule="auto"/>
            </w:pPr>
            <w:r>
              <w:t>0,03M</w:t>
            </w:r>
          </w:p>
        </w:tc>
        <w:tc>
          <w:tcPr>
            <w:tcW w:w="166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BEC0074" w14:textId="77777777" w:rsidR="002419FE" w:rsidRDefault="00000000">
            <w:pPr>
              <w:spacing w:line="252" w:lineRule="auto"/>
            </w:pPr>
            <w:r>
              <w:t>€0</w:t>
            </w:r>
          </w:p>
        </w:tc>
      </w:tr>
      <w:tr w:rsidR="002419FE" w14:paraId="01CB5F67"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66D69B3" w14:textId="77777777" w:rsidR="002419FE" w:rsidRPr="008736EE" w:rsidRDefault="00000000">
            <w:pPr>
              <w:spacing w:line="252" w:lineRule="auto"/>
              <w:rPr>
                <w:lang w:val="en-US"/>
              </w:rPr>
            </w:pPr>
            <w:r w:rsidRPr="008736EE">
              <w:rPr>
                <w:b/>
                <w:bCs/>
                <w:color w:val="000000"/>
                <w:lang w:val="en-US"/>
              </w:rPr>
              <w:t>Subtotal bruto VERA (Sonnet+Haiku)</w:t>
            </w:r>
          </w:p>
        </w:tc>
        <w:tc>
          <w:tcPr>
            <w:tcW w:w="166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E7CBB03" w14:textId="77777777" w:rsidR="002419FE" w:rsidRDefault="00000000">
            <w:pPr>
              <w:spacing w:line="252" w:lineRule="auto"/>
            </w:pPr>
            <w:r>
              <w:rPr>
                <w:b/>
                <w:bCs/>
                <w:color w:val="000000"/>
              </w:rPr>
              <w:t>—</w:t>
            </w:r>
          </w:p>
        </w:tc>
        <w:tc>
          <w:tcPr>
            <w:tcW w:w="166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21F4AC4" w14:textId="77777777" w:rsidR="002419FE" w:rsidRDefault="00000000">
            <w:pPr>
              <w:spacing w:line="252" w:lineRule="auto"/>
            </w:pPr>
            <w:r>
              <w:rPr>
                <w:b/>
                <w:bCs/>
                <w:color w:val="000000"/>
              </w:rPr>
              <w:t>29,01M</w:t>
            </w:r>
          </w:p>
        </w:tc>
        <w:tc>
          <w:tcPr>
            <w:tcW w:w="166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5841187" w14:textId="77777777" w:rsidR="002419FE" w:rsidRDefault="00000000">
            <w:pPr>
              <w:spacing w:line="252" w:lineRule="auto"/>
            </w:pPr>
            <w:r>
              <w:rPr>
                <w:b/>
                <w:bCs/>
                <w:color w:val="000000"/>
              </w:rPr>
              <w:t>18,81M</w:t>
            </w:r>
          </w:p>
        </w:tc>
        <w:tc>
          <w:tcPr>
            <w:tcW w:w="166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6A13717" w14:textId="77777777" w:rsidR="002419FE" w:rsidRDefault="00000000">
            <w:pPr>
              <w:spacing w:line="252" w:lineRule="auto"/>
            </w:pPr>
            <w:r>
              <w:rPr>
                <w:b/>
                <w:bCs/>
                <w:color w:val="000000"/>
              </w:rPr>
              <w:t>€332</w:t>
            </w:r>
          </w:p>
        </w:tc>
      </w:tr>
      <w:tr w:rsidR="002419FE" w14:paraId="1A7E8C8C"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vAlign w:val="center"/>
          </w:tcPr>
          <w:p w14:paraId="72179110" w14:textId="77777777" w:rsidR="002419FE" w:rsidRPr="008736EE" w:rsidRDefault="00000000">
            <w:pPr>
              <w:spacing w:line="252" w:lineRule="auto"/>
              <w:rPr>
                <w:lang w:val="en-US"/>
              </w:rPr>
            </w:pPr>
            <w:r w:rsidRPr="008736EE">
              <w:rPr>
                <w:b/>
                <w:bCs/>
                <w:color w:val="000000"/>
                <w:lang w:val="en-US"/>
              </w:rPr>
              <w:t>Con prompt caching (system+esquema)</w:t>
            </w:r>
          </w:p>
        </w:tc>
        <w:tc>
          <w:tcPr>
            <w:tcW w:w="1666"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vAlign w:val="center"/>
          </w:tcPr>
          <w:p w14:paraId="0D24F7D2" w14:textId="77777777" w:rsidR="002419FE" w:rsidRDefault="00000000">
            <w:pPr>
              <w:spacing w:line="252" w:lineRule="auto"/>
            </w:pPr>
            <w:r>
              <w:rPr>
                <w:color w:val="000000"/>
              </w:rPr>
              <w:t>—</w:t>
            </w:r>
          </w:p>
        </w:tc>
        <w:tc>
          <w:tcPr>
            <w:tcW w:w="1666"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vAlign w:val="center"/>
          </w:tcPr>
          <w:p w14:paraId="5E43F826" w14:textId="77777777" w:rsidR="002419FE" w:rsidRDefault="00000000">
            <w:pPr>
              <w:spacing w:line="252" w:lineRule="auto"/>
            </w:pPr>
            <w:r>
              <w:rPr>
                <w:color w:val="000000"/>
              </w:rPr>
              <w:t>—</w:t>
            </w:r>
          </w:p>
        </w:tc>
        <w:tc>
          <w:tcPr>
            <w:tcW w:w="1666"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vAlign w:val="center"/>
          </w:tcPr>
          <w:p w14:paraId="7093A0DE" w14:textId="77777777" w:rsidR="002419FE" w:rsidRDefault="00000000">
            <w:pPr>
              <w:spacing w:line="252" w:lineRule="auto"/>
            </w:pPr>
            <w:r>
              <w:rPr>
                <w:color w:val="000000"/>
              </w:rPr>
              <w:t>—</w:t>
            </w:r>
          </w:p>
        </w:tc>
        <w:tc>
          <w:tcPr>
            <w:tcW w:w="1662"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vAlign w:val="center"/>
          </w:tcPr>
          <w:p w14:paraId="6A8F6765" w14:textId="77777777" w:rsidR="002419FE" w:rsidRDefault="00000000">
            <w:pPr>
              <w:spacing w:line="252" w:lineRule="auto"/>
            </w:pPr>
            <w:r>
              <w:rPr>
                <w:b/>
                <w:bCs/>
                <w:color w:val="000000"/>
              </w:rPr>
              <w:t>≈ €300/mes</w:t>
            </w:r>
          </w:p>
        </w:tc>
      </w:tr>
    </w:tbl>
    <w:p w14:paraId="03E29E32" w14:textId="77777777" w:rsidR="002419FE" w:rsidRDefault="00000000">
      <w:pPr>
        <w:spacing w:after="120" w:line="276" w:lineRule="auto"/>
      </w:pPr>
      <w:r>
        <w:t xml:space="preserve">Cálculo Sonnet: 27,72M IN × $3 + 18,48M OUT × $15 = $360,4/mes → €332; el </w:t>
      </w:r>
      <w:proofErr w:type="spellStart"/>
      <w:r>
        <w:t>caching</w:t>
      </w:r>
      <w:proofErr w:type="spellEnd"/>
      <w:r>
        <w:t xml:space="preserve"> y el desvío de tareas </w:t>
      </w:r>
      <w:proofErr w:type="spellStart"/>
      <w:r>
        <w:t>batch</w:t>
      </w:r>
      <w:proofErr w:type="spellEnd"/>
      <w:r>
        <w:t xml:space="preserve"> a Haiku lo bajan a ≈ €300/mes. </w:t>
      </w:r>
      <w:r>
        <w:rPr>
          <w:b/>
          <w:bCs/>
        </w:rPr>
        <w:t>Aviso de varianza:</w:t>
      </w:r>
      <w:r>
        <w:t xml:space="preserve"> durante la prueba gratuita de 3 meses el uso puede triplicarse (riesgo HIGH del Tech Stack v1.1); presupuestar un colchón hasta ≈ €700–900/mes para la cohorte en trial.</w:t>
      </w:r>
    </w:p>
    <w:p w14:paraId="27DB94A5" w14:textId="77777777" w:rsidR="002419FE" w:rsidRDefault="00000000">
      <w:pPr>
        <w:pStyle w:val="Ttulo3"/>
      </w:pPr>
      <w:r>
        <w:t>Agentes de desarrollo — coste mensual del pipeline (</w:t>
      </w:r>
      <w:proofErr w:type="spellStart"/>
      <w:r>
        <w:t>build</w:t>
      </w:r>
      <w:proofErr w:type="spellEnd"/>
      <w:r>
        <w:t>-time)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920"/>
        <w:gridCol w:w="1920"/>
        <w:gridCol w:w="1920"/>
      </w:tblGrid>
      <w:tr w:rsidR="002419FE" w14:paraId="6C815393" w14:textId="77777777">
        <w:tblPrEx>
          <w:tblCellMar>
            <w:top w:w="0" w:type="dxa"/>
            <w:bottom w:w="0" w:type="dxa"/>
          </w:tblCellMar>
        </w:tblPrEx>
        <w:trPr>
          <w:tblHeader/>
        </w:trPr>
        <w:tc>
          <w:tcPr>
            <w:tcW w:w="360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2DE2456D" w14:textId="77777777" w:rsidR="002419FE" w:rsidRDefault="00000000">
            <w:pPr>
              <w:spacing w:line="252" w:lineRule="auto"/>
            </w:pPr>
            <w:r>
              <w:rPr>
                <w:b/>
                <w:bCs/>
                <w:color w:val="FFFFFF"/>
              </w:rPr>
              <w:t>Componente</w:t>
            </w:r>
          </w:p>
        </w:tc>
        <w:tc>
          <w:tcPr>
            <w:tcW w:w="192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5C8E2503" w14:textId="77777777" w:rsidR="002419FE" w:rsidRDefault="00000000">
            <w:pPr>
              <w:spacing w:line="252" w:lineRule="auto"/>
            </w:pPr>
            <w:r>
              <w:rPr>
                <w:b/>
                <w:bCs/>
                <w:color w:val="FFFFFF"/>
              </w:rPr>
              <w:t>Tok. IN/mes</w:t>
            </w:r>
          </w:p>
        </w:tc>
        <w:tc>
          <w:tcPr>
            <w:tcW w:w="192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542EC9B1" w14:textId="77777777" w:rsidR="002419FE" w:rsidRDefault="00000000">
            <w:pPr>
              <w:spacing w:line="252" w:lineRule="auto"/>
            </w:pPr>
            <w:r>
              <w:rPr>
                <w:b/>
                <w:bCs/>
                <w:color w:val="FFFFFF"/>
              </w:rPr>
              <w:t>Tok. OUT/mes</w:t>
            </w:r>
          </w:p>
        </w:tc>
        <w:tc>
          <w:tcPr>
            <w:tcW w:w="192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21FC70D5" w14:textId="77777777" w:rsidR="002419FE" w:rsidRDefault="00000000">
            <w:pPr>
              <w:spacing w:line="252" w:lineRule="auto"/>
            </w:pPr>
            <w:r>
              <w:rPr>
                <w:b/>
                <w:bCs/>
                <w:color w:val="FFFFFF"/>
              </w:rPr>
              <w:t>Coste/mes</w:t>
            </w:r>
          </w:p>
        </w:tc>
      </w:tr>
      <w:tr w:rsidR="002419FE" w14:paraId="4F4B910F"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8701115" w14:textId="77777777" w:rsidR="002419FE" w:rsidRDefault="00000000">
            <w:pPr>
              <w:spacing w:line="252" w:lineRule="auto"/>
            </w:pPr>
            <w:r>
              <w:t>GLM-5.2 (ejecutores de código)</w:t>
            </w:r>
          </w:p>
        </w:tc>
        <w:tc>
          <w:tcPr>
            <w:tcW w:w="19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E4C3503" w14:textId="77777777" w:rsidR="002419FE" w:rsidRDefault="00000000">
            <w:pPr>
              <w:spacing w:line="252" w:lineRule="auto"/>
            </w:pPr>
            <w:r>
              <w:t>75M</w:t>
            </w:r>
          </w:p>
        </w:tc>
        <w:tc>
          <w:tcPr>
            <w:tcW w:w="19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C9A7A87" w14:textId="77777777" w:rsidR="002419FE" w:rsidRDefault="00000000">
            <w:pPr>
              <w:spacing w:line="252" w:lineRule="auto"/>
            </w:pPr>
            <w:r>
              <w:t>15M</w:t>
            </w:r>
          </w:p>
        </w:tc>
        <w:tc>
          <w:tcPr>
            <w:tcW w:w="19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D5B36A1" w14:textId="77777777" w:rsidR="002419FE" w:rsidRDefault="00000000">
            <w:pPr>
              <w:spacing w:line="252" w:lineRule="auto"/>
            </w:pPr>
            <w:r>
              <w:t>€124</w:t>
            </w:r>
          </w:p>
        </w:tc>
      </w:tr>
      <w:tr w:rsidR="002419FE" w14:paraId="388E50D9"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108CCBC" w14:textId="77777777" w:rsidR="002419FE" w:rsidRDefault="00000000">
            <w:pPr>
              <w:spacing w:line="252" w:lineRule="auto"/>
            </w:pPr>
            <w:r>
              <w:rPr>
                <w:color w:val="000000"/>
              </w:rPr>
              <w:t>Claude Opus 4.8 (orquestador)</w:t>
            </w:r>
          </w:p>
        </w:tc>
        <w:tc>
          <w:tcPr>
            <w:tcW w:w="19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9A30B6E" w14:textId="77777777" w:rsidR="002419FE" w:rsidRDefault="00000000">
            <w:pPr>
              <w:spacing w:line="252" w:lineRule="auto"/>
            </w:pPr>
            <w:r>
              <w:rPr>
                <w:color w:val="000000"/>
              </w:rPr>
              <w:t>3M</w:t>
            </w:r>
          </w:p>
        </w:tc>
        <w:tc>
          <w:tcPr>
            <w:tcW w:w="19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EFA7193" w14:textId="77777777" w:rsidR="002419FE" w:rsidRDefault="00000000">
            <w:pPr>
              <w:spacing w:line="252" w:lineRule="auto"/>
            </w:pPr>
            <w:r>
              <w:rPr>
                <w:color w:val="000000"/>
              </w:rPr>
              <w:t>0,5M</w:t>
            </w:r>
          </w:p>
        </w:tc>
        <w:tc>
          <w:tcPr>
            <w:tcW w:w="19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8E3DC7B" w14:textId="77777777" w:rsidR="002419FE" w:rsidRDefault="00000000">
            <w:pPr>
              <w:spacing w:line="252" w:lineRule="auto"/>
            </w:pPr>
            <w:r>
              <w:rPr>
                <w:color w:val="000000"/>
              </w:rPr>
              <w:t>€25</w:t>
            </w:r>
          </w:p>
        </w:tc>
      </w:tr>
      <w:tr w:rsidR="002419FE" w14:paraId="47A7C7C5"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6C05977" w14:textId="77777777" w:rsidR="002419FE" w:rsidRDefault="00000000">
            <w:pPr>
              <w:spacing w:line="252" w:lineRule="auto"/>
            </w:pPr>
            <w:r>
              <w:rPr>
                <w:b/>
                <w:bCs/>
                <w:color w:val="000000"/>
              </w:rPr>
              <w:t>Subtotal pipeline desarrollo</w:t>
            </w:r>
          </w:p>
        </w:tc>
        <w:tc>
          <w:tcPr>
            <w:tcW w:w="19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C3512C1" w14:textId="77777777" w:rsidR="002419FE" w:rsidRDefault="00000000">
            <w:pPr>
              <w:spacing w:line="252" w:lineRule="auto"/>
            </w:pPr>
            <w:r>
              <w:rPr>
                <w:b/>
                <w:bCs/>
                <w:color w:val="000000"/>
              </w:rPr>
              <w:t>78M</w:t>
            </w:r>
          </w:p>
        </w:tc>
        <w:tc>
          <w:tcPr>
            <w:tcW w:w="19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B1D5EDC" w14:textId="77777777" w:rsidR="002419FE" w:rsidRDefault="00000000">
            <w:pPr>
              <w:spacing w:line="252" w:lineRule="auto"/>
            </w:pPr>
            <w:r>
              <w:rPr>
                <w:b/>
                <w:bCs/>
                <w:color w:val="000000"/>
              </w:rPr>
              <w:t>15,5M</w:t>
            </w:r>
          </w:p>
        </w:tc>
        <w:tc>
          <w:tcPr>
            <w:tcW w:w="19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0CD1B94" w14:textId="77777777" w:rsidR="002419FE" w:rsidRDefault="00000000">
            <w:pPr>
              <w:spacing w:line="252" w:lineRule="auto"/>
            </w:pPr>
            <w:r>
              <w:rPr>
                <w:b/>
                <w:bCs/>
                <w:color w:val="000000"/>
              </w:rPr>
              <w:t>≈ €150/mes</w:t>
            </w:r>
          </w:p>
        </w:tc>
      </w:tr>
    </w:tbl>
    <w:p w14:paraId="0AA7A397" w14:textId="77777777" w:rsidR="002419FE" w:rsidRDefault="00000000">
      <w:pPr>
        <w:spacing w:after="120" w:line="276" w:lineRule="auto"/>
      </w:pPr>
      <w:r>
        <w:rPr>
          <w:i/>
          <w:iCs/>
          <w:color w:val="555555"/>
        </w:rPr>
        <w:t>Este coste es transitorio (existe mientras hay desarrollo activo), no escala con el número de miembros, y desaparece o se reduce mucho en régimen de mantenimiento.</w:t>
      </w:r>
    </w:p>
    <w:p w14:paraId="5C3B9538" w14:textId="77777777" w:rsidR="002419FE" w:rsidRDefault="00000000">
      <w:pPr>
        <w:pStyle w:val="Ttulo3"/>
      </w:pPr>
      <w:r>
        <w:t>Coste total mensual estimado — primeros 100 miembros activos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2419FE" w14:paraId="5A122EAB" w14:textId="77777777">
        <w:tblPrEx>
          <w:tblCellMar>
            <w:top w:w="0" w:type="dxa"/>
            <w:bottom w:w="0" w:type="dxa"/>
          </w:tblCellMar>
        </w:tblPrEx>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74D87C7A" w14:textId="77777777" w:rsidR="002419FE" w:rsidRDefault="00000000">
            <w:pPr>
              <w:spacing w:line="252" w:lineRule="auto"/>
            </w:pPr>
            <w:r>
              <w:rPr>
                <w:b/>
                <w:bCs/>
                <w:color w:val="FFFFFF"/>
              </w:rPr>
              <w:t>Partida</w:t>
            </w:r>
          </w:p>
        </w:tc>
        <w:tc>
          <w:tcPr>
            <w:tcW w:w="234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302C4D2E" w14:textId="77777777" w:rsidR="002419FE" w:rsidRDefault="00000000">
            <w:pPr>
              <w:spacing w:line="252" w:lineRule="auto"/>
            </w:pPr>
            <w:r>
              <w:rPr>
                <w:b/>
                <w:bCs/>
                <w:color w:val="FFFFFF"/>
              </w:rPr>
              <w:t>Coste/mes (EUR)</w:t>
            </w:r>
          </w:p>
        </w:tc>
        <w:tc>
          <w:tcPr>
            <w:tcW w:w="234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2E99B71A" w14:textId="77777777" w:rsidR="002419FE" w:rsidRDefault="00000000">
            <w:pPr>
              <w:spacing w:line="252" w:lineRule="auto"/>
            </w:pPr>
            <w:r>
              <w:rPr>
                <w:b/>
                <w:bCs/>
                <w:color w:val="FFFFFF"/>
              </w:rPr>
              <w:t>Naturaleza</w:t>
            </w:r>
          </w:p>
        </w:tc>
      </w:tr>
      <w:tr w:rsidR="002419FE" w14:paraId="40E6DD1A"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695483E" w14:textId="77777777" w:rsidR="002419FE" w:rsidRDefault="00000000">
            <w:pPr>
              <w:spacing w:line="252" w:lineRule="auto"/>
            </w:pPr>
            <w:r>
              <w:t>VERA en producción (Claude Sonnet 4.6)</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8011824" w14:textId="77777777" w:rsidR="002419FE" w:rsidRDefault="00000000">
            <w:pPr>
              <w:spacing w:line="252" w:lineRule="auto"/>
            </w:pPr>
            <w:r>
              <w:t>≈ €300</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D07D799" w14:textId="77777777" w:rsidR="002419FE" w:rsidRDefault="00000000">
            <w:pPr>
              <w:spacing w:line="252" w:lineRule="auto"/>
            </w:pPr>
            <w:proofErr w:type="spellStart"/>
            <w:r>
              <w:t>Runtime</w:t>
            </w:r>
            <w:proofErr w:type="spellEnd"/>
            <w:r>
              <w:t>, escala con miembros</w:t>
            </w:r>
          </w:p>
        </w:tc>
      </w:tr>
      <w:tr w:rsidR="002419FE" w14:paraId="4ED6A169"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3BD0416" w14:textId="77777777" w:rsidR="002419FE" w:rsidRDefault="00000000">
            <w:pPr>
              <w:spacing w:line="252" w:lineRule="auto"/>
            </w:pPr>
            <w:r>
              <w:t>Agentes de desarrollo (GLM-5.2 + Opus 4.8)</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552B16F" w14:textId="77777777" w:rsidR="002419FE" w:rsidRDefault="00000000">
            <w:pPr>
              <w:spacing w:line="252" w:lineRule="auto"/>
            </w:pPr>
            <w:r>
              <w:t>≈ €150</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06DC977" w14:textId="77777777" w:rsidR="002419FE" w:rsidRDefault="00000000">
            <w:pPr>
              <w:spacing w:line="252" w:lineRule="auto"/>
            </w:pPr>
            <w:proofErr w:type="spellStart"/>
            <w:r>
              <w:t>Build</w:t>
            </w:r>
            <w:proofErr w:type="spellEnd"/>
            <w:r>
              <w:t>-time, transitorio</w:t>
            </w:r>
          </w:p>
        </w:tc>
      </w:tr>
      <w:tr w:rsidR="002419FE" w14:paraId="28DF1484"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AFB286A" w14:textId="77777777" w:rsidR="002419FE" w:rsidRDefault="00000000">
            <w:pPr>
              <w:spacing w:line="252" w:lineRule="auto"/>
            </w:pPr>
            <w:r>
              <w:t>Infraestructura base</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04A3A3C" w14:textId="77777777" w:rsidR="002419FE" w:rsidRDefault="00000000">
            <w:pPr>
              <w:spacing w:line="252" w:lineRule="auto"/>
            </w:pPr>
            <w:r>
              <w:t>≈ €800</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AA8CD77" w14:textId="77777777" w:rsidR="002419FE" w:rsidRDefault="00000000">
            <w:pPr>
              <w:spacing w:line="252" w:lineRule="auto"/>
            </w:pPr>
            <w:r>
              <w:t>Mayormente fija a baja escala</w:t>
            </w:r>
          </w:p>
        </w:tc>
      </w:tr>
      <w:tr w:rsidR="002419FE" w14:paraId="40E7B029"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vAlign w:val="center"/>
          </w:tcPr>
          <w:p w14:paraId="1122CDF8" w14:textId="77777777" w:rsidR="002419FE" w:rsidRDefault="00000000">
            <w:pPr>
              <w:spacing w:line="252" w:lineRule="auto"/>
            </w:pPr>
            <w:r>
              <w:rPr>
                <w:b/>
                <w:bCs/>
                <w:color w:val="000000"/>
              </w:rPr>
              <w:t>TOTAL (régimen, sin colchón de trial)</w:t>
            </w:r>
          </w:p>
        </w:tc>
        <w:tc>
          <w:tcPr>
            <w:tcW w:w="234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vAlign w:val="center"/>
          </w:tcPr>
          <w:p w14:paraId="7F44578A" w14:textId="77777777" w:rsidR="002419FE" w:rsidRDefault="00000000">
            <w:pPr>
              <w:spacing w:line="252" w:lineRule="auto"/>
            </w:pPr>
            <w:r>
              <w:rPr>
                <w:b/>
                <w:bCs/>
                <w:color w:val="000000"/>
              </w:rPr>
              <w:t>≈ €1.250/mes</w:t>
            </w:r>
          </w:p>
        </w:tc>
        <w:tc>
          <w:tcPr>
            <w:tcW w:w="234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vAlign w:val="center"/>
          </w:tcPr>
          <w:p w14:paraId="7BDF4F07" w14:textId="77777777" w:rsidR="002419FE" w:rsidRDefault="00000000">
            <w:pPr>
              <w:spacing w:line="252" w:lineRule="auto"/>
            </w:pPr>
            <w:r>
              <w:rPr>
                <w:color w:val="000000"/>
              </w:rPr>
              <w:t>≈ €15.000/año</w:t>
            </w:r>
          </w:p>
        </w:tc>
      </w:tr>
      <w:tr w:rsidR="002419FE" w14:paraId="3BAB0615"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35DEF09" w14:textId="77777777" w:rsidR="002419FE" w:rsidRDefault="00000000">
            <w:pPr>
              <w:spacing w:line="252" w:lineRule="auto"/>
            </w:pPr>
            <w:proofErr w:type="gramStart"/>
            <w:r>
              <w:rPr>
                <w:b/>
                <w:bCs/>
                <w:color w:val="000000"/>
              </w:rPr>
              <w:t>TOTAL</w:t>
            </w:r>
            <w:proofErr w:type="gramEnd"/>
            <w:r>
              <w:rPr>
                <w:b/>
                <w:bCs/>
                <w:color w:val="000000"/>
              </w:rPr>
              <w:t xml:space="preserve"> con colchón de IA en trial</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5A7F374" w14:textId="77777777" w:rsidR="002419FE" w:rsidRDefault="00000000">
            <w:pPr>
              <w:spacing w:line="252" w:lineRule="auto"/>
            </w:pPr>
            <w:r>
              <w:rPr>
                <w:b/>
                <w:bCs/>
                <w:color w:val="000000"/>
              </w:rPr>
              <w:t>≈ €1.750/mes</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733720B" w14:textId="77777777" w:rsidR="002419FE" w:rsidRDefault="00000000">
            <w:pPr>
              <w:spacing w:line="252" w:lineRule="auto"/>
            </w:pPr>
            <w:r>
              <w:t>Pico durante la prueba gratuita</w:t>
            </w:r>
          </w:p>
        </w:tc>
      </w:tr>
    </w:tbl>
    <w:p w14:paraId="2B1537A9" w14:textId="77777777" w:rsidR="002419FE" w:rsidRDefault="00000000">
      <w:pPr>
        <w:pStyle w:val="Ttulo3"/>
      </w:pPr>
      <w:r>
        <w:t>Desglose de la infraestructura base (≈ €800/mes)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2419FE" w14:paraId="025C1FDB" w14:textId="77777777">
        <w:tblPrEx>
          <w:tblCellMar>
            <w:top w:w="0" w:type="dxa"/>
            <w:bottom w:w="0" w:type="dxa"/>
          </w:tblCellMar>
        </w:tblPrEx>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680514AD" w14:textId="77777777" w:rsidR="002419FE" w:rsidRDefault="00000000">
            <w:pPr>
              <w:spacing w:line="252" w:lineRule="auto"/>
            </w:pPr>
            <w:r>
              <w:rPr>
                <w:b/>
                <w:bCs/>
                <w:color w:val="FFFFFF"/>
              </w:rPr>
              <w:t>Servicio</w:t>
            </w:r>
          </w:p>
        </w:tc>
        <w:tc>
          <w:tcPr>
            <w:tcW w:w="234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25F7193A" w14:textId="77777777" w:rsidR="002419FE" w:rsidRDefault="00000000">
            <w:pPr>
              <w:spacing w:line="252" w:lineRule="auto"/>
            </w:pPr>
            <w:r>
              <w:rPr>
                <w:b/>
                <w:bCs/>
                <w:color w:val="FFFFFF"/>
              </w:rPr>
              <w:t>EUR/mes</w:t>
            </w:r>
          </w:p>
        </w:tc>
        <w:tc>
          <w:tcPr>
            <w:tcW w:w="234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138F7A86" w14:textId="77777777" w:rsidR="002419FE" w:rsidRDefault="00000000">
            <w:pPr>
              <w:spacing w:line="252" w:lineRule="auto"/>
            </w:pPr>
            <w:r>
              <w:rPr>
                <w:b/>
                <w:bCs/>
                <w:color w:val="FFFFFF"/>
              </w:rPr>
              <w:t>Nota</w:t>
            </w:r>
          </w:p>
        </w:tc>
      </w:tr>
      <w:tr w:rsidR="002419FE" w14:paraId="303E29B2"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33EB860" w14:textId="77777777" w:rsidR="002419FE" w:rsidRPr="008736EE" w:rsidRDefault="00000000">
            <w:pPr>
              <w:spacing w:line="252" w:lineRule="auto"/>
              <w:rPr>
                <w:lang w:val="en-US"/>
              </w:rPr>
            </w:pPr>
            <w:r w:rsidRPr="008736EE">
              <w:rPr>
                <w:lang w:val="en-US"/>
              </w:rPr>
              <w:t>Supabase (Postgres+Auth+Storage+Realtime)</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8340DF9" w14:textId="77777777" w:rsidR="002419FE" w:rsidRDefault="00000000">
            <w:pPr>
              <w:spacing w:line="252" w:lineRule="auto"/>
            </w:pPr>
            <w:r>
              <w:t>≈ €120</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008E4CC" w14:textId="77777777" w:rsidR="002419FE" w:rsidRDefault="00000000">
            <w:pPr>
              <w:spacing w:line="252" w:lineRule="auto"/>
            </w:pPr>
            <w:r>
              <w:t>Plan Pro + cómputo</w:t>
            </w:r>
          </w:p>
        </w:tc>
      </w:tr>
      <w:tr w:rsidR="002419FE" w14:paraId="1E276C7F"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BD2655C" w14:textId="77777777" w:rsidR="002419FE" w:rsidRPr="008736EE" w:rsidRDefault="00000000">
            <w:pPr>
              <w:spacing w:line="252" w:lineRule="auto"/>
              <w:rPr>
                <w:lang w:val="en-US"/>
              </w:rPr>
            </w:pPr>
            <w:r w:rsidRPr="008736EE">
              <w:rPr>
                <w:color w:val="000000"/>
                <w:lang w:val="en-US"/>
              </w:rPr>
              <w:t>Host de contenedores (app + Go + Typesense)</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1875024" w14:textId="77777777" w:rsidR="002419FE" w:rsidRDefault="00000000">
            <w:pPr>
              <w:spacing w:line="252" w:lineRule="auto"/>
            </w:pPr>
            <w:r>
              <w:rPr>
                <w:color w:val="000000"/>
              </w:rPr>
              <w:t>≈ €250</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F1A4720" w14:textId="77777777" w:rsidR="002419FE" w:rsidRDefault="00000000">
            <w:pPr>
              <w:spacing w:line="252" w:lineRule="auto"/>
            </w:pPr>
            <w:r>
              <w:rPr>
                <w:color w:val="000000"/>
              </w:rPr>
              <w:t xml:space="preserve">Fly.io / ECS </w:t>
            </w:r>
            <w:proofErr w:type="spellStart"/>
            <w:r>
              <w:rPr>
                <w:color w:val="000000"/>
              </w:rPr>
              <w:t>Fargate</w:t>
            </w:r>
            <w:proofErr w:type="spellEnd"/>
          </w:p>
        </w:tc>
      </w:tr>
      <w:tr w:rsidR="002419FE" w14:paraId="2FDA6A4B"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979FDC1" w14:textId="77777777" w:rsidR="002419FE" w:rsidRPr="008736EE" w:rsidRDefault="00000000">
            <w:pPr>
              <w:spacing w:line="252" w:lineRule="auto"/>
              <w:rPr>
                <w:lang w:val="en-US"/>
              </w:rPr>
            </w:pPr>
            <w:r w:rsidRPr="008736EE">
              <w:rPr>
                <w:lang w:val="en-US"/>
              </w:rPr>
              <w:t>Cloudflare (WAF + Workers, plan Business)</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808C91B" w14:textId="77777777" w:rsidR="002419FE" w:rsidRDefault="00000000">
            <w:pPr>
              <w:spacing w:line="252" w:lineRule="auto"/>
            </w:pPr>
            <w:r>
              <w:t>≈ €200</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417CB2D" w14:textId="77777777" w:rsidR="002419FE" w:rsidRDefault="00000000">
            <w:pPr>
              <w:spacing w:line="252" w:lineRule="auto"/>
            </w:pPr>
            <w:r>
              <w:t>Borde y seguridad</w:t>
            </w:r>
          </w:p>
        </w:tc>
      </w:tr>
      <w:tr w:rsidR="002419FE" w14:paraId="22E0540E"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92C9D21" w14:textId="77777777" w:rsidR="002419FE" w:rsidRDefault="00000000">
            <w:pPr>
              <w:spacing w:line="252" w:lineRule="auto"/>
            </w:pPr>
            <w:r>
              <w:rPr>
                <w:color w:val="000000"/>
              </w:rPr>
              <w:lastRenderedPageBreak/>
              <w:t>Redis gestionado (</w:t>
            </w:r>
            <w:proofErr w:type="spellStart"/>
            <w:r>
              <w:rPr>
                <w:color w:val="000000"/>
              </w:rPr>
              <w:t>Upstash</w:t>
            </w:r>
            <w:proofErr w:type="spellEnd"/>
            <w:r>
              <w:rPr>
                <w:color w:val="000000"/>
              </w:rPr>
              <w:t>)</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F94EBAE" w14:textId="77777777" w:rsidR="002419FE" w:rsidRDefault="00000000">
            <w:pPr>
              <w:spacing w:line="252" w:lineRule="auto"/>
            </w:pPr>
            <w:r>
              <w:rPr>
                <w:color w:val="000000"/>
              </w:rPr>
              <w:t>≈ €30</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F22533E" w14:textId="77777777" w:rsidR="002419FE" w:rsidRDefault="00000000">
            <w:pPr>
              <w:spacing w:line="252" w:lineRule="auto"/>
            </w:pPr>
            <w:r>
              <w:rPr>
                <w:color w:val="000000"/>
              </w:rPr>
              <w:t xml:space="preserve">Caché / WS / </w:t>
            </w:r>
            <w:proofErr w:type="spellStart"/>
            <w:r>
              <w:rPr>
                <w:color w:val="000000"/>
              </w:rPr>
              <w:t>rate-limit</w:t>
            </w:r>
            <w:proofErr w:type="spellEnd"/>
          </w:p>
        </w:tc>
      </w:tr>
      <w:tr w:rsidR="002419FE" w14:paraId="2AC5D76E"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3057175" w14:textId="77777777" w:rsidR="002419FE" w:rsidRDefault="00000000">
            <w:pPr>
              <w:spacing w:line="252" w:lineRule="auto"/>
            </w:pPr>
            <w:proofErr w:type="spellStart"/>
            <w:r>
              <w:t>Sentry</w:t>
            </w:r>
            <w:proofErr w:type="spellEnd"/>
            <w:r>
              <w:t xml:space="preserve"> + </w:t>
            </w:r>
            <w:proofErr w:type="spellStart"/>
            <w:r>
              <w:t>Grafana</w:t>
            </w:r>
            <w:proofErr w:type="spellEnd"/>
            <w:r>
              <w:t xml:space="preserve"> Cloud + </w:t>
            </w:r>
            <w:proofErr w:type="spellStart"/>
            <w:r>
              <w:t>Snyk</w:t>
            </w:r>
            <w:proofErr w:type="spellEnd"/>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2DE5D36" w14:textId="77777777" w:rsidR="002419FE" w:rsidRDefault="00000000">
            <w:pPr>
              <w:spacing w:line="252" w:lineRule="auto"/>
            </w:pPr>
            <w:r>
              <w:t>≈ €80</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7AAB3F0" w14:textId="77777777" w:rsidR="002419FE" w:rsidRDefault="00000000">
            <w:pPr>
              <w:spacing w:line="252" w:lineRule="auto"/>
            </w:pPr>
            <w:r>
              <w:t>Tier de equipo (</w:t>
            </w:r>
            <w:proofErr w:type="spellStart"/>
            <w:r>
              <w:t>Snyk</w:t>
            </w:r>
            <w:proofErr w:type="spellEnd"/>
            <w:r>
              <w:t xml:space="preserve"> free al inicio)</w:t>
            </w:r>
          </w:p>
        </w:tc>
      </w:tr>
      <w:tr w:rsidR="002419FE" w14:paraId="1D1DD977"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2E65741" w14:textId="77777777" w:rsidR="002419FE" w:rsidRPr="008736EE" w:rsidRDefault="00000000">
            <w:pPr>
              <w:spacing w:line="252" w:lineRule="auto"/>
              <w:rPr>
                <w:lang w:val="en-US"/>
              </w:rPr>
            </w:pPr>
            <w:r w:rsidRPr="008736EE">
              <w:rPr>
                <w:color w:val="000000"/>
                <w:lang w:val="en-US"/>
              </w:rPr>
              <w:t>KMS/secretos, R2/Storage, egress, backups</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9AE063E" w14:textId="77777777" w:rsidR="002419FE" w:rsidRDefault="00000000">
            <w:pPr>
              <w:spacing w:line="252" w:lineRule="auto"/>
            </w:pPr>
            <w:r>
              <w:rPr>
                <w:color w:val="000000"/>
              </w:rPr>
              <w:t>≈ €120</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4326A1F" w14:textId="77777777" w:rsidR="002419FE" w:rsidRDefault="00000000">
            <w:pPr>
              <w:spacing w:line="252" w:lineRule="auto"/>
            </w:pPr>
            <w:r>
              <w:rPr>
                <w:color w:val="000000"/>
              </w:rPr>
              <w:t>Misceláneo</w:t>
            </w:r>
          </w:p>
        </w:tc>
      </w:tr>
    </w:tbl>
    <w:p w14:paraId="1D2C7888" w14:textId="77777777" w:rsidR="002419FE" w:rsidRDefault="00000000">
      <w:pPr>
        <w:spacing w:after="120" w:line="276" w:lineRule="auto"/>
      </w:pPr>
      <w:r>
        <w:t xml:space="preserve">Lectura de </w:t>
      </w:r>
      <w:proofErr w:type="spellStart"/>
      <w:r>
        <w:t>unit</w:t>
      </w:r>
      <w:proofErr w:type="spellEnd"/>
      <w:r>
        <w:t xml:space="preserve"> </w:t>
      </w:r>
      <w:proofErr w:type="spellStart"/>
      <w:r>
        <w:t>economics</w:t>
      </w:r>
      <w:proofErr w:type="spellEnd"/>
      <w:r>
        <w:t xml:space="preserve">: a 100 miembros el coste por miembro/año es alto (≈ €130, dominado por la infraestructura fija), pero converge hacia los ≈ €30/miembro/año del PRD a medida que la base crece y la infraestructura se amortiza. El coste de IA de </w:t>
      </w:r>
      <w:proofErr w:type="spellStart"/>
      <w:r>
        <w:t>runtime</w:t>
      </w:r>
      <w:proofErr w:type="spellEnd"/>
      <w:r>
        <w:t xml:space="preserve"> (VERA) es estructuralmente lineal con el número de miembros y no amenaza el margen objetivo del 65–75%.</w:t>
      </w:r>
    </w:p>
    <w:p w14:paraId="4E18CC20" w14:textId="77777777" w:rsidR="002419FE" w:rsidRDefault="00000000">
      <w:pPr>
        <w:spacing w:after="200" w:line="276" w:lineRule="auto"/>
      </w:pPr>
      <w:r>
        <w:rPr>
          <w:b/>
          <w:bCs/>
          <w:color w:val="1F3A5F"/>
        </w:rPr>
        <w:t xml:space="preserve">Estado: </w:t>
      </w:r>
      <w:r>
        <w:rPr>
          <w:b/>
          <w:bCs/>
          <w:color w:val="2E7D32"/>
        </w:rPr>
        <w:t>CERRADA</w:t>
      </w:r>
      <w:r>
        <w:t xml:space="preserve"> — decisión abierta de costes resuelta con precios reales de junio 2026.</w:t>
      </w:r>
    </w:p>
    <w:p w14:paraId="285BD5D9" w14:textId="77777777" w:rsidR="002419FE" w:rsidRDefault="00000000">
      <w:r>
        <w:br w:type="page"/>
      </w:r>
    </w:p>
    <w:p w14:paraId="6627A0B9" w14:textId="77777777" w:rsidR="002419FE" w:rsidRDefault="00000000">
      <w:pPr>
        <w:pStyle w:val="Ttulo1"/>
      </w:pPr>
      <w:bookmarkStart w:id="14" w:name="_Toc233792534"/>
      <w:r>
        <w:lastRenderedPageBreak/>
        <w:t>Síntesis</w:t>
      </w:r>
      <w:bookmarkEnd w:id="14"/>
    </w:p>
    <w:p w14:paraId="194DD092" w14:textId="77777777" w:rsidR="002419FE" w:rsidRDefault="00000000">
      <w:pPr>
        <w:pStyle w:val="Ttulo2"/>
      </w:pPr>
      <w:bookmarkStart w:id="15" w:name="_Toc233792535"/>
      <w:r>
        <w:t xml:space="preserve">Las tres decisiones más críticas del </w:t>
      </w:r>
      <w:proofErr w:type="spellStart"/>
      <w:r>
        <w:t>stack</w:t>
      </w:r>
      <w:bookmarkEnd w:id="15"/>
      <w:proofErr w:type="spellEnd"/>
    </w:p>
    <w:p w14:paraId="59473213" w14:textId="77777777" w:rsidR="002419FE" w:rsidRDefault="00000000">
      <w:pPr>
        <w:pStyle w:val="Prrafodelista"/>
        <w:numPr>
          <w:ilvl w:val="0"/>
          <w:numId w:val="2"/>
        </w:numPr>
        <w:spacing w:after="80"/>
      </w:pPr>
      <w:proofErr w:type="spellStart"/>
      <w:r>
        <w:rPr>
          <w:b/>
          <w:bCs/>
        </w:rPr>
        <w:t>Supabase</w:t>
      </w:r>
      <w:proofErr w:type="spellEnd"/>
      <w:r>
        <w:rPr>
          <w:b/>
          <w:bCs/>
        </w:rPr>
        <w:t xml:space="preserve"> como </w:t>
      </w:r>
      <w:proofErr w:type="spellStart"/>
      <w:r>
        <w:rPr>
          <w:b/>
          <w:bCs/>
        </w:rPr>
        <w:t>backbone</w:t>
      </w:r>
      <w:proofErr w:type="spellEnd"/>
      <w:r>
        <w:rPr>
          <w:b/>
          <w:bCs/>
        </w:rPr>
        <w:t xml:space="preserve"> de datos, </w:t>
      </w:r>
      <w:proofErr w:type="spellStart"/>
      <w:r>
        <w:rPr>
          <w:b/>
          <w:bCs/>
        </w:rPr>
        <w:t>auth</w:t>
      </w:r>
      <w:proofErr w:type="spellEnd"/>
      <w:r>
        <w:rPr>
          <w:b/>
          <w:bCs/>
        </w:rPr>
        <w:t xml:space="preserve"> y almacenamiento. </w:t>
      </w:r>
      <w:r>
        <w:t>Unifica en un plano lo que el v1.1 repartía entre Aurora, Auth0/</w:t>
      </w:r>
      <w:proofErr w:type="spellStart"/>
      <w:r>
        <w:t>Keycloak</w:t>
      </w:r>
      <w:proofErr w:type="spellEnd"/>
      <w:r>
        <w:t xml:space="preserve">, MongoDB y S3. Es la palanca que hace operable la plataforma para un equipo ligero, materializa el esquema de ADR-001 y las reglas de visibilidad (RLS) en la capa de datos, y es coherente con la estrategia de </w:t>
      </w:r>
      <w:proofErr w:type="spellStart"/>
      <w:r>
        <w:t>seed</w:t>
      </w:r>
      <w:proofErr w:type="spellEnd"/>
      <w:r>
        <w:t xml:space="preserve"> ya cerrada.</w:t>
      </w:r>
    </w:p>
    <w:p w14:paraId="1B58F638" w14:textId="77777777" w:rsidR="002419FE" w:rsidRDefault="00000000">
      <w:pPr>
        <w:pStyle w:val="Prrafodelista"/>
        <w:numPr>
          <w:ilvl w:val="0"/>
          <w:numId w:val="2"/>
        </w:numPr>
        <w:spacing w:after="80"/>
      </w:pPr>
      <w:r>
        <w:rPr>
          <w:b/>
          <w:bCs/>
        </w:rPr>
        <w:t xml:space="preserve">Empezar como monolito modular + host de contenedores, no microservicios sobre EKS/Kafka. </w:t>
      </w:r>
      <w:r>
        <w:t xml:space="preserve">Alinea el coste con la escala real de lanzamiento (100–300 miembros) sin hipotecar el futuro: las costuras de servicio y los patrones de evento se diseñan desde el día uno para extraer Búsqueda y Alertas a </w:t>
      </w:r>
      <w:proofErr w:type="spellStart"/>
      <w:r>
        <w:t>Go</w:t>
      </w:r>
      <w:proofErr w:type="spellEnd"/>
      <w:r>
        <w:t xml:space="preserve"> y migrar a Kafka/EKS cuando un </w:t>
      </w:r>
      <w:proofErr w:type="spellStart"/>
      <w:r>
        <w:t>trigger</w:t>
      </w:r>
      <w:proofErr w:type="spellEnd"/>
      <w:r>
        <w:t xml:space="preserve"> de escala lo justifique.</w:t>
      </w:r>
    </w:p>
    <w:p w14:paraId="3EEA8ABA" w14:textId="77777777" w:rsidR="002419FE" w:rsidRDefault="00000000">
      <w:pPr>
        <w:pStyle w:val="Prrafodelista"/>
        <w:numPr>
          <w:ilvl w:val="0"/>
          <w:numId w:val="2"/>
        </w:numPr>
        <w:spacing w:after="80"/>
      </w:pPr>
      <w:r>
        <w:rPr>
          <w:b/>
          <w:bCs/>
        </w:rPr>
        <w:t xml:space="preserve">Reparto de modelos por rol y por capa. </w:t>
      </w:r>
      <w:r>
        <w:t xml:space="preserve">Claude Sonnet 4.6 para VERA en </w:t>
      </w:r>
      <w:proofErr w:type="spellStart"/>
      <w:r>
        <w:t>runtime</w:t>
      </w:r>
      <w:proofErr w:type="spellEnd"/>
      <w:r>
        <w:t xml:space="preserve"> (coste/calidad para alto volumen), Claude Opus 4.8 para orquestar el desarrollo (decisiones de alto valor y bajo volumen) y GLM-5.2 para ejecutar código (</w:t>
      </w:r>
      <w:proofErr w:type="spellStart"/>
      <w:r>
        <w:t>loops</w:t>
      </w:r>
      <w:proofErr w:type="spellEnd"/>
      <w:r>
        <w:t xml:space="preserve"> largos baratos). Es la decisión que sostiene a la vez el margen del producto y la viabilidad económica de construirlo con agentes.</w:t>
      </w:r>
    </w:p>
    <w:p w14:paraId="46D8C6E1" w14:textId="77777777" w:rsidR="002419FE" w:rsidRDefault="00000000">
      <w:pPr>
        <w:pStyle w:val="Ttulo2"/>
      </w:pPr>
      <w:bookmarkStart w:id="16" w:name="_Toc233792536"/>
      <w:r>
        <w:t xml:space="preserve">Los tres riesgos técnicos que el </w:t>
      </w:r>
      <w:proofErr w:type="spellStart"/>
      <w:r>
        <w:t>stack</w:t>
      </w:r>
      <w:proofErr w:type="spellEnd"/>
      <w:r>
        <w:t xml:space="preserve"> no resuelve por completo</w:t>
      </w:r>
      <w:bookmarkEnd w:id="16"/>
    </w:p>
    <w:p w14:paraId="05528041" w14:textId="77777777" w:rsidR="002419FE" w:rsidRDefault="00000000">
      <w:pPr>
        <w:pStyle w:val="Prrafodelista"/>
        <w:numPr>
          <w:ilvl w:val="0"/>
          <w:numId w:val="2"/>
        </w:numPr>
        <w:spacing w:after="80"/>
      </w:pPr>
      <w:r>
        <w:rPr>
          <w:b/>
          <w:bCs/>
          <w:color w:val="B00020"/>
        </w:rPr>
        <w:t xml:space="preserve">Recuperación de clave E2EE (riesgo de soporte CRÍTICO). </w:t>
      </w:r>
      <w:r>
        <w:t xml:space="preserve">ADR-001 mitiga la pérdida de clave con </w:t>
      </w:r>
      <w:proofErr w:type="spellStart"/>
      <w:r>
        <w:t>backup</w:t>
      </w:r>
      <w:proofErr w:type="spellEnd"/>
      <w:r>
        <w:t xml:space="preserve"> por </w:t>
      </w:r>
      <w:proofErr w:type="spellStart"/>
      <w:r>
        <w:t>passphrase</w:t>
      </w:r>
      <w:proofErr w:type="spellEnd"/>
      <w:r>
        <w:t xml:space="preserve">, pero si un miembro pierde el </w:t>
      </w:r>
      <w:proofErr w:type="spellStart"/>
      <w:r>
        <w:t>passphrase</w:t>
      </w:r>
      <w:proofErr w:type="spellEnd"/>
      <w:r>
        <w:t xml:space="preserve"> y no tiene </w:t>
      </w:r>
      <w:proofErr w:type="spellStart"/>
      <w:r>
        <w:t>backup</w:t>
      </w:r>
      <w:proofErr w:type="spellEnd"/>
      <w:r>
        <w:t xml:space="preserve"> en la nube, su historial es irrecuperable por diseño. El </w:t>
      </w:r>
      <w:proofErr w:type="spellStart"/>
      <w:r>
        <w:t>stack</w:t>
      </w:r>
      <w:proofErr w:type="spellEnd"/>
      <w:r>
        <w:t xml:space="preserve"> reduce la probabilidad (flujo prominente, recuperación </w:t>
      </w:r>
      <w:proofErr w:type="spellStart"/>
      <w:r>
        <w:t>self</w:t>
      </w:r>
      <w:proofErr w:type="spellEnd"/>
      <w:r>
        <w:t xml:space="preserve">-serve) pero no elimina el caso; es una propiedad del modelo </w:t>
      </w:r>
      <w:proofErr w:type="spellStart"/>
      <w:r>
        <w:t>zero-knowledge</w:t>
      </w:r>
      <w:proofErr w:type="spellEnd"/>
      <w:r>
        <w:t xml:space="preserve">, no un bug, y debe gestionarse con UX de </w:t>
      </w:r>
      <w:proofErr w:type="spellStart"/>
      <w:r>
        <w:t>onboarding</w:t>
      </w:r>
      <w:proofErr w:type="spellEnd"/>
      <w:r>
        <w:t xml:space="preserve"> y comunicación, no con tecnología.</w:t>
      </w:r>
    </w:p>
    <w:p w14:paraId="490F0146" w14:textId="77777777" w:rsidR="002419FE" w:rsidRDefault="00000000">
      <w:pPr>
        <w:pStyle w:val="Prrafodelista"/>
        <w:numPr>
          <w:ilvl w:val="0"/>
          <w:numId w:val="2"/>
        </w:numPr>
        <w:spacing w:after="80"/>
      </w:pPr>
      <w:r>
        <w:rPr>
          <w:b/>
          <w:bCs/>
          <w:color w:val="B26A00"/>
        </w:rPr>
        <w:t xml:space="preserve">Varianza de coste y de capacidad de IA en el periodo de prueba. </w:t>
      </w:r>
      <w:r>
        <w:t>El modelo de coste asume uso medio; en trial puede triplicarse. Además, la concurrencia de derivaciones Argon2id (64 MB, ~500ms-1s) es un riesgo de capacidad real que solo se conoce bajo carga. k6 lo prueba antes del lanzamiento, pero el comportamiento agregado con miles de miembros sigue siendo una incógnita hasta producción.</w:t>
      </w:r>
    </w:p>
    <w:p w14:paraId="5FB0B517" w14:textId="77777777" w:rsidR="002419FE" w:rsidRDefault="00000000">
      <w:pPr>
        <w:pStyle w:val="Prrafodelista"/>
        <w:numPr>
          <w:ilvl w:val="0"/>
          <w:numId w:val="2"/>
        </w:numPr>
        <w:spacing w:after="80"/>
      </w:pPr>
      <w:r>
        <w:rPr>
          <w:b/>
          <w:bCs/>
          <w:color w:val="B26A00"/>
        </w:rPr>
        <w:t xml:space="preserve">Reconstrucción del índice de </w:t>
      </w:r>
      <w:proofErr w:type="spellStart"/>
      <w:r>
        <w:rPr>
          <w:b/>
          <w:bCs/>
          <w:color w:val="B26A00"/>
        </w:rPr>
        <w:t>Typesense</w:t>
      </w:r>
      <w:proofErr w:type="spellEnd"/>
      <w:r>
        <w:rPr>
          <w:b/>
          <w:bCs/>
          <w:color w:val="B26A00"/>
        </w:rPr>
        <w:t xml:space="preserve"> a escala de incumbente. </w:t>
      </w:r>
      <w:r>
        <w:t xml:space="preserve">A ~18M líneas, un </w:t>
      </w:r>
      <w:proofErr w:type="spellStart"/>
      <w:r>
        <w:t>rebuild</w:t>
      </w:r>
      <w:proofErr w:type="spellEnd"/>
      <w:r>
        <w:t xml:space="preserve"> completo tarda horas. El diseño exige actualizaciones incrementales y una réplica caliente desde el día uno; el </w:t>
      </w:r>
      <w:proofErr w:type="spellStart"/>
      <w:r>
        <w:t>stack</w:t>
      </w:r>
      <w:proofErr w:type="spellEnd"/>
      <w:r>
        <w:t xml:space="preserve"> lo </w:t>
      </w:r>
      <w:proofErr w:type="gramStart"/>
      <w:r>
        <w:t>contempla</w:t>
      </w:r>
      <w:proofErr w:type="gramEnd"/>
      <w:r>
        <w:t xml:space="preserve"> pero la operación a paridad real con </w:t>
      </w:r>
      <w:proofErr w:type="spellStart"/>
      <w:r>
        <w:t>BearingNet</w:t>
      </w:r>
      <w:proofErr w:type="spellEnd"/>
      <w:r>
        <w:t xml:space="preserve"> aún no está validada con datos de ese volumen.</w:t>
      </w:r>
    </w:p>
    <w:p w14:paraId="19202B51" w14:textId="77777777" w:rsidR="002419FE" w:rsidRDefault="00000000">
      <w:pPr>
        <w:pStyle w:val="Ttulo2"/>
      </w:pPr>
      <w:bookmarkStart w:id="17" w:name="_Toc233792537"/>
      <w:r>
        <w:t>Cumplimiento de invariantes y postura legal</w:t>
      </w:r>
      <w:bookmarkEnd w:id="17"/>
    </w:p>
    <w:p w14:paraId="022A94DA" w14:textId="77777777" w:rsidR="002419FE" w:rsidRDefault="00000000">
      <w:pPr>
        <w:spacing w:after="120" w:line="276" w:lineRule="auto"/>
      </w:pPr>
      <w:r>
        <w:t xml:space="preserve">Todo el </w:t>
      </w:r>
      <w:proofErr w:type="spellStart"/>
      <w:r>
        <w:t>stack</w:t>
      </w:r>
      <w:proofErr w:type="spellEnd"/>
      <w:r>
        <w:t xml:space="preserve"> respeta </w:t>
      </w:r>
      <w:proofErr w:type="gramStart"/>
      <w:r>
        <w:t>los tres invariantes</w:t>
      </w:r>
      <w:proofErr w:type="gramEnd"/>
      <w:r>
        <w:t xml:space="preserve"> de ADR-001 §8 (</w:t>
      </w:r>
      <w:proofErr w:type="spellStart"/>
      <w:r>
        <w:t>passphrase</w:t>
      </w:r>
      <w:proofErr w:type="spellEnd"/>
      <w:r>
        <w:t xml:space="preserve"> nunca transmitido —reforzado por el </w:t>
      </w:r>
      <w:proofErr w:type="spellStart"/>
      <w:r>
        <w:t>scrubbing</w:t>
      </w:r>
      <w:proofErr w:type="spellEnd"/>
      <w:r>
        <w:t xml:space="preserve"> de la Capa 10—; credencial de </w:t>
      </w:r>
      <w:proofErr w:type="spellStart"/>
      <w:r>
        <w:t>backup</w:t>
      </w:r>
      <w:proofErr w:type="spellEnd"/>
      <w:r>
        <w:t xml:space="preserve"> distinta del </w:t>
      </w:r>
      <w:proofErr w:type="spellStart"/>
      <w:r>
        <w:t>login</w:t>
      </w:r>
      <w:proofErr w:type="spellEnd"/>
      <w:r>
        <w:t xml:space="preserve">; </w:t>
      </w:r>
      <w:proofErr w:type="spellStart"/>
      <w:r>
        <w:t>rate-limit</w:t>
      </w:r>
      <w:proofErr w:type="spellEnd"/>
      <w:r>
        <w:t xml:space="preserve"> </w:t>
      </w:r>
      <w:proofErr w:type="gramStart"/>
      <w:r>
        <w:t>server</w:t>
      </w:r>
      <w:proofErr w:type="gramEnd"/>
      <w:r>
        <w:t>-</w:t>
      </w:r>
      <w:proofErr w:type="spellStart"/>
      <w:r>
        <w:t>side</w:t>
      </w:r>
      <w:proofErr w:type="spellEnd"/>
      <w:r>
        <w:t xml:space="preserve"> en </w:t>
      </w:r>
      <w:proofErr w:type="spellStart"/>
      <w:r>
        <w:t>recovery</w:t>
      </w:r>
      <w:proofErr w:type="spellEnd"/>
      <w:r>
        <w:t xml:space="preserve"> —Capa 3). La imposibilidad técnica de atender una solicitud de acceso a contenido cifrado es una característica, no un defecto, pero exige confirmación de la postura RGPD/DORA por asesoría legal antes del lanzamiento (PRD §9; Tech Stack v1.1 — MEDIUM).</w:t>
      </w:r>
    </w:p>
    <w:p w14:paraId="369D1B2E" w14:textId="77777777" w:rsidR="002419FE" w:rsidRDefault="00000000">
      <w:pPr>
        <w:pStyle w:val="Ttulo2"/>
      </w:pPr>
      <w:bookmarkStart w:id="18" w:name="_Toc233792538"/>
      <w:r>
        <w:t>Comparación final con el Tech Stack v1.1</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9"/>
        <w:gridCol w:w="3400"/>
        <w:gridCol w:w="3611"/>
      </w:tblGrid>
      <w:tr w:rsidR="002419FE" w14:paraId="62ADACA7"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44287F17" w14:textId="77777777" w:rsidR="002419FE" w:rsidRDefault="00000000">
            <w:pPr>
              <w:spacing w:line="252" w:lineRule="auto"/>
            </w:pPr>
            <w:r>
              <w:rPr>
                <w:b/>
                <w:bCs/>
                <w:color w:val="FFFFFF"/>
              </w:rPr>
              <w:t>Capa</w:t>
            </w:r>
          </w:p>
        </w:tc>
        <w:tc>
          <w:tcPr>
            <w:tcW w:w="348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60A07BDB" w14:textId="77777777" w:rsidR="002419FE" w:rsidRDefault="00000000">
            <w:pPr>
              <w:spacing w:line="252" w:lineRule="auto"/>
            </w:pPr>
            <w:r>
              <w:rPr>
                <w:b/>
                <w:bCs/>
                <w:color w:val="FFFFFF"/>
              </w:rPr>
              <w:t>Tech Stack v1.1</w:t>
            </w:r>
          </w:p>
        </w:tc>
        <w:tc>
          <w:tcPr>
            <w:tcW w:w="348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07BC6CFC" w14:textId="77777777" w:rsidR="002419FE" w:rsidRDefault="00000000">
            <w:pPr>
              <w:spacing w:line="252" w:lineRule="auto"/>
            </w:pPr>
            <w:r>
              <w:rPr>
                <w:b/>
                <w:bCs/>
                <w:color w:val="FFFFFF"/>
              </w:rPr>
              <w:t>Stack v1.2 (este documento)</w:t>
            </w:r>
          </w:p>
        </w:tc>
      </w:tr>
      <w:tr w:rsidR="002419FE" w14:paraId="53835E3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BC569D8" w14:textId="77777777" w:rsidR="002419FE" w:rsidRDefault="00000000">
            <w:pPr>
              <w:spacing w:line="252" w:lineRule="auto"/>
            </w:pPr>
            <w:r>
              <w:t>Datos/Auth</w:t>
            </w:r>
          </w:p>
        </w:tc>
        <w:tc>
          <w:tcPr>
            <w:tcW w:w="3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F7A61E1" w14:textId="77777777" w:rsidR="002419FE" w:rsidRPr="008736EE" w:rsidRDefault="00000000">
            <w:pPr>
              <w:spacing w:line="252" w:lineRule="auto"/>
              <w:rPr>
                <w:lang w:val="en-US"/>
              </w:rPr>
            </w:pPr>
            <w:r w:rsidRPr="008736EE">
              <w:rPr>
                <w:lang w:val="en-US"/>
              </w:rPr>
              <w:t>Aurora + Auth0/Keycloak + MongoDB + S3</w:t>
            </w:r>
          </w:p>
        </w:tc>
        <w:tc>
          <w:tcPr>
            <w:tcW w:w="3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509C97C" w14:textId="77777777" w:rsidR="002419FE" w:rsidRDefault="00000000">
            <w:pPr>
              <w:spacing w:line="252" w:lineRule="auto"/>
            </w:pPr>
            <w:proofErr w:type="spellStart"/>
            <w:r>
              <w:t>Supabase</w:t>
            </w:r>
            <w:proofErr w:type="spellEnd"/>
            <w:r>
              <w:t xml:space="preserve"> unificado (</w:t>
            </w:r>
            <w:proofErr w:type="spellStart"/>
            <w:r>
              <w:t>Postgres+Auth+Storage+Realtime</w:t>
            </w:r>
            <w:proofErr w:type="spellEnd"/>
            <w:r>
              <w:t xml:space="preserve">); mensajes en </w:t>
            </w:r>
            <w:proofErr w:type="spellStart"/>
            <w:r>
              <w:t>Postgres</w:t>
            </w:r>
            <w:proofErr w:type="spellEnd"/>
          </w:p>
        </w:tc>
      </w:tr>
      <w:tr w:rsidR="002419FE" w14:paraId="6C931E61"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1C2E282" w14:textId="77777777" w:rsidR="002419FE" w:rsidRDefault="00000000">
            <w:pPr>
              <w:spacing w:line="252" w:lineRule="auto"/>
            </w:pPr>
            <w:proofErr w:type="spellStart"/>
            <w:r>
              <w:rPr>
                <w:color w:val="000000"/>
              </w:rPr>
              <w:lastRenderedPageBreak/>
              <w:t>Backend</w:t>
            </w:r>
            <w:proofErr w:type="spellEnd"/>
          </w:p>
        </w:tc>
        <w:tc>
          <w:tcPr>
            <w:tcW w:w="34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C7896B4" w14:textId="77777777" w:rsidR="002419FE" w:rsidRDefault="00000000">
            <w:pPr>
              <w:spacing w:line="252" w:lineRule="auto"/>
            </w:pPr>
            <w:r>
              <w:rPr>
                <w:color w:val="000000"/>
              </w:rPr>
              <w:t>~10 microservicios sobre Kong + EKS</w:t>
            </w:r>
          </w:p>
        </w:tc>
        <w:tc>
          <w:tcPr>
            <w:tcW w:w="34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93A4C70" w14:textId="77777777" w:rsidR="002419FE" w:rsidRDefault="00000000">
            <w:pPr>
              <w:spacing w:line="252" w:lineRule="auto"/>
            </w:pPr>
            <w:r>
              <w:rPr>
                <w:color w:val="000000"/>
              </w:rPr>
              <w:t>Monolito modular (</w:t>
            </w:r>
            <w:proofErr w:type="spellStart"/>
            <w:r>
              <w:rPr>
                <w:color w:val="000000"/>
              </w:rPr>
              <w:t>NestJS</w:t>
            </w:r>
            <w:proofErr w:type="spellEnd"/>
            <w:r>
              <w:rPr>
                <w:color w:val="000000"/>
              </w:rPr>
              <w:t xml:space="preserve">) + 2 extracciones </w:t>
            </w:r>
            <w:proofErr w:type="spellStart"/>
            <w:r>
              <w:rPr>
                <w:color w:val="000000"/>
              </w:rPr>
              <w:t>Go</w:t>
            </w:r>
            <w:proofErr w:type="spellEnd"/>
            <w:r>
              <w:rPr>
                <w:color w:val="000000"/>
              </w:rPr>
              <w:t>; EKS diferido</w:t>
            </w:r>
          </w:p>
        </w:tc>
      </w:tr>
      <w:tr w:rsidR="002419FE" w14:paraId="11D02C8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3016A32" w14:textId="77777777" w:rsidR="002419FE" w:rsidRDefault="00000000">
            <w:pPr>
              <w:spacing w:line="252" w:lineRule="auto"/>
            </w:pPr>
            <w:r>
              <w:t>Eventos</w:t>
            </w:r>
          </w:p>
        </w:tc>
        <w:tc>
          <w:tcPr>
            <w:tcW w:w="3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853DCDA" w14:textId="77777777" w:rsidR="002419FE" w:rsidRDefault="00000000">
            <w:pPr>
              <w:spacing w:line="252" w:lineRule="auto"/>
            </w:pPr>
            <w:r>
              <w:t>Apache Kafka (MSK) desde el inicio</w:t>
            </w:r>
          </w:p>
        </w:tc>
        <w:tc>
          <w:tcPr>
            <w:tcW w:w="3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44C651F" w14:textId="77777777" w:rsidR="002419FE" w:rsidRDefault="00000000">
            <w:pPr>
              <w:spacing w:line="252" w:lineRule="auto"/>
            </w:pPr>
            <w:proofErr w:type="spellStart"/>
            <w:r>
              <w:t>pgmq</w:t>
            </w:r>
            <w:proofErr w:type="spellEnd"/>
            <w:r>
              <w:t xml:space="preserve"> + </w:t>
            </w:r>
            <w:proofErr w:type="spellStart"/>
            <w:r>
              <w:t>Realtime</w:t>
            </w:r>
            <w:proofErr w:type="spellEnd"/>
            <w:r>
              <w:t xml:space="preserve"> en V1; Kafka/NATS a escala</w:t>
            </w:r>
          </w:p>
        </w:tc>
      </w:tr>
      <w:tr w:rsidR="002419FE" w14:paraId="30C0881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A482D52" w14:textId="77777777" w:rsidR="002419FE" w:rsidRDefault="00000000">
            <w:pPr>
              <w:spacing w:line="252" w:lineRule="auto"/>
            </w:pPr>
            <w:r>
              <w:rPr>
                <w:color w:val="000000"/>
              </w:rPr>
              <w:t>E2EE</w:t>
            </w:r>
          </w:p>
        </w:tc>
        <w:tc>
          <w:tcPr>
            <w:tcW w:w="34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DFFA889" w14:textId="77777777" w:rsidR="002419FE" w:rsidRDefault="00000000">
            <w:pPr>
              <w:spacing w:line="252" w:lineRule="auto"/>
            </w:pPr>
            <w:proofErr w:type="spellStart"/>
            <w:r>
              <w:rPr>
                <w:color w:val="000000"/>
              </w:rPr>
              <w:t>libsodium</w:t>
            </w:r>
            <w:proofErr w:type="spellEnd"/>
            <w:r>
              <w:rPr>
                <w:color w:val="000000"/>
              </w:rPr>
              <w:t xml:space="preserve"> (XSalsa20-Poly1305)</w:t>
            </w:r>
          </w:p>
        </w:tc>
        <w:tc>
          <w:tcPr>
            <w:tcW w:w="34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3F17274" w14:textId="77777777" w:rsidR="002419FE" w:rsidRDefault="00000000">
            <w:pPr>
              <w:spacing w:line="252" w:lineRule="auto"/>
            </w:pPr>
            <w:proofErr w:type="spellStart"/>
            <w:r>
              <w:rPr>
                <w:color w:val="000000"/>
              </w:rPr>
              <w:t>WebCrypto</w:t>
            </w:r>
            <w:proofErr w:type="spellEnd"/>
            <w:r>
              <w:rPr>
                <w:color w:val="000000"/>
              </w:rPr>
              <w:t xml:space="preserve"> AES-256-GCM (ADR-001) + libsodium.js para X25519; </w:t>
            </w:r>
            <w:proofErr w:type="spellStart"/>
            <w:r>
              <w:rPr>
                <w:color w:val="000000"/>
              </w:rPr>
              <w:t>libsignal-ts</w:t>
            </w:r>
            <w:proofErr w:type="spellEnd"/>
            <w:r>
              <w:rPr>
                <w:color w:val="000000"/>
              </w:rPr>
              <w:t xml:space="preserve"> archivado descartado</w:t>
            </w:r>
          </w:p>
        </w:tc>
      </w:tr>
      <w:tr w:rsidR="002419FE" w:rsidRPr="008736EE" w14:paraId="60942163"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5317374" w14:textId="77777777" w:rsidR="002419FE" w:rsidRDefault="00000000">
            <w:pPr>
              <w:spacing w:line="252" w:lineRule="auto"/>
            </w:pPr>
            <w:r>
              <w:t>Modelo IA producto</w:t>
            </w:r>
          </w:p>
        </w:tc>
        <w:tc>
          <w:tcPr>
            <w:tcW w:w="3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5272393" w14:textId="77777777" w:rsidR="002419FE" w:rsidRDefault="00000000">
            <w:pPr>
              <w:spacing w:line="252" w:lineRule="auto"/>
            </w:pPr>
            <w:r>
              <w:t>GPT-4o / GPT-4o-mini</w:t>
            </w:r>
          </w:p>
        </w:tc>
        <w:tc>
          <w:tcPr>
            <w:tcW w:w="3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98C9099" w14:textId="77777777" w:rsidR="002419FE" w:rsidRPr="008736EE" w:rsidRDefault="00000000">
            <w:pPr>
              <w:spacing w:line="252" w:lineRule="auto"/>
              <w:rPr>
                <w:lang w:val="en-US"/>
              </w:rPr>
            </w:pPr>
            <w:r w:rsidRPr="008736EE">
              <w:rPr>
                <w:lang w:val="en-US"/>
              </w:rPr>
              <w:t>Claude Sonnet 4.6 (VERA), Haiku 4.5 (batch)</w:t>
            </w:r>
          </w:p>
        </w:tc>
      </w:tr>
      <w:tr w:rsidR="002419FE" w14:paraId="43B7C5F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DD1AAB5" w14:textId="77777777" w:rsidR="002419FE" w:rsidRDefault="00000000">
            <w:pPr>
              <w:spacing w:line="252" w:lineRule="auto"/>
            </w:pPr>
            <w:r>
              <w:rPr>
                <w:color w:val="000000"/>
              </w:rPr>
              <w:t>Pipeline desarrollo</w:t>
            </w:r>
          </w:p>
        </w:tc>
        <w:tc>
          <w:tcPr>
            <w:tcW w:w="34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F8EB021" w14:textId="77777777" w:rsidR="002419FE" w:rsidRDefault="00000000">
            <w:pPr>
              <w:spacing w:line="252" w:lineRule="auto"/>
            </w:pPr>
            <w:r>
              <w:rPr>
                <w:color w:val="000000"/>
              </w:rPr>
              <w:t>(no especificado)</w:t>
            </w:r>
          </w:p>
        </w:tc>
        <w:tc>
          <w:tcPr>
            <w:tcW w:w="34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007BBAF" w14:textId="77777777" w:rsidR="002419FE" w:rsidRDefault="00000000">
            <w:pPr>
              <w:spacing w:line="252" w:lineRule="auto"/>
            </w:pPr>
            <w:proofErr w:type="spellStart"/>
            <w:r>
              <w:rPr>
                <w:color w:val="000000"/>
              </w:rPr>
              <w:t>LangGraph</w:t>
            </w:r>
            <w:proofErr w:type="spellEnd"/>
            <w:r>
              <w:rPr>
                <w:color w:val="000000"/>
              </w:rPr>
              <w:t>: Opus 4.8 orquesta, GLM-5.2 ejecuta</w:t>
            </w:r>
          </w:p>
        </w:tc>
      </w:tr>
      <w:tr w:rsidR="002419FE" w:rsidRPr="008736EE" w14:paraId="65CF4A8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C31B68B" w14:textId="77777777" w:rsidR="002419FE" w:rsidRDefault="00000000">
            <w:pPr>
              <w:spacing w:line="252" w:lineRule="auto"/>
            </w:pPr>
            <w:proofErr w:type="spellStart"/>
            <w:r>
              <w:t>Testing</w:t>
            </w:r>
            <w:proofErr w:type="spellEnd"/>
            <w:r>
              <w:t xml:space="preserve"> unitario</w:t>
            </w:r>
          </w:p>
        </w:tc>
        <w:tc>
          <w:tcPr>
            <w:tcW w:w="3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A34F3FA" w14:textId="77777777" w:rsidR="002419FE" w:rsidRDefault="00000000">
            <w:pPr>
              <w:spacing w:line="252" w:lineRule="auto"/>
            </w:pPr>
            <w:r>
              <w:t>(abierto)</w:t>
            </w:r>
          </w:p>
        </w:tc>
        <w:tc>
          <w:tcPr>
            <w:tcW w:w="3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C806C7F" w14:textId="77777777" w:rsidR="002419FE" w:rsidRPr="008736EE" w:rsidRDefault="00000000">
            <w:pPr>
              <w:spacing w:line="252" w:lineRule="auto"/>
              <w:rPr>
                <w:lang w:val="en-US"/>
              </w:rPr>
            </w:pPr>
            <w:r w:rsidRPr="008736EE">
              <w:rPr>
                <w:lang w:val="en-US"/>
              </w:rPr>
              <w:t>Vitest + go test; Playwright E2E; k6 carga</w:t>
            </w:r>
          </w:p>
        </w:tc>
      </w:tr>
      <w:tr w:rsidR="002419FE" w14:paraId="2E288EC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C6C24B1" w14:textId="77777777" w:rsidR="002419FE" w:rsidRDefault="00000000">
            <w:pPr>
              <w:spacing w:line="252" w:lineRule="auto"/>
            </w:pPr>
            <w:r>
              <w:rPr>
                <w:color w:val="000000"/>
              </w:rPr>
              <w:t>Coste IA (recálculo)</w:t>
            </w:r>
          </w:p>
        </w:tc>
        <w:tc>
          <w:tcPr>
            <w:tcW w:w="34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BC884D9" w14:textId="77777777" w:rsidR="002419FE" w:rsidRDefault="00000000">
            <w:pPr>
              <w:spacing w:line="252" w:lineRule="auto"/>
            </w:pPr>
            <w:r>
              <w:rPr>
                <w:color w:val="000000"/>
              </w:rPr>
              <w:t xml:space="preserve">≈ €1.675/mes @ 700 </w:t>
            </w:r>
            <w:proofErr w:type="spellStart"/>
            <w:r>
              <w:rPr>
                <w:color w:val="000000"/>
              </w:rPr>
              <w:t>mbr</w:t>
            </w:r>
            <w:proofErr w:type="spellEnd"/>
            <w:r>
              <w:rPr>
                <w:color w:val="000000"/>
              </w:rPr>
              <w:t xml:space="preserve"> (GPT-4o)</w:t>
            </w:r>
          </w:p>
        </w:tc>
        <w:tc>
          <w:tcPr>
            <w:tcW w:w="34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69D5DEA" w14:textId="77777777" w:rsidR="002419FE" w:rsidRDefault="00000000">
            <w:pPr>
              <w:spacing w:line="252" w:lineRule="auto"/>
            </w:pPr>
            <w:r>
              <w:rPr>
                <w:color w:val="000000"/>
              </w:rPr>
              <w:t xml:space="preserve">≈ €300/mes VERA @ 100 </w:t>
            </w:r>
            <w:proofErr w:type="spellStart"/>
            <w:r>
              <w:rPr>
                <w:color w:val="000000"/>
              </w:rPr>
              <w:t>mbr</w:t>
            </w:r>
            <w:proofErr w:type="spellEnd"/>
            <w:r>
              <w:rPr>
                <w:color w:val="000000"/>
              </w:rPr>
              <w:t xml:space="preserve"> (Sonnet, con </w:t>
            </w:r>
            <w:proofErr w:type="spellStart"/>
            <w:r>
              <w:rPr>
                <w:color w:val="000000"/>
              </w:rPr>
              <w:t>caching</w:t>
            </w:r>
            <w:proofErr w:type="spellEnd"/>
            <w:r>
              <w:rPr>
                <w:color w:val="000000"/>
              </w:rPr>
              <w:t>)</w:t>
            </w:r>
          </w:p>
        </w:tc>
      </w:tr>
    </w:tbl>
    <w:p w14:paraId="64F97D85" w14:textId="77777777" w:rsidR="002419FE" w:rsidRDefault="00000000">
      <w:pPr>
        <w:pStyle w:val="Ttulo3"/>
      </w:pPr>
      <w:r>
        <w:t>Nota sobre el adaptador del Protocolo Signal (ADR-002)</w:t>
      </w:r>
    </w:p>
    <w:p w14:paraId="52513760" w14:textId="77777777" w:rsidR="002419FE" w:rsidRDefault="00000000">
      <w:pPr>
        <w:spacing w:after="120" w:line="276" w:lineRule="auto"/>
      </w:pPr>
      <w:r>
        <w:t xml:space="preserve">Decisión abierta cerrada: se adopta </w:t>
      </w:r>
      <w:proofErr w:type="spellStart"/>
      <w:r>
        <w:rPr>
          <w:b/>
          <w:bCs/>
        </w:rPr>
        <w:t>WebCrypto</w:t>
      </w:r>
      <w:proofErr w:type="spellEnd"/>
      <w:r>
        <w:rPr>
          <w:b/>
          <w:bCs/>
        </w:rPr>
        <w:t xml:space="preserve"> (AES-256-GCM, X25519) como base —exigida por ADR-001— complementada con libsodium.js</w:t>
      </w:r>
      <w:r>
        <w:t xml:space="preserve"> para las primitivas que </w:t>
      </w:r>
      <w:proofErr w:type="spellStart"/>
      <w:r>
        <w:t>WebCrypto</w:t>
      </w:r>
      <w:proofErr w:type="spellEnd"/>
      <w:r>
        <w:t xml:space="preserve"> no expone cómodamente. Se descarta @privacyresearch/libsignal-protocol-typescript por estar archivado/sin mantenimiento (riesgo de cadena de suministro inaceptable en la única capa donde existe texto en claro). El modelo de «un hilo por par de organizaciones» con historial completo cifrado en servidor y </w:t>
      </w:r>
      <w:proofErr w:type="spellStart"/>
      <w:r>
        <w:t>re-descifrado</w:t>
      </w:r>
      <w:proofErr w:type="spellEnd"/>
      <w:r>
        <w:t xml:space="preserve"> por el propietario no requiere el Double </w:t>
      </w:r>
      <w:proofErr w:type="spellStart"/>
      <w:r>
        <w:t>Ratchet</w:t>
      </w:r>
      <w:proofErr w:type="spellEnd"/>
      <w:r>
        <w:t xml:space="preserve"> asíncrono completo de la mensajería móvil; sí requiere AEAD robusto con claves por mensaje, que </w:t>
      </w:r>
      <w:proofErr w:type="spellStart"/>
      <w:r>
        <w:t>WebCrypto</w:t>
      </w:r>
      <w:proofErr w:type="spellEnd"/>
      <w:r>
        <w:t xml:space="preserve"> + libsodium.js cubren. La auditoría criptográfica (Capa 8) debe confirmar este diseño antes de GA.</w:t>
      </w:r>
    </w:p>
    <w:sectPr w:rsidR="002419F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508BC" w14:textId="77777777" w:rsidR="00952AE2" w:rsidRDefault="00952AE2">
      <w:r>
        <w:separator/>
      </w:r>
    </w:p>
  </w:endnote>
  <w:endnote w:type="continuationSeparator" w:id="0">
    <w:p w14:paraId="6C961EA4" w14:textId="77777777" w:rsidR="00952AE2" w:rsidRDefault="00952A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D712B" w14:textId="77777777" w:rsidR="002419FE" w:rsidRDefault="00000000">
    <w:pP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sidR="008736EE">
      <w:rPr>
        <w:noProof/>
        <w:color w:val="999999"/>
        <w:sz w:val="16"/>
        <w:szCs w:val="16"/>
      </w:rPr>
      <w:t>2</w:t>
    </w:r>
    <w:r>
      <w:rPr>
        <w:color w:val="999999"/>
        <w:sz w:val="16"/>
        <w:szCs w:val="16"/>
      </w:rPr>
      <w:fldChar w:fldCharType="end"/>
    </w:r>
    <w:r>
      <w:rPr>
        <w:color w:val="999999"/>
        <w:sz w:val="16"/>
        <w:szCs w:val="16"/>
      </w:rPr>
      <w:t xml:space="preserve"> de </w:t>
    </w:r>
    <w:r>
      <w:rPr>
        <w:color w:val="999999"/>
        <w:sz w:val="16"/>
        <w:szCs w:val="16"/>
      </w:rPr>
      <w:fldChar w:fldCharType="begin"/>
    </w:r>
    <w:r>
      <w:rPr>
        <w:color w:val="999999"/>
        <w:sz w:val="16"/>
        <w:szCs w:val="16"/>
      </w:rPr>
      <w:instrText>NUMPAGES</w:instrText>
    </w:r>
    <w:r>
      <w:rPr>
        <w:color w:val="999999"/>
        <w:sz w:val="16"/>
        <w:szCs w:val="16"/>
      </w:rPr>
      <w:fldChar w:fldCharType="separate"/>
    </w:r>
    <w:r w:rsidR="008736EE">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158E5" w14:textId="77777777" w:rsidR="00952AE2" w:rsidRDefault="00952AE2">
      <w:r>
        <w:separator/>
      </w:r>
    </w:p>
  </w:footnote>
  <w:footnote w:type="continuationSeparator" w:id="0">
    <w:p w14:paraId="01EBFCE0" w14:textId="77777777" w:rsidR="00952AE2" w:rsidRDefault="00952A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89184" w14:textId="77777777" w:rsidR="002419FE" w:rsidRDefault="00000000">
    <w:pPr>
      <w:jc w:val="right"/>
    </w:pPr>
    <w:r>
      <w:rPr>
        <w:color w:val="999999"/>
        <w:sz w:val="16"/>
        <w:szCs w:val="16"/>
      </w:rPr>
      <w:t>Ringworld.io — Stack Tecnológico v1.2 · CONFIDENCIAL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C2663"/>
    <w:multiLevelType w:val="hybridMultilevel"/>
    <w:tmpl w:val="A2260F0C"/>
    <w:lvl w:ilvl="0" w:tplc="A394D24C">
      <w:start w:val="1"/>
      <w:numFmt w:val="decimal"/>
      <w:lvlText w:val="%1."/>
      <w:lvlJc w:val="left"/>
      <w:pPr>
        <w:ind w:left="600" w:hanging="300"/>
      </w:pPr>
    </w:lvl>
    <w:lvl w:ilvl="1" w:tplc="5BCE8B76">
      <w:numFmt w:val="decimal"/>
      <w:lvlText w:val=""/>
      <w:lvlJc w:val="left"/>
    </w:lvl>
    <w:lvl w:ilvl="2" w:tplc="A01CE5F0">
      <w:numFmt w:val="decimal"/>
      <w:lvlText w:val=""/>
      <w:lvlJc w:val="left"/>
    </w:lvl>
    <w:lvl w:ilvl="3" w:tplc="AE5EBA24">
      <w:numFmt w:val="decimal"/>
      <w:lvlText w:val=""/>
      <w:lvlJc w:val="left"/>
    </w:lvl>
    <w:lvl w:ilvl="4" w:tplc="7284A416">
      <w:numFmt w:val="decimal"/>
      <w:lvlText w:val=""/>
      <w:lvlJc w:val="left"/>
    </w:lvl>
    <w:lvl w:ilvl="5" w:tplc="7088A9BA">
      <w:numFmt w:val="decimal"/>
      <w:lvlText w:val=""/>
      <w:lvlJc w:val="left"/>
    </w:lvl>
    <w:lvl w:ilvl="6" w:tplc="D3644522">
      <w:numFmt w:val="decimal"/>
      <w:lvlText w:val=""/>
      <w:lvlJc w:val="left"/>
    </w:lvl>
    <w:lvl w:ilvl="7" w:tplc="7F125E80">
      <w:numFmt w:val="decimal"/>
      <w:lvlText w:val=""/>
      <w:lvlJc w:val="left"/>
    </w:lvl>
    <w:lvl w:ilvl="8" w:tplc="D8E8E13A">
      <w:numFmt w:val="decimal"/>
      <w:lvlText w:val=""/>
      <w:lvlJc w:val="left"/>
    </w:lvl>
  </w:abstractNum>
  <w:abstractNum w:abstractNumId="1" w15:restartNumberingAfterBreak="0">
    <w:nsid w:val="2E617D48"/>
    <w:multiLevelType w:val="hybridMultilevel"/>
    <w:tmpl w:val="27185234"/>
    <w:lvl w:ilvl="0" w:tplc="03264510">
      <w:start w:val="1"/>
      <w:numFmt w:val="bullet"/>
      <w:lvlText w:val="●"/>
      <w:lvlJc w:val="left"/>
      <w:pPr>
        <w:ind w:left="720" w:hanging="360"/>
      </w:pPr>
    </w:lvl>
    <w:lvl w:ilvl="1" w:tplc="F6326100">
      <w:start w:val="1"/>
      <w:numFmt w:val="bullet"/>
      <w:lvlText w:val="○"/>
      <w:lvlJc w:val="left"/>
      <w:pPr>
        <w:ind w:left="1440" w:hanging="360"/>
      </w:pPr>
    </w:lvl>
    <w:lvl w:ilvl="2" w:tplc="CD46A4B4">
      <w:start w:val="1"/>
      <w:numFmt w:val="bullet"/>
      <w:lvlText w:val="■"/>
      <w:lvlJc w:val="left"/>
      <w:pPr>
        <w:ind w:left="2160" w:hanging="360"/>
      </w:pPr>
    </w:lvl>
    <w:lvl w:ilvl="3" w:tplc="FAD8B1F4">
      <w:start w:val="1"/>
      <w:numFmt w:val="bullet"/>
      <w:lvlText w:val="●"/>
      <w:lvlJc w:val="left"/>
      <w:pPr>
        <w:ind w:left="2880" w:hanging="360"/>
      </w:pPr>
    </w:lvl>
    <w:lvl w:ilvl="4" w:tplc="72E2C890">
      <w:start w:val="1"/>
      <w:numFmt w:val="bullet"/>
      <w:lvlText w:val="○"/>
      <w:lvlJc w:val="left"/>
      <w:pPr>
        <w:ind w:left="3600" w:hanging="360"/>
      </w:pPr>
    </w:lvl>
    <w:lvl w:ilvl="5" w:tplc="D3C4B13E">
      <w:start w:val="1"/>
      <w:numFmt w:val="bullet"/>
      <w:lvlText w:val="■"/>
      <w:lvlJc w:val="left"/>
      <w:pPr>
        <w:ind w:left="4320" w:hanging="360"/>
      </w:pPr>
    </w:lvl>
    <w:lvl w:ilvl="6" w:tplc="48B83F42">
      <w:start w:val="1"/>
      <w:numFmt w:val="bullet"/>
      <w:lvlText w:val="●"/>
      <w:lvlJc w:val="left"/>
      <w:pPr>
        <w:ind w:left="5040" w:hanging="360"/>
      </w:pPr>
    </w:lvl>
    <w:lvl w:ilvl="7" w:tplc="4F143652">
      <w:start w:val="1"/>
      <w:numFmt w:val="bullet"/>
      <w:lvlText w:val="●"/>
      <w:lvlJc w:val="left"/>
      <w:pPr>
        <w:ind w:left="5760" w:hanging="360"/>
      </w:pPr>
    </w:lvl>
    <w:lvl w:ilvl="8" w:tplc="49083D7E">
      <w:start w:val="1"/>
      <w:numFmt w:val="bullet"/>
      <w:lvlText w:val="●"/>
      <w:lvlJc w:val="left"/>
      <w:pPr>
        <w:ind w:left="6480" w:hanging="360"/>
      </w:pPr>
    </w:lvl>
  </w:abstractNum>
  <w:abstractNum w:abstractNumId="2" w15:restartNumberingAfterBreak="0">
    <w:nsid w:val="7EE858B5"/>
    <w:multiLevelType w:val="hybridMultilevel"/>
    <w:tmpl w:val="A6C45504"/>
    <w:lvl w:ilvl="0" w:tplc="EA626088">
      <w:start w:val="1"/>
      <w:numFmt w:val="bullet"/>
      <w:lvlText w:val="•"/>
      <w:lvlJc w:val="left"/>
      <w:pPr>
        <w:ind w:left="600" w:hanging="300"/>
      </w:pPr>
    </w:lvl>
    <w:lvl w:ilvl="1" w:tplc="DD56AB7E">
      <w:numFmt w:val="decimal"/>
      <w:lvlText w:val=""/>
      <w:lvlJc w:val="left"/>
    </w:lvl>
    <w:lvl w:ilvl="2" w:tplc="9E000960">
      <w:numFmt w:val="decimal"/>
      <w:lvlText w:val=""/>
      <w:lvlJc w:val="left"/>
    </w:lvl>
    <w:lvl w:ilvl="3" w:tplc="059A35E4">
      <w:numFmt w:val="decimal"/>
      <w:lvlText w:val=""/>
      <w:lvlJc w:val="left"/>
    </w:lvl>
    <w:lvl w:ilvl="4" w:tplc="EF7615DA">
      <w:numFmt w:val="decimal"/>
      <w:lvlText w:val=""/>
      <w:lvlJc w:val="left"/>
    </w:lvl>
    <w:lvl w:ilvl="5" w:tplc="C0AE6360">
      <w:numFmt w:val="decimal"/>
      <w:lvlText w:val=""/>
      <w:lvlJc w:val="left"/>
    </w:lvl>
    <w:lvl w:ilvl="6" w:tplc="F0F46C4A">
      <w:numFmt w:val="decimal"/>
      <w:lvlText w:val=""/>
      <w:lvlJc w:val="left"/>
    </w:lvl>
    <w:lvl w:ilvl="7" w:tplc="BDD06898">
      <w:numFmt w:val="decimal"/>
      <w:lvlText w:val=""/>
      <w:lvlJc w:val="left"/>
    </w:lvl>
    <w:lvl w:ilvl="8" w:tplc="2A8C8B6E">
      <w:numFmt w:val="decimal"/>
      <w:lvlText w:val=""/>
      <w:lvlJc w:val="left"/>
    </w:lvl>
  </w:abstractNum>
  <w:num w:numId="1" w16cid:durableId="1587182887">
    <w:abstractNumId w:val="1"/>
    <w:lvlOverride w:ilvl="0">
      <w:startOverride w:val="1"/>
    </w:lvlOverride>
  </w:num>
  <w:num w:numId="2" w16cid:durableId="17427474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19FE"/>
    <w:rsid w:val="002419FE"/>
    <w:rsid w:val="008736EE"/>
    <w:rsid w:val="00952AE2"/>
    <w:rsid w:val="00D6489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2DE89"/>
  <w15:docId w15:val="{B254DE72-0ABA-45E9-A6C2-FF38F3F38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2E75B6"/>
      </w:pBdr>
      <w:spacing w:before="280" w:after="160"/>
      <w:outlineLvl w:val="0"/>
    </w:pPr>
    <w:rPr>
      <w:b/>
      <w:bCs/>
      <w:color w:val="1F3A5F"/>
      <w:sz w:val="30"/>
      <w:szCs w:val="30"/>
    </w:rPr>
  </w:style>
  <w:style w:type="paragraph" w:styleId="Ttulo2">
    <w:name w:val="heading 2"/>
    <w:uiPriority w:val="9"/>
    <w:unhideWhenUsed/>
    <w:qFormat/>
    <w:pPr>
      <w:spacing w:before="220" w:after="120"/>
      <w:outlineLvl w:val="1"/>
    </w:pPr>
    <w:rPr>
      <w:b/>
      <w:bCs/>
      <w:color w:val="2E75B6"/>
      <w:sz w:val="25"/>
      <w:szCs w:val="25"/>
    </w:rPr>
  </w:style>
  <w:style w:type="paragraph" w:styleId="Ttulo3">
    <w:name w:val="heading 3"/>
    <w:uiPriority w:val="9"/>
    <w:unhideWhenUsed/>
    <w:qFormat/>
    <w:pPr>
      <w:spacing w:before="160" w:after="80"/>
      <w:outlineLvl w:val="2"/>
    </w:pPr>
    <w:rPr>
      <w:b/>
      <w:bCs/>
      <w:color w:val="333333"/>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8736EE"/>
    <w:pPr>
      <w:spacing w:after="100"/>
    </w:pPr>
  </w:style>
  <w:style w:type="paragraph" w:styleId="TDC2">
    <w:name w:val="toc 2"/>
    <w:basedOn w:val="Normal"/>
    <w:next w:val="Normal"/>
    <w:autoRedefine/>
    <w:uiPriority w:val="39"/>
    <w:unhideWhenUsed/>
    <w:rsid w:val="008736EE"/>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5302</Words>
  <Characters>29161</Characters>
  <Application>Microsoft Office Word</Application>
  <DocSecurity>0</DocSecurity>
  <Lines>243</Lines>
  <Paragraphs>68</Paragraphs>
  <ScaleCrop>false</ScaleCrop>
  <Company/>
  <LinksUpToDate>false</LinksUpToDate>
  <CharactersWithSpaces>34395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Ringworld.io — Stack Tecnológico v1.2</dc:title>
  <dc:creator>Arquitecto de Stack Tecnológico — Ringworld.io</dc:creator>
  <cp:lastModifiedBy>alvaro guillen</cp:lastModifiedBy>
  <cp:revision>2</cp:revision>
  <dcterms:created xsi:type="dcterms:W3CDTF">2026-07-01T14:02:00Z</dcterms:created>
  <dcterms:modified xsi:type="dcterms:W3CDTF">2026-07-01T14:02:00Z</dcterms:modified>
</cp:coreProperties>
</file>