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60" w:before="0" w:line="276"/>
      </w:pPr>
      <w:r>
        <w:rPr>
          <w:rFonts w:ascii="Calibri" w:cs="Calibri" w:eastAsia="Calibri" w:hAnsi="Calibri"/>
          <w:b/>
          <w:bCs/>
          <w:color w:val="6B7A99"/>
          <w:sz w:val="20"/>
          <w:szCs w:val="20"/>
        </w:rPr>
        <w:t xml:space="preserve">NORTEX SYSTEMS</w:t>
      </w:r>
    </w:p>
    <w:p>
      <w:pPr>
        <w:pBdr>
          <w:bottom w:val="single" w:color="07111F" w:sz="18"/>
        </w:pBdr>
        <w:spacing w:after="100"/>
      </w:pPr>
    </w:p>
    <w:p>
      <w:pPr>
        <w:spacing w:after="120" w:before="0" w:line="276"/>
      </w:pPr>
      <w:r>
        <w:rPr>
          <w:rFonts w:ascii="Calibri" w:cs="Calibri" w:eastAsia="Calibri" w:hAnsi="Calibri"/>
          <w:b/>
          <w:bCs/>
          <w:color w:val="07111F"/>
          <w:sz w:val="64"/>
          <w:szCs w:val="64"/>
        </w:rPr>
        <w:t xml:space="preserve">Bearingworld.io</w:t>
      </w:r>
    </w:p>
    <w:p>
      <w:pPr>
        <w:spacing w:after="380" w:before="0" w:line="276"/>
      </w:pPr>
      <w:r>
        <w:rPr>
          <w:rFonts w:ascii="Calibri" w:cs="Calibri" w:eastAsia="Calibri" w:hAnsi="Calibri"/>
          <w:color w:val="1B4B7A"/>
          <w:sz w:val="40"/>
          <w:szCs w:val="40"/>
        </w:rPr>
        <w:t xml:space="preserve">Plan de V1 hasta producción</w:t>
      </w:r>
    </w:p>
    <w:p>
      <w:pPr>
        <w:spacing w:after="80" w:before="0" w:line="276"/>
      </w:pPr>
      <w:r>
        <w:rPr>
          <w:rFonts w:ascii="Calibri" w:cs="Calibri" w:eastAsia="Calibri" w:hAnsi="Calibri"/>
          <w:color w:val="6B7A99"/>
          <w:sz w:val="24"/>
          <w:szCs w:val="24"/>
        </w:rPr>
        <w:t xml:space="preserve">Verificación, fases, calendario y economía</w:t>
      </w:r>
    </w:p>
    <w:p>
      <w:pPr>
        <w:spacing w:after="1200" w:before="0" w:line="276"/>
      </w:pPr>
      <w:r>
        <w:rPr>
          <w:rFonts w:ascii="Calibri" w:cs="Calibri" w:eastAsia="Calibri" w:hAnsi="Calibri"/>
          <w:i/>
          <w:iCs/>
          <w:color w:val="6B7A99"/>
          <w:sz w:val="20"/>
          <w:szCs w:val="20"/>
        </w:rPr>
        <w:t xml:space="preserve">Alcance: los ocho módulos del PRD v1.1, con cifrado extremo a extremo completo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val="false"/>
        </w:trPr>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Versión</w:t>
            </w:r>
          </w:p>
        </w:tc>
        <w:tc>
          <w:tcPr>
            <w:tcW w:type="dxa" w:w="6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v2.2 — sustituye a la v1.0 del 18-ago-2026</w:t>
            </w:r>
          </w:p>
        </w:tc>
      </w:tr>
      <w:tr>
        <w:trPr>
          <w:tblHeader w:val="false"/>
        </w:trPr>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Qué cambia</w:t>
            </w:r>
          </w:p>
        </w:tc>
        <w:tc>
          <w:tcPr>
            <w:tcW w:type="dxa" w:w="6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Capítulo de verificación nuevo · plan reestructurado en tres corrientes concurrentes · plazo de 30 a 21 semanas · costes de auditoría y legales verificados en fuente · dictamen sobre la adopción de utillaje externo de verificación (§5.4) · ADR-002 incorporado a la fundación</w:t>
            </w:r>
          </w:p>
        </w:tc>
      </w:tr>
      <w:tr>
        <w:trPr>
          <w:tblHeader w:val="false"/>
        </w:trPr>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Fecha</w:t>
            </w:r>
          </w:p>
        </w:tc>
        <w:tc>
          <w:tcPr>
            <w:tcW w:type="dxa" w:w="6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22 de agosto de 2026</w:t>
            </w:r>
          </w:p>
        </w:tc>
      </w:tr>
      <w:tr>
        <w:trPr>
          <w:tblHeader w:val="false"/>
        </w:trPr>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Autor</w:t>
            </w:r>
          </w:p>
        </w:tc>
        <w:tc>
          <w:tcPr>
            <w:tcW w:type="dxa" w:w="6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Dirección Técnica (CTO), Nortex Systems</w:t>
            </w:r>
          </w:p>
        </w:tc>
      </w:tr>
      <w:tr>
        <w:trPr>
          <w:tblHeader w:val="false"/>
        </w:trPr>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Estado del MVP</w:t>
            </w:r>
          </w:p>
        </w:tc>
        <w:tc>
          <w:tcPr>
            <w:tcW w:type="dxa" w:w="6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Cerrado el 18-ago-2026 · desplegado y verificado en producción</w:t>
            </w:r>
          </w:p>
        </w:tc>
      </w:tr>
      <w:tr>
        <w:trPr>
          <w:tblHeader w:val="false"/>
        </w:trPr>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Base documental</w:t>
            </w:r>
          </w:p>
        </w:tc>
        <w:tc>
          <w:tcPr>
            <w:tcW w:type="dxa" w:w="6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PRD v1.1 · Stack Tech v1.2 · ADR-001 · 9 capabilities OpenSpec (182 escenarios) · registro de 112 hallazgos del MVP</w:t>
            </w:r>
          </w:p>
        </w:tc>
      </w:tr>
    </w:tbl>
    <w:p>
      <w:r>
        <w:br w:type="page"/>
      </w:r>
    </w:p>
    <w:p>
      <w:pPr>
        <w:pStyle w:val="Heading1"/>
        <w:spacing w:after="200" w:before="360"/>
      </w:pPr>
      <w:r>
        <w:rPr>
          <w:rFonts w:ascii="Calibri" w:cs="Calibri" w:eastAsia="Calibri" w:hAnsi="Calibri"/>
          <w:b/>
          <w:bCs/>
          <w:color w:val="07111F"/>
          <w:sz w:val="32"/>
          <w:szCs w:val="32"/>
        </w:rPr>
        <w:t xml:space="preserve">Índice</w:t>
      </w:r>
    </w:p>
    <w:p>
      <w:pPr>
        <w:spacing w:after="100"/>
      </w:pPr>
    </w:p>
    <w:p>
      <w:pPr>
        <w:tabs>
          <w:tab w:val="right" w:pos="8900" w:leader="dot"/>
        </w:tabs>
        <w:spacing w:after="80" w:before="50"/>
      </w:pPr>
      <w:r>
        <w:rPr>
          <w:rFonts w:ascii="Calibri" w:cs="Calibri" w:eastAsia="Calibri" w:hAnsi="Calibri"/>
          <w:b/>
          <w:bCs/>
          <w:color w:val="07111F"/>
          <w:sz w:val="20"/>
          <w:szCs w:val="20"/>
        </w:rPr>
        <w:t xml:space="preserve">1 · Resumen ejecutivo</w:t>
      </w:r>
      <w:r>
        <w:rPr>
          <w:rFonts w:ascii="Calibri" w:cs="Calibri" w:eastAsia="Calibri" w:hAnsi="Calibri"/>
          <w:sz w:val="18"/>
          <w:szCs w:val="18"/>
        </w:rPr>
        <w:t xml:space="preserve">	</w:t>
      </w:r>
      <w:r>
        <w:rPr>
          <w:rFonts w:ascii="Calibri" w:cs="Calibri" w:eastAsia="Calibri" w:hAnsi="Calibri"/>
          <w:b/>
          <w:bCs/>
          <w:color w:val="07111F"/>
          <w:sz w:val="20"/>
          <w:szCs w:val="20"/>
        </w:rPr>
        <w:t xml:space="preserve">3</w:t>
      </w:r>
    </w:p>
    <w:p>
      <w:pPr>
        <w:tabs>
          <w:tab w:val="right" w:pos="8900" w:leader="dot"/>
        </w:tabs>
        <w:spacing w:after="40" w:before="0"/>
        <w:ind w:left="320"/>
      </w:pPr>
      <w:r>
        <w:rPr>
          <w:rFonts w:ascii="Calibri" w:cs="Calibri" w:eastAsia="Calibri" w:hAnsi="Calibri"/>
          <w:b w:val="false"/>
          <w:bCs w:val="false"/>
          <w:color w:val="3A3A3A"/>
          <w:sz w:val="18"/>
          <w:szCs w:val="18"/>
        </w:rPr>
        <w:t xml:space="preserve">Qué cambia respecto a la v1.0</w:t>
      </w:r>
      <w:r>
        <w:rPr>
          <w:rFonts w:ascii="Calibri" w:cs="Calibri" w:eastAsia="Calibri" w:hAnsi="Calibri"/>
          <w:sz w:val="18"/>
          <w:szCs w:val="18"/>
        </w:rPr>
        <w:t xml:space="preserve">	</w:t>
      </w:r>
      <w:r>
        <w:rPr>
          <w:rFonts w:ascii="Calibri" w:cs="Calibri" w:eastAsia="Calibri" w:hAnsi="Calibri"/>
          <w:b w:val="false"/>
          <w:bCs w:val="false"/>
          <w:color w:val="3A3A3A"/>
          <w:sz w:val="18"/>
          <w:szCs w:val="18"/>
        </w:rPr>
        <w:t xml:space="preserve">3</w:t>
      </w:r>
    </w:p>
    <w:p>
      <w:pPr>
        <w:tabs>
          <w:tab w:val="right" w:pos="8900" w:leader="dot"/>
        </w:tabs>
        <w:spacing w:after="80" w:before="50"/>
      </w:pPr>
      <w:r>
        <w:rPr>
          <w:rFonts w:ascii="Calibri" w:cs="Calibri" w:eastAsia="Calibri" w:hAnsi="Calibri"/>
          <w:b/>
          <w:bCs/>
          <w:color w:val="07111F"/>
          <w:sz w:val="20"/>
          <w:szCs w:val="20"/>
        </w:rPr>
        <w:t xml:space="preserve">2 · Punto de partida</w:t>
      </w:r>
      <w:r>
        <w:rPr>
          <w:rFonts w:ascii="Calibri" w:cs="Calibri" w:eastAsia="Calibri" w:hAnsi="Calibri"/>
          <w:sz w:val="18"/>
          <w:szCs w:val="18"/>
        </w:rPr>
        <w:t xml:space="preserve">	</w:t>
      </w:r>
      <w:r>
        <w:rPr>
          <w:rFonts w:ascii="Calibri" w:cs="Calibri" w:eastAsia="Calibri" w:hAnsi="Calibri"/>
          <w:b/>
          <w:bCs/>
          <w:color w:val="07111F"/>
          <w:sz w:val="20"/>
          <w:szCs w:val="20"/>
        </w:rPr>
        <w:t xml:space="preserve">5</w:t>
      </w:r>
    </w:p>
    <w:p>
      <w:pPr>
        <w:tabs>
          <w:tab w:val="right" w:pos="8900" w:leader="dot"/>
        </w:tabs>
        <w:spacing w:after="80" w:before="50"/>
      </w:pPr>
      <w:r>
        <w:rPr>
          <w:rFonts w:ascii="Calibri" w:cs="Calibri" w:eastAsia="Calibri" w:hAnsi="Calibri"/>
          <w:b/>
          <w:bCs/>
          <w:color w:val="07111F"/>
          <w:sz w:val="20"/>
          <w:szCs w:val="20"/>
        </w:rPr>
        <w:t xml:space="preserve">3 · Qué es V1</w:t>
      </w:r>
      <w:r>
        <w:rPr>
          <w:rFonts w:ascii="Calibri" w:cs="Calibri" w:eastAsia="Calibri" w:hAnsi="Calibri"/>
          <w:sz w:val="18"/>
          <w:szCs w:val="18"/>
        </w:rPr>
        <w:t xml:space="preserve">	</w:t>
      </w:r>
      <w:r>
        <w:rPr>
          <w:rFonts w:ascii="Calibri" w:cs="Calibri" w:eastAsia="Calibri" w:hAnsi="Calibri"/>
          <w:b/>
          <w:bCs/>
          <w:color w:val="07111F"/>
          <w:sz w:val="20"/>
          <w:szCs w:val="20"/>
        </w:rPr>
        <w:t xml:space="preserve">7</w:t>
      </w:r>
    </w:p>
    <w:p>
      <w:pPr>
        <w:tabs>
          <w:tab w:val="right" w:pos="8900" w:leader="dot"/>
        </w:tabs>
        <w:spacing w:after="80" w:before="50"/>
      </w:pPr>
      <w:r>
        <w:rPr>
          <w:rFonts w:ascii="Calibri" w:cs="Calibri" w:eastAsia="Calibri" w:hAnsi="Calibri"/>
          <w:b/>
          <w:bCs/>
          <w:color w:val="07111F"/>
          <w:sz w:val="20"/>
          <w:szCs w:val="20"/>
        </w:rPr>
        <w:t xml:space="preserve">4 · Arquitectura de modelos</w:t>
      </w:r>
      <w:r>
        <w:rPr>
          <w:rFonts w:ascii="Calibri" w:cs="Calibri" w:eastAsia="Calibri" w:hAnsi="Calibri"/>
          <w:sz w:val="18"/>
          <w:szCs w:val="18"/>
        </w:rPr>
        <w:t xml:space="preserve">	</w:t>
      </w:r>
      <w:r>
        <w:rPr>
          <w:rFonts w:ascii="Calibri" w:cs="Calibri" w:eastAsia="Calibri" w:hAnsi="Calibri"/>
          <w:b/>
          <w:bCs/>
          <w:color w:val="07111F"/>
          <w:sz w:val="20"/>
          <w:szCs w:val="20"/>
        </w:rPr>
        <w:t xml:space="preserve">9</w:t>
      </w:r>
    </w:p>
    <w:p>
      <w:pPr>
        <w:tabs>
          <w:tab w:val="right" w:pos="8900" w:leader="dot"/>
        </w:tabs>
        <w:spacing w:after="40" w:before="0"/>
        <w:ind w:left="320"/>
      </w:pPr>
      <w:r>
        <w:rPr>
          <w:rFonts w:ascii="Calibri" w:cs="Calibri" w:eastAsia="Calibri" w:hAnsi="Calibri"/>
          <w:b w:val="false"/>
          <w:bCs w:val="false"/>
          <w:color w:val="3A3A3A"/>
          <w:sz w:val="18"/>
          <w:szCs w:val="18"/>
        </w:rPr>
        <w:t xml:space="preserve">Por qué VERA no puede ir a DeepSeek</w:t>
      </w:r>
      <w:r>
        <w:rPr>
          <w:rFonts w:ascii="Calibri" w:cs="Calibri" w:eastAsia="Calibri" w:hAnsi="Calibri"/>
          <w:sz w:val="18"/>
          <w:szCs w:val="18"/>
        </w:rPr>
        <w:t xml:space="preserve">	</w:t>
      </w:r>
      <w:r>
        <w:rPr>
          <w:rFonts w:ascii="Calibri" w:cs="Calibri" w:eastAsia="Calibri" w:hAnsi="Calibri"/>
          <w:b w:val="false"/>
          <w:bCs w:val="false"/>
          <w:color w:val="3A3A3A"/>
          <w:sz w:val="18"/>
          <w:szCs w:val="18"/>
        </w:rPr>
        <w:t xml:space="preserve">9</w:t>
      </w:r>
    </w:p>
    <w:p>
      <w:pPr>
        <w:tabs>
          <w:tab w:val="right" w:pos="8900" w:leader="dot"/>
        </w:tabs>
        <w:spacing w:after="80" w:before="50"/>
      </w:pPr>
      <w:r>
        <w:rPr>
          <w:rFonts w:ascii="Calibri" w:cs="Calibri" w:eastAsia="Calibri" w:hAnsi="Calibri"/>
          <w:b/>
          <w:bCs/>
          <w:color w:val="07111F"/>
          <w:sz w:val="20"/>
          <w:szCs w:val="20"/>
        </w:rPr>
        <w:t xml:space="preserve">5 · Verificación — el capítulo que gobierna el plan</w:t>
      </w:r>
      <w:r>
        <w:rPr>
          <w:rFonts w:ascii="Calibri" w:cs="Calibri" w:eastAsia="Calibri" w:hAnsi="Calibri"/>
          <w:sz w:val="18"/>
          <w:szCs w:val="18"/>
        </w:rPr>
        <w:t xml:space="preserve">	</w:t>
      </w:r>
      <w:r>
        <w:rPr>
          <w:rFonts w:ascii="Calibri" w:cs="Calibri" w:eastAsia="Calibri" w:hAnsi="Calibri"/>
          <w:b/>
          <w:bCs/>
          <w:color w:val="07111F"/>
          <w:sz w:val="20"/>
          <w:szCs w:val="20"/>
        </w:rPr>
        <w:t xml:space="preserve">12</w:t>
      </w:r>
    </w:p>
    <w:p>
      <w:pPr>
        <w:tabs>
          <w:tab w:val="right" w:pos="8900" w:leader="dot"/>
        </w:tabs>
        <w:spacing w:after="40" w:before="0"/>
        <w:ind w:left="320"/>
      </w:pPr>
      <w:r>
        <w:rPr>
          <w:rFonts w:ascii="Calibri" w:cs="Calibri" w:eastAsia="Calibri" w:hAnsi="Calibri"/>
          <w:b w:val="false"/>
          <w:bCs w:val="false"/>
          <w:color w:val="3A3A3A"/>
          <w:sz w:val="18"/>
          <w:szCs w:val="18"/>
        </w:rPr>
        <w:t xml:space="preserve">Los cinco niveles de verificación</w:t>
      </w:r>
      <w:r>
        <w:rPr>
          <w:rFonts w:ascii="Calibri" w:cs="Calibri" w:eastAsia="Calibri" w:hAnsi="Calibri"/>
          <w:sz w:val="18"/>
          <w:szCs w:val="18"/>
        </w:rPr>
        <w:t xml:space="preserve">	</w:t>
      </w:r>
      <w:r>
        <w:rPr>
          <w:rFonts w:ascii="Calibri" w:cs="Calibri" w:eastAsia="Calibri" w:hAnsi="Calibri"/>
          <w:b w:val="false"/>
          <w:bCs w:val="false"/>
          <w:color w:val="3A3A3A"/>
          <w:sz w:val="18"/>
          <w:szCs w:val="18"/>
        </w:rPr>
        <w:t xml:space="preserve">12</w:t>
      </w:r>
    </w:p>
    <w:p>
      <w:pPr>
        <w:tabs>
          <w:tab w:val="right" w:pos="8900" w:leader="dot"/>
        </w:tabs>
        <w:spacing w:after="40" w:before="0"/>
        <w:ind w:left="320"/>
      </w:pPr>
      <w:r>
        <w:rPr>
          <w:rFonts w:ascii="Calibri" w:cs="Calibri" w:eastAsia="Calibri" w:hAnsi="Calibri"/>
          <w:b w:val="false"/>
          <w:bCs w:val="false"/>
          <w:color w:val="3A3A3A"/>
          <w:sz w:val="18"/>
          <w:szCs w:val="18"/>
        </w:rPr>
        <w:t xml:space="preserve">Los 500 usuarios concurrentes: qué se rompe primero</w:t>
      </w:r>
      <w:r>
        <w:rPr>
          <w:rFonts w:ascii="Calibri" w:cs="Calibri" w:eastAsia="Calibri" w:hAnsi="Calibri"/>
          <w:sz w:val="18"/>
          <w:szCs w:val="18"/>
        </w:rPr>
        <w:t xml:space="preserve">	</w:t>
      </w:r>
      <w:r>
        <w:rPr>
          <w:rFonts w:ascii="Calibri" w:cs="Calibri" w:eastAsia="Calibri" w:hAnsi="Calibri"/>
          <w:b w:val="false"/>
          <w:bCs w:val="false"/>
          <w:color w:val="3A3A3A"/>
          <w:sz w:val="18"/>
          <w:szCs w:val="18"/>
        </w:rPr>
        <w:t xml:space="preserve">15</w:t>
      </w:r>
    </w:p>
    <w:p>
      <w:pPr>
        <w:tabs>
          <w:tab w:val="right" w:pos="8900" w:leader="dot"/>
        </w:tabs>
        <w:spacing w:after="40" w:before="0"/>
        <w:ind w:left="320"/>
      </w:pPr>
      <w:r>
        <w:rPr>
          <w:rFonts w:ascii="Calibri" w:cs="Calibri" w:eastAsia="Calibri" w:hAnsi="Calibri"/>
          <w:b w:val="false"/>
          <w:bCs w:val="false"/>
          <w:color w:val="3A3A3A"/>
          <w:sz w:val="18"/>
          <w:szCs w:val="18"/>
        </w:rPr>
        <w:t xml:space="preserve">Lo que cuesta verificar este producto</w:t>
      </w:r>
      <w:r>
        <w:rPr>
          <w:rFonts w:ascii="Calibri" w:cs="Calibri" w:eastAsia="Calibri" w:hAnsi="Calibri"/>
          <w:sz w:val="18"/>
          <w:szCs w:val="18"/>
        </w:rPr>
        <w:t xml:space="preserve">	</w:t>
      </w:r>
      <w:r>
        <w:rPr>
          <w:rFonts w:ascii="Calibri" w:cs="Calibri" w:eastAsia="Calibri" w:hAnsi="Calibri"/>
          <w:b w:val="false"/>
          <w:bCs w:val="false"/>
          <w:color w:val="3A3A3A"/>
          <w:sz w:val="18"/>
          <w:szCs w:val="18"/>
        </w:rPr>
        <w:t xml:space="preserve">17</w:t>
      </w:r>
    </w:p>
    <w:p>
      <w:pPr>
        <w:tabs>
          <w:tab w:val="right" w:pos="8900" w:leader="dot"/>
        </w:tabs>
        <w:spacing w:after="40" w:before="0"/>
        <w:ind w:left="320"/>
      </w:pPr>
      <w:r>
        <w:rPr>
          <w:rFonts w:ascii="Calibri" w:cs="Calibri" w:eastAsia="Calibri" w:hAnsi="Calibri"/>
          <w:b w:val="false"/>
          <w:bCs w:val="false"/>
          <w:color w:val="3A3A3A"/>
          <w:sz w:val="18"/>
          <w:szCs w:val="18"/>
        </w:rPr>
        <w:t xml:space="preserve">Utillaje externo: qué se adopta y qué no</w:t>
      </w:r>
      <w:r>
        <w:rPr>
          <w:rFonts w:ascii="Calibri" w:cs="Calibri" w:eastAsia="Calibri" w:hAnsi="Calibri"/>
          <w:sz w:val="18"/>
          <w:szCs w:val="18"/>
        </w:rPr>
        <w:t xml:space="preserve">	</w:t>
      </w:r>
      <w:r>
        <w:rPr>
          <w:rFonts w:ascii="Calibri" w:cs="Calibri" w:eastAsia="Calibri" w:hAnsi="Calibri"/>
          <w:b w:val="false"/>
          <w:bCs w:val="false"/>
          <w:color w:val="3A3A3A"/>
          <w:sz w:val="18"/>
          <w:szCs w:val="18"/>
        </w:rPr>
        <w:t xml:space="preserve">18</w:t>
      </w:r>
    </w:p>
    <w:p>
      <w:pPr>
        <w:tabs>
          <w:tab w:val="right" w:pos="8900" w:leader="dot"/>
        </w:tabs>
        <w:spacing w:after="80" w:before="50"/>
      </w:pPr>
      <w:r>
        <w:rPr>
          <w:rFonts w:ascii="Calibri" w:cs="Calibri" w:eastAsia="Calibri" w:hAnsi="Calibri"/>
          <w:b/>
          <w:bCs/>
          <w:color w:val="07111F"/>
          <w:sz w:val="20"/>
          <w:szCs w:val="20"/>
        </w:rPr>
        <w:t xml:space="preserve">6 · El plan: tres corrientes concurrentes</w:t>
      </w:r>
      <w:r>
        <w:rPr>
          <w:rFonts w:ascii="Calibri" w:cs="Calibri" w:eastAsia="Calibri" w:hAnsi="Calibri"/>
          <w:sz w:val="18"/>
          <w:szCs w:val="18"/>
        </w:rPr>
        <w:t xml:space="preserve">	</w:t>
      </w:r>
      <w:r>
        <w:rPr>
          <w:rFonts w:ascii="Calibri" w:cs="Calibri" w:eastAsia="Calibri" w:hAnsi="Calibri"/>
          <w:b/>
          <w:bCs/>
          <w:color w:val="07111F"/>
          <w:sz w:val="20"/>
          <w:szCs w:val="20"/>
        </w:rPr>
        <w:t xml:space="preserve">20</w:t>
      </w:r>
    </w:p>
    <w:p>
      <w:pPr>
        <w:tabs>
          <w:tab w:val="right" w:pos="8900" w:leader="dot"/>
        </w:tabs>
        <w:spacing w:after="40" w:before="0"/>
        <w:ind w:left="320"/>
      </w:pPr>
      <w:r>
        <w:rPr>
          <w:rFonts w:ascii="Calibri" w:cs="Calibri" w:eastAsia="Calibri" w:hAnsi="Calibri"/>
          <w:b w:val="false"/>
          <w:bCs w:val="false"/>
          <w:color w:val="3A3A3A"/>
          <w:sz w:val="18"/>
          <w:szCs w:val="18"/>
        </w:rPr>
        <w:t xml:space="preserve">Las tres corrientes · Los ocho hitos</w:t>
      </w:r>
      <w:r>
        <w:rPr>
          <w:rFonts w:ascii="Calibri" w:cs="Calibri" w:eastAsia="Calibri" w:hAnsi="Calibri"/>
          <w:sz w:val="18"/>
          <w:szCs w:val="18"/>
        </w:rPr>
        <w:t xml:space="preserve">	</w:t>
      </w:r>
      <w:r>
        <w:rPr>
          <w:rFonts w:ascii="Calibri" w:cs="Calibri" w:eastAsia="Calibri" w:hAnsi="Calibri"/>
          <w:b w:val="false"/>
          <w:bCs w:val="false"/>
          <w:color w:val="3A3A3A"/>
          <w:sz w:val="18"/>
          <w:szCs w:val="18"/>
        </w:rPr>
        <w:t xml:space="preserve">20</w:t>
      </w:r>
    </w:p>
    <w:p>
      <w:pPr>
        <w:tabs>
          <w:tab w:val="right" w:pos="8900" w:leader="dot"/>
        </w:tabs>
        <w:spacing w:after="80" w:before="50"/>
      </w:pPr>
      <w:r>
        <w:rPr>
          <w:rFonts w:ascii="Calibri" w:cs="Calibri" w:eastAsia="Calibri" w:hAnsi="Calibri"/>
          <w:b/>
          <w:bCs/>
          <w:color w:val="07111F"/>
          <w:sz w:val="20"/>
          <w:szCs w:val="20"/>
        </w:rPr>
        <w:t xml:space="preserve">7 · Calendario y capacidad</w:t>
      </w:r>
      <w:r>
        <w:rPr>
          <w:rFonts w:ascii="Calibri" w:cs="Calibri" w:eastAsia="Calibri" w:hAnsi="Calibri"/>
          <w:sz w:val="18"/>
          <w:szCs w:val="18"/>
        </w:rPr>
        <w:t xml:space="preserve">	</w:t>
      </w:r>
      <w:r>
        <w:rPr>
          <w:rFonts w:ascii="Calibri" w:cs="Calibri" w:eastAsia="Calibri" w:hAnsi="Calibri"/>
          <w:b/>
          <w:bCs/>
          <w:color w:val="07111F"/>
          <w:sz w:val="20"/>
          <w:szCs w:val="20"/>
        </w:rPr>
        <w:t xml:space="preserve">23</w:t>
      </w:r>
    </w:p>
    <w:p>
      <w:pPr>
        <w:tabs>
          <w:tab w:val="right" w:pos="8900" w:leader="dot"/>
        </w:tabs>
        <w:spacing w:after="80" w:before="50"/>
      </w:pPr>
      <w:r>
        <w:rPr>
          <w:rFonts w:ascii="Calibri" w:cs="Calibri" w:eastAsia="Calibri" w:hAnsi="Calibri"/>
          <w:b/>
          <w:bCs/>
          <w:color w:val="07111F"/>
          <w:sz w:val="20"/>
          <w:szCs w:val="20"/>
        </w:rPr>
        <w:t xml:space="preserve">8 · Economía</w:t>
      </w:r>
      <w:r>
        <w:rPr>
          <w:rFonts w:ascii="Calibri" w:cs="Calibri" w:eastAsia="Calibri" w:hAnsi="Calibri"/>
          <w:sz w:val="18"/>
          <w:szCs w:val="18"/>
        </w:rPr>
        <w:t xml:space="preserve">	</w:t>
      </w:r>
      <w:r>
        <w:rPr>
          <w:rFonts w:ascii="Calibri" w:cs="Calibri" w:eastAsia="Calibri" w:hAnsi="Calibri"/>
          <w:b/>
          <w:bCs/>
          <w:color w:val="07111F"/>
          <w:sz w:val="20"/>
          <w:szCs w:val="20"/>
        </w:rPr>
        <w:t xml:space="preserve">25</w:t>
      </w:r>
    </w:p>
    <w:p>
      <w:pPr>
        <w:tabs>
          <w:tab w:val="right" w:pos="8900" w:leader="dot"/>
        </w:tabs>
        <w:spacing w:after="80" w:before="50"/>
      </w:pPr>
      <w:r>
        <w:rPr>
          <w:rFonts w:ascii="Calibri" w:cs="Calibri" w:eastAsia="Calibri" w:hAnsi="Calibri"/>
          <w:b/>
          <w:bCs/>
          <w:color w:val="07111F"/>
          <w:sz w:val="20"/>
          <w:szCs w:val="20"/>
        </w:rPr>
        <w:t xml:space="preserve">9 · Riesgos</w:t>
      </w:r>
      <w:r>
        <w:rPr>
          <w:rFonts w:ascii="Calibri" w:cs="Calibri" w:eastAsia="Calibri" w:hAnsi="Calibri"/>
          <w:sz w:val="18"/>
          <w:szCs w:val="18"/>
        </w:rPr>
        <w:t xml:space="preserve">	</w:t>
      </w:r>
      <w:r>
        <w:rPr>
          <w:rFonts w:ascii="Calibri" w:cs="Calibri" w:eastAsia="Calibri" w:hAnsi="Calibri"/>
          <w:b/>
          <w:bCs/>
          <w:color w:val="07111F"/>
          <w:sz w:val="20"/>
          <w:szCs w:val="20"/>
        </w:rPr>
        <w:t xml:space="preserve">28</w:t>
      </w:r>
    </w:p>
    <w:p>
      <w:pPr>
        <w:tabs>
          <w:tab w:val="right" w:pos="8900" w:leader="dot"/>
        </w:tabs>
        <w:spacing w:after="80" w:before="50"/>
      </w:pPr>
      <w:r>
        <w:rPr>
          <w:rFonts w:ascii="Calibri" w:cs="Calibri" w:eastAsia="Calibri" w:hAnsi="Calibri"/>
          <w:b/>
          <w:bCs/>
          <w:color w:val="07111F"/>
          <w:sz w:val="20"/>
          <w:szCs w:val="20"/>
        </w:rPr>
        <w:t xml:space="preserve">10 · Las decisiones que necesita este plan</w:t>
      </w:r>
      <w:r>
        <w:rPr>
          <w:rFonts w:ascii="Calibri" w:cs="Calibri" w:eastAsia="Calibri" w:hAnsi="Calibri"/>
          <w:sz w:val="18"/>
          <w:szCs w:val="18"/>
        </w:rPr>
        <w:t xml:space="preserve">	</w:t>
      </w:r>
      <w:r>
        <w:rPr>
          <w:rFonts w:ascii="Calibri" w:cs="Calibri" w:eastAsia="Calibri" w:hAnsi="Calibri"/>
          <w:b/>
          <w:bCs/>
          <w:color w:val="07111F"/>
          <w:sz w:val="20"/>
          <w:szCs w:val="20"/>
        </w:rPr>
        <w:t xml:space="preserve">30</w:t>
      </w:r>
    </w:p>
    <w:p>
      <w:pPr>
        <w:tabs>
          <w:tab w:val="right" w:pos="8900" w:leader="dot"/>
        </w:tabs>
        <w:spacing w:after="80" w:before="50"/>
      </w:pPr>
      <w:r>
        <w:rPr>
          <w:rFonts w:ascii="Calibri" w:cs="Calibri" w:eastAsia="Calibri" w:hAnsi="Calibri"/>
          <w:b/>
          <w:bCs/>
          <w:color w:val="07111F"/>
          <w:sz w:val="20"/>
          <w:szCs w:val="20"/>
        </w:rPr>
        <w:t xml:space="preserve">11 · Seis acciones para esta semana</w:t>
      </w:r>
      <w:r>
        <w:rPr>
          <w:rFonts w:ascii="Calibri" w:cs="Calibri" w:eastAsia="Calibri" w:hAnsi="Calibri"/>
          <w:sz w:val="18"/>
          <w:szCs w:val="18"/>
        </w:rPr>
        <w:t xml:space="preserve">	</w:t>
      </w:r>
      <w:r>
        <w:rPr>
          <w:rFonts w:ascii="Calibri" w:cs="Calibri" w:eastAsia="Calibri" w:hAnsi="Calibri"/>
          <w:b/>
          <w:bCs/>
          <w:color w:val="07111F"/>
          <w:sz w:val="20"/>
          <w:szCs w:val="20"/>
        </w:rPr>
        <w:t xml:space="preserve">32</w:t>
      </w:r>
    </w:p>
    <w:p>
      <w:pPr>
        <w:tabs>
          <w:tab w:val="right" w:pos="8900" w:leader="dot"/>
        </w:tabs>
        <w:spacing w:after="80" w:before="50"/>
      </w:pPr>
      <w:r>
        <w:rPr>
          <w:rFonts w:ascii="Calibri" w:cs="Calibri" w:eastAsia="Calibri" w:hAnsi="Calibri"/>
          <w:b/>
          <w:bCs/>
          <w:color w:val="07111F"/>
          <w:sz w:val="20"/>
          <w:szCs w:val="20"/>
        </w:rPr>
        <w:t xml:space="preserve">Anexo A · Qué se verificó, y qué no</w:t>
      </w:r>
      <w:r>
        <w:rPr>
          <w:rFonts w:ascii="Calibri" w:cs="Calibri" w:eastAsia="Calibri" w:hAnsi="Calibri"/>
          <w:sz w:val="18"/>
          <w:szCs w:val="18"/>
        </w:rPr>
        <w:t xml:space="preserve">	</w:t>
      </w:r>
      <w:r>
        <w:rPr>
          <w:rFonts w:ascii="Calibri" w:cs="Calibri" w:eastAsia="Calibri" w:hAnsi="Calibri"/>
          <w:b/>
          <w:bCs/>
          <w:color w:val="07111F"/>
          <w:sz w:val="20"/>
          <w:szCs w:val="20"/>
        </w:rPr>
        <w:t xml:space="preserve">33</w:t>
      </w:r>
    </w:p>
    <w:p>
      <w:pPr>
        <w:tabs>
          <w:tab w:val="right" w:pos="8900" w:leader="dot"/>
        </w:tabs>
        <w:spacing w:after="80" w:before="50"/>
      </w:pPr>
      <w:r>
        <w:rPr>
          <w:rFonts w:ascii="Calibri" w:cs="Calibri" w:eastAsia="Calibri" w:hAnsi="Calibri"/>
          <w:b/>
          <w:bCs/>
          <w:color w:val="07111F"/>
          <w:sz w:val="20"/>
          <w:szCs w:val="20"/>
        </w:rPr>
        <w:t xml:space="preserve">Anexo B · Decisiones cerradas que no se reabren</w:t>
      </w:r>
      <w:r>
        <w:rPr>
          <w:rFonts w:ascii="Calibri" w:cs="Calibri" w:eastAsia="Calibri" w:hAnsi="Calibri"/>
          <w:sz w:val="18"/>
          <w:szCs w:val="18"/>
        </w:rPr>
        <w:t xml:space="preserve">	</w:t>
      </w:r>
      <w:r>
        <w:rPr>
          <w:rFonts w:ascii="Calibri" w:cs="Calibri" w:eastAsia="Calibri" w:hAnsi="Calibri"/>
          <w:b/>
          <w:bCs/>
          <w:color w:val="07111F"/>
          <w:sz w:val="20"/>
          <w:szCs w:val="20"/>
        </w:rPr>
        <w:t xml:space="preserve">35</w:t>
      </w:r>
    </w:p>
    <w:p>
      <w:r>
        <w:br w:type="page"/>
      </w:r>
    </w:p>
    <w:p>
      <w:pPr>
        <w:pStyle w:val="Heading1"/>
        <w:spacing w:after="200" w:before="360"/>
      </w:pPr>
      <w:r>
        <w:rPr>
          <w:rFonts w:ascii="Calibri" w:cs="Calibri" w:eastAsia="Calibri" w:hAnsi="Calibri"/>
          <w:b/>
          <w:bCs/>
          <w:color w:val="07111F"/>
          <w:sz w:val="32"/>
          <w:szCs w:val="32"/>
        </w:rPr>
        <w:t xml:space="preserve">1 · Resumen ejecutivo</w:t>
      </w:r>
    </w:p>
    <w:p>
      <w:pPr>
        <w:spacing w:after="120" w:before="0" w:line="276"/>
      </w:pPr>
      <w:r>
        <w:rPr>
          <w:rFonts w:ascii="Calibri" w:cs="Calibri" w:eastAsia="Calibri" w:hAnsi="Calibri"/>
          <w:b/>
          <w:bCs/>
          <w:sz w:val="20"/>
          <w:szCs w:val="20"/>
        </w:rPr>
        <w:t xml:space="preserve">El MVP de bearingworld.io está cerrado, desplegado y medido. </w:t>
      </w:r>
      <w:r>
        <w:rPr>
          <w:rFonts w:ascii="Calibri" w:cs="Calibri" w:eastAsia="Calibri" w:hAnsi="Calibri"/>
          <w:sz w:val="20"/>
          <w:szCs w:val="20"/>
        </w:rPr>
        <w:t xml:space="preserve">Quince días de trabajo produjeron ocho pantallas en producción, una rebanada de cifrado extremo a extremo funcionando entre dos organizaciones reales, un agente conversacional que responde a dieciséis preguntas de control sin inventarse un solo dato, y un registro de 112 hallazgos documentados. El coste de generación de código fue de 0,41 dólares.</w:t>
      </w:r>
    </w:p>
    <w:p>
      <w:pPr>
        <w:spacing w:after="120" w:before="0" w:line="276"/>
      </w:pPr>
      <w:r>
        <w:rPr>
          <w:rFonts w:ascii="Calibri" w:cs="Calibri" w:eastAsia="Calibri" w:hAnsi="Calibri"/>
          <w:sz w:val="20"/>
          <w:szCs w:val="20"/>
        </w:rPr>
        <w:t xml:space="preserve">Este documento es el plan para convertir eso en un producto vendible: los ocho módulos del PRD, treinta pantallas, cifrado extremo a extremo completo con recuperación de clave, y una auditoría criptográfica independiente que respalde la promesa comercial.</w:t>
      </w:r>
    </w:p>
    <w:p>
      <w:pPr>
        <w:spacing w:after="80"/>
      </w:pPr>
    </w:p>
    <w:p>
      <w:pPr>
        <w:pStyle w:val="Heading2"/>
        <w:spacing w:after="140" w:before="280"/>
      </w:pPr>
      <w:r>
        <w:rPr>
          <w:rFonts w:ascii="Calibri" w:cs="Calibri" w:eastAsia="Calibri" w:hAnsi="Calibri"/>
          <w:b/>
          <w:bCs/>
          <w:color w:val="1B4B7A"/>
          <w:sz w:val="26"/>
          <w:szCs w:val="26"/>
        </w:rPr>
        <w:t xml:space="preserve">Los cinco números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00"/>
      </w:tblGrid>
      <w:tr>
        <w:trPr>
          <w:tblHeader/>
        </w:trPr>
        <w:tc>
          <w:tcPr>
            <w:tcW w:type="dxa" w:w="2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Concepto</w:t>
            </w:r>
          </w:p>
        </w:tc>
        <w:tc>
          <w:tcPr>
            <w:tcW w:type="dxa" w:w="2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Cifra</w:t>
            </w:r>
          </w:p>
        </w:tc>
        <w:tc>
          <w:tcPr>
            <w:tcW w:type="dxa" w:w="4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Comentario</w:t>
            </w:r>
          </w:p>
        </w:tc>
      </w:tr>
      <w:tr>
        <w:trPr>
          <w:tblHeader w:val="false"/>
        </w:trPr>
        <w:tc>
          <w:tcPr>
            <w:tcW w:type="dxa" w:w="2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Plazo hasta producción</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B4B7A"/>
                <w:sz w:val="17"/>
                <w:szCs w:val="17"/>
              </w:rPr>
              <w:t xml:space="preserve">21 semanas</w:t>
            </w:r>
          </w:p>
        </w:tc>
        <w:tc>
          <w:tcPr>
            <w:tcW w:type="dxa" w:w="4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Cinco meses. Banda 18–30 según se confirme el supuesto del primer hito</w:t>
            </w:r>
          </w:p>
        </w:tc>
      </w:tr>
      <w:tr>
        <w:trPr>
          <w:tblHeader w:val="false"/>
        </w:trPr>
        <w:tc>
          <w:tcPr>
            <w:tcW w:type="dxa" w:w="2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Caja hasta producción</w:t>
            </w:r>
          </w:p>
        </w:tc>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1B4B7A"/>
                <w:sz w:val="17"/>
                <w:szCs w:val="17"/>
              </w:rPr>
              <w:t xml:space="preserve">25.000–56.000 €</w:t>
            </w:r>
          </w:p>
        </w:tc>
        <w:tc>
          <w:tcPr>
            <w:tcW w:type="dxa" w:w="4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Incluye auditoría criptográfica, prueba de intrusión, dictamen jurídico, seguros e infraestructura de los primeros seis meses de operación</w:t>
            </w:r>
          </w:p>
        </w:tc>
      </w:tr>
      <w:tr>
        <w:trPr>
          <w:tblHeader w:val="false"/>
        </w:trPr>
        <w:tc>
          <w:tcPr>
            <w:tcW w:type="dxa" w:w="2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De eso, tecnología</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3.000–7.000 €</w:t>
            </w:r>
          </w:p>
        </w:tc>
        <w:tc>
          <w:tcPr>
            <w:tcW w:type="dxa" w:w="4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Modelos de IA, infraestructura y herramientas de verificación durante el desarrollo. Un 12 % del total</w:t>
            </w:r>
          </w:p>
        </w:tc>
      </w:tr>
      <w:tr>
        <w:trPr>
          <w:tblHeader w:val="false"/>
        </w:trPr>
        <w:tc>
          <w:tcPr>
            <w:tcW w:type="dxa" w:w="2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De eso, seguridad y legal</w:t>
            </w:r>
          </w:p>
        </w:tc>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18.500–45.500 €</w:t>
            </w:r>
          </w:p>
        </w:tc>
        <w:tc>
          <w:tcPr>
            <w:tcW w:type="dxa" w:w="4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Auditoría, intrusión, dictamen y seguros. El 78 % del total, y no es opcional: es el activo que respalda el producto</w:t>
            </w:r>
          </w:p>
        </w:tc>
      </w:tr>
      <w:tr>
        <w:trPr>
          <w:tblHeader w:val="false"/>
        </w:trPr>
        <w:tc>
          <w:tcPr>
            <w:tcW w:type="dxa" w:w="2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Coste unitario en régimen</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 5 € / cliente / mes</w:t>
            </w:r>
          </w:p>
        </w:tc>
        <w:tc>
          <w:tcPr>
            <w:tcW w:type="dxa" w:w="4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 500 organizaciones cliente: 3 € de infraestructura y 2 € de agente conversacional</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4B7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B4B7A"/>
                <w:sz w:val="19"/>
                <w:szCs w:val="19"/>
              </w:rPr>
              <w:t xml:space="preserve">La conclusión económica, en una frase</w:t>
            </w:r>
          </w:p>
          <w:p>
            <w:pPr>
              <w:spacing w:after="0" w:line="270"/>
            </w:pPr>
            <w:r>
              <w:rPr>
                <w:rFonts w:ascii="Calibri" w:cs="Calibri" w:eastAsia="Calibri" w:hAnsi="Calibri"/>
                <w:sz w:val="18"/>
                <w:szCs w:val="18"/>
              </w:rPr>
              <w:t xml:space="preserve">Construir bearingworld.io hasta producción cuesta menos en tecnología que en abogados y auditores. Con 500 clientes, la plataforma entera se opera por 2.500 € al mes. Cualquier suscripción anual por encima de 500 € deja un margen bruto superior al 95 %. El cuello de botella de este proyecto no es el dinero: es el tiempo de una sola persona durante cinco meses.</w:t>
            </w:r>
          </w:p>
        </w:tc>
      </w:tr>
    </w:tbl>
    <w:p>
      <w:pPr>
        <w:spacing w:after="160"/>
      </w:pPr>
    </w:p>
    <w:p>
      <w:pPr>
        <w:pStyle w:val="Heading2"/>
        <w:spacing w:after="140" w:before="280"/>
      </w:pPr>
      <w:r>
        <w:rPr>
          <w:rFonts w:ascii="Calibri" w:cs="Calibri" w:eastAsia="Calibri" w:hAnsi="Calibri"/>
          <w:b/>
          <w:bCs/>
          <w:color w:val="1B4B7A"/>
          <w:sz w:val="26"/>
          <w:szCs w:val="26"/>
        </w:rPr>
        <w:t xml:space="preserve">Qué cambia respecto a la v1.0</w:t>
      </w:r>
    </w:p>
    <w:p>
      <w:pPr>
        <w:spacing w:after="120" w:before="0" w:line="276"/>
      </w:pPr>
      <w:r>
        <w:rPr>
          <w:rFonts w:ascii="Calibri" w:cs="Calibri" w:eastAsia="Calibri" w:hAnsi="Calibri"/>
          <w:sz w:val="20"/>
          <w:szCs w:val="20"/>
        </w:rPr>
        <w:t xml:space="preserve">Tres cosas, y las tres vienen de preguntas que el propio equipo hizo sobre el borrador anterior:</w:t>
      </w:r>
    </w:p>
    <w:p>
      <w:pPr>
        <w:pStyle w:val="ListParagraph"/>
        <w:numPr>
          <w:ilvl w:val="0"/>
          <w:numId w:val="2"/>
        </w:numPr>
        <w:spacing w:after="80" w:line="276"/>
      </w:pPr>
      <w:r>
        <w:rPr>
          <w:rFonts w:ascii="Calibri" w:cs="Calibri" w:eastAsia="Calibri" w:hAnsi="Calibri"/>
          <w:b/>
          <w:bCs/>
          <w:sz w:val="20"/>
          <w:szCs w:val="20"/>
        </w:rPr>
        <w:t xml:space="preserve">La verificación pasa a ser el eje del plan, no un capítulo final. </w:t>
      </w:r>
      <w:r>
        <w:rPr>
          <w:rFonts w:ascii="Calibri" w:cs="Calibri" w:eastAsia="Calibri" w:hAnsi="Calibri"/>
          <w:sz w:val="20"/>
          <w:szCs w:val="20"/>
        </w:rPr>
        <w:t xml:space="preserve">En la v1.0 las pruebas eran un guion dentro de la penúltima fase. Era un error: en un producto cuyos dos riesgos mayores son que el agente responda con aplomo algo falso y que el respaldo de clave falle en silencio, verificar al final es exactamente al revés. El capítulo 5 es nuevo y gobierna todo lo demás.</w:t>
      </w:r>
    </w:p>
    <w:p>
      <w:pPr>
        <w:pStyle w:val="ListParagraph"/>
        <w:numPr>
          <w:ilvl w:val="0"/>
          <w:numId w:val="2"/>
        </w:numPr>
        <w:spacing w:after="80" w:line="276"/>
      </w:pPr>
      <w:r>
        <w:rPr>
          <w:rFonts w:ascii="Calibri" w:cs="Calibri" w:eastAsia="Calibri" w:hAnsi="Calibri"/>
          <w:b/>
          <w:bCs/>
          <w:sz w:val="20"/>
          <w:szCs w:val="20"/>
        </w:rPr>
        <w:t xml:space="preserve">El plazo baja de 30 a 21 semanas. </w:t>
      </w:r>
      <w:r>
        <w:rPr>
          <w:rFonts w:ascii="Calibri" w:cs="Calibri" w:eastAsia="Calibri" w:hAnsi="Calibri"/>
          <w:sz w:val="20"/>
          <w:szCs w:val="20"/>
        </w:rPr>
        <w:t xml:space="preserve">No por recortar alcance, sino por reestructurar: diez fases secuenciales son la forma equivocada de organizar trabajo de agentes. El capítulo 6 lo sustituye por tres corrientes concurrentes. La compresión es real y está condicionada a que la verificación sea automática, que es de donde sale.</w:t>
      </w:r>
    </w:p>
    <w:p>
      <w:pPr>
        <w:pStyle w:val="ListParagraph"/>
        <w:numPr>
          <w:ilvl w:val="0"/>
          <w:numId w:val="2"/>
        </w:numPr>
        <w:spacing w:after="80" w:line="276"/>
      </w:pPr>
      <w:r>
        <w:rPr>
          <w:rFonts w:ascii="Calibri" w:cs="Calibri" w:eastAsia="Calibri" w:hAnsi="Calibri"/>
          <w:b/>
          <w:bCs/>
          <w:sz w:val="20"/>
          <w:szCs w:val="20"/>
        </w:rPr>
        <w:t xml:space="preserve">Los costes de auditoría y jurídicos dejan de ser una estimación. </w:t>
      </w:r>
      <w:r>
        <w:rPr>
          <w:rFonts w:ascii="Calibri" w:cs="Calibri" w:eastAsia="Calibri" w:hAnsi="Calibri"/>
          <w:sz w:val="20"/>
          <w:szCs w:val="20"/>
        </w:rPr>
        <w:t xml:space="preserve">En la v1.0 iban marcados como no verificados. Ahora salen de auditorías públicas comparables con su número de jornadas declarado, de tarifas publicadas y de adjudicaciones reales. La cifra se mantiene en el mismo orden, pero ahora se puede defender línea a línea.</w:t>
      </w:r>
    </w:p>
    <w:p>
      <w:pPr>
        <w:pStyle w:val="ListParagraph"/>
        <w:numPr>
          <w:ilvl w:val="0"/>
          <w:numId w:val="2"/>
        </w:numPr>
        <w:spacing w:after="80" w:line="276"/>
      </w:pPr>
      <w:r>
        <w:rPr>
          <w:rFonts w:ascii="Calibri" w:cs="Calibri" w:eastAsia="Calibri" w:hAnsi="Calibri"/>
          <w:b/>
          <w:bCs/>
          <w:sz w:val="20"/>
          <w:szCs w:val="20"/>
        </w:rPr>
        <w:t xml:space="preserve">Se adopta utillaje externo de verificación, con recorte y con condiciones. </w:t>
      </w:r>
      <w:r>
        <w:rPr>
          <w:rFonts w:ascii="Calibri" w:cs="Calibri" w:eastAsia="Calibri" w:hAnsi="Calibri"/>
          <w:sz w:val="20"/>
          <w:szCs w:val="20"/>
        </w:rPr>
        <w:t xml:space="preserve">Un conjunto de herramientas de revisión asistida ampliamente adoptado en el sector aporta exactamente el mecanismo que este proyecto necesitaba para su primer nivel de verificación. Se adopta una cuarta parte de él, en modo aislado y con la versión fijada, por razones de cadena de suministro que se detallan en el §5.4.</w:t>
      </w:r>
    </w:p>
    <w:p>
      <w:pPr>
        <w:pStyle w:val="ListParagraph"/>
        <w:numPr>
          <w:ilvl w:val="0"/>
          <w:numId w:val="2"/>
        </w:numPr>
        <w:spacing w:after="80" w:line="276"/>
      </w:pPr>
      <w:r>
        <w:rPr>
          <w:rFonts w:ascii="Calibri" w:cs="Calibri" w:eastAsia="Calibri" w:hAnsi="Calibri"/>
          <w:b/>
          <w:bCs/>
          <w:sz w:val="20"/>
          <w:szCs w:val="20"/>
        </w:rPr>
        <w:t xml:space="preserve">Entra un cambio de alcance decidido y cerrado: ADR-002. </w:t>
      </w:r>
      <w:r>
        <w:rPr>
          <w:rFonts w:ascii="Calibri" w:cs="Calibri" w:eastAsia="Calibri" w:hAnsi="Calibri"/>
          <w:sz w:val="20"/>
          <w:szCs w:val="20"/>
        </w:rPr>
        <w:t xml:space="preserve">Cada usuario de una organización pasa a ver solo las negociaciones en las que ha participado, y su administrador ve el plano de metadatos sin acceder al contenido. Se decide en la semana cero porque el reparto de claves se fija en la fundación; después sería migración de datos cifrados. Diez decisiones y seis invariantes, en el documento propio.</w:t>
      </w:r>
    </w:p>
    <w:p>
      <w:pPr>
        <w:spacing w:after="140"/>
      </w:pPr>
    </w:p>
    <w:p>
      <w:pPr>
        <w:pStyle w:val="Heading2"/>
        <w:spacing w:after="140" w:before="280"/>
      </w:pPr>
      <w:r>
        <w:rPr>
          <w:rFonts w:ascii="Calibri" w:cs="Calibri" w:eastAsia="Calibri" w:hAnsi="Calibri"/>
          <w:b/>
          <w:bCs/>
          <w:color w:val="1B4B7A"/>
          <w:sz w:val="26"/>
          <w:szCs w:val="26"/>
        </w:rPr>
        <w:t xml:space="preserve">Las tres decisiones que este plan necesita</w:t>
      </w:r>
    </w:p>
    <w:p>
      <w:pPr>
        <w:spacing w:after="120" w:before="0" w:line="276"/>
      </w:pPr>
      <w:r>
        <w:rPr>
          <w:rFonts w:ascii="Calibri" w:cs="Calibri" w:eastAsia="Calibri" w:hAnsi="Calibri"/>
          <w:sz w:val="20"/>
          <w:szCs w:val="20"/>
        </w:rPr>
        <w:t xml:space="preserve">Desarrolladas en el capítulo 10. Se resumen aquí porque condicionan calendario y economía:</w:t>
      </w:r>
    </w:p>
    <w:p>
      <w:pPr>
        <w:pStyle w:val="ListParagraph"/>
        <w:numPr>
          <w:ilvl w:val="0"/>
          <w:numId w:val="2"/>
        </w:numPr>
        <w:spacing w:after="80" w:line="276"/>
      </w:pPr>
      <w:r>
        <w:rPr>
          <w:rFonts w:ascii="Calibri" w:cs="Calibri" w:eastAsia="Calibri" w:hAnsi="Calibri"/>
          <w:b/>
          <w:bCs/>
          <w:sz w:val="20"/>
          <w:szCs w:val="20"/>
        </w:rPr>
        <w:t xml:space="preserve">Modelo y jurisdicción del agente. </w:t>
      </w:r>
      <w:r>
        <w:rPr>
          <w:rFonts w:ascii="Calibri" w:cs="Calibri" w:eastAsia="Calibri" w:hAnsi="Calibri"/>
          <w:sz w:val="20"/>
          <w:szCs w:val="20"/>
        </w:rPr>
        <w:t xml:space="preserve">Mover VERA a DeepSeek V4 Pro no se sostiene: envía metadatos comerciales de empresas europeas a un proveedor sin acuerdo de tratamiento de datos que los usa para entrenar por defecto. La alternativa recomendada es además un 33 % más barata que lo que hoy está en producción.</w:t>
      </w:r>
    </w:p>
    <w:p>
      <w:pPr>
        <w:pStyle w:val="ListParagraph"/>
        <w:numPr>
          <w:ilvl w:val="0"/>
          <w:numId w:val="2"/>
        </w:numPr>
        <w:spacing w:after="80" w:line="276"/>
      </w:pPr>
      <w:r>
        <w:rPr>
          <w:rFonts w:ascii="Calibri" w:cs="Calibri" w:eastAsia="Calibri" w:hAnsi="Calibri"/>
          <w:b/>
          <w:bCs/>
          <w:sz w:val="20"/>
          <w:szCs w:val="20"/>
        </w:rPr>
        <w:t xml:space="preserve">Backend propio ahora o cuando se dispare su necesidad. </w:t>
      </w:r>
      <w:r>
        <w:rPr>
          <w:rFonts w:ascii="Calibri" w:cs="Calibri" w:eastAsia="Calibri" w:hAnsi="Calibri"/>
          <w:sz w:val="20"/>
          <w:szCs w:val="20"/>
        </w:rPr>
        <w:t xml:space="preserve">Diferirlo ahorra semanas y una superficie de operación permanente para un equipo de una persona.</w:t>
      </w:r>
    </w:p>
    <w:p>
      <w:pPr>
        <w:pStyle w:val="ListParagraph"/>
        <w:numPr>
          <w:ilvl w:val="0"/>
          <w:numId w:val="2"/>
        </w:numPr>
        <w:spacing w:after="80" w:line="276"/>
      </w:pPr>
      <w:r>
        <w:rPr>
          <w:rFonts w:ascii="Calibri" w:cs="Calibri" w:eastAsia="Calibri" w:hAnsi="Calibri"/>
          <w:b/>
          <w:bCs/>
          <w:sz w:val="20"/>
          <w:szCs w:val="20"/>
        </w:rPr>
        <w:t xml:space="preserve">Alcance de la auditoría criptográfica y publicación del informe. </w:t>
      </w:r>
      <w:r>
        <w:rPr>
          <w:rFonts w:ascii="Calibri" w:cs="Calibri" w:eastAsia="Calibri" w:hAnsi="Calibri"/>
          <w:sz w:val="20"/>
          <w:szCs w:val="20"/>
        </w:rPr>
        <w:t xml:space="preserve">Entre 14 y 21 jornadas según el nivel de firma. La recomendación es acotarla a los tres puntos donde un error es irreversible, y publicar el resultado.</w:t>
      </w:r>
    </w:p>
    <w:p>
      <w:r>
        <w:br w:type="page"/>
      </w:r>
    </w:p>
    <w:p>
      <w:pPr>
        <w:pStyle w:val="Heading1"/>
        <w:spacing w:after="200" w:before="360"/>
      </w:pPr>
      <w:r>
        <w:rPr>
          <w:rFonts w:ascii="Calibri" w:cs="Calibri" w:eastAsia="Calibri" w:hAnsi="Calibri"/>
          <w:b/>
          <w:bCs/>
          <w:color w:val="07111F"/>
          <w:sz w:val="32"/>
          <w:szCs w:val="32"/>
        </w:rPr>
        <w:t xml:space="preserve">2 · Punto de partida</w:t>
      </w:r>
    </w:p>
    <w:p>
      <w:pPr>
        <w:spacing w:after="120" w:before="0" w:line="276"/>
      </w:pPr>
      <w:r>
        <w:rPr>
          <w:rFonts w:ascii="Calibri" w:cs="Calibri" w:eastAsia="Calibri" w:hAnsi="Calibri"/>
          <w:sz w:val="20"/>
          <w:szCs w:val="20"/>
        </w:rPr>
        <w:t xml:space="preserve">Todo lo que sigue está comprobado contra la infraestructura viva, no contra documentación. Las fechas son las de la comprobación.</w:t>
      </w:r>
    </w:p>
    <w:p>
      <w:pPr>
        <w:spacing w:after="80"/>
      </w:pPr>
    </w:p>
    <w:p>
      <w:pPr>
        <w:pStyle w:val="Heading2"/>
        <w:spacing w:after="140" w:before="280"/>
      </w:pPr>
      <w:r>
        <w:rPr>
          <w:rFonts w:ascii="Calibri" w:cs="Calibri" w:eastAsia="Calibri" w:hAnsi="Calibri"/>
          <w:b/>
          <w:bCs/>
          <w:color w:val="1B4B7A"/>
          <w:sz w:val="26"/>
          <w:szCs w:val="26"/>
        </w:rPr>
        <w:t xml:space="preserve">2.1 · Lo que ya está en producción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00"/>
      </w:tblGrid>
      <w:tr>
        <w:trPr>
          <w:tblHeader/>
        </w:trPr>
        <w:tc>
          <w:tcPr>
            <w:tcW w:type="dxa" w:w="19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Componente</w:t>
            </w:r>
          </w:p>
        </w:tc>
        <w:tc>
          <w:tcPr>
            <w:tcW w:type="dxa" w:w="3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Estado</w:t>
            </w:r>
          </w:p>
        </w:tc>
        <w:tc>
          <w:tcPr>
            <w:tcW w:type="dxa" w:w="37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Comprobado</w:t>
            </w:r>
          </w:p>
        </w:tc>
      </w:tr>
      <w:tr>
        <w:trPr>
          <w:tblHeader w:val="false"/>
        </w:trPr>
        <w:tc>
          <w:tcPr>
            <w:tcW w:type="dxa" w:w="1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Aplicación web</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Desplegada y sirviendo</w:t>
            </w:r>
          </w:p>
        </w:tc>
        <w:tc>
          <w:tcPr>
            <w:tcW w:type="dxa" w:w="3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17-ago: el paquete publicado tiene el mismo hash que produce la compilación local. Cabecera de no indexación en su sitio</w:t>
            </w:r>
          </w:p>
        </w:tc>
      </w:tr>
      <w:tr>
        <w:trPr>
          <w:tblHeader w:val="false"/>
        </w:trPr>
        <w:tc>
          <w:tcPr>
            <w:tcW w:type="dxa" w:w="1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Agente VERA</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Función v6 activa</w:t>
            </w:r>
          </w:p>
        </w:tc>
        <w:tc>
          <w:tcPr>
            <w:tcW w:type="dxa" w:w="3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17-ago: dieciséis de dieciséis preguntas de control correctas contra el modelo desplegado</w:t>
            </w:r>
          </w:p>
        </w:tc>
      </w:tr>
      <w:tr>
        <w:trPr>
          <w:tblHeader w:val="false"/>
        </w:trPr>
        <w:tc>
          <w:tcPr>
            <w:tcW w:type="dxa" w:w="1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Base de datos</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Cifrada, congelada, región UE</w:t>
            </w:r>
          </w:p>
        </w:tc>
        <w:tc>
          <w:tcPr>
            <w:tcW w:type="dxa" w:w="3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17-ago: 221 líneas de catálogo, cinco negociaciones en cinco estados, verificado por consulta directa</w:t>
            </w:r>
          </w:p>
        </w:tc>
      </w:tr>
      <w:tr>
        <w:trPr>
          <w:tblHeader w:val="false"/>
        </w:trPr>
        <w:tc>
          <w:tcPr>
            <w:tcW w:type="dxa" w:w="1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Cifrado extremo a extremo</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Rebanada funcional entre dos organizaciones</w:t>
            </w:r>
          </w:p>
        </w:tc>
        <w:tc>
          <w:tcPr>
            <w:tcW w:type="dxa" w:w="3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X25519 nativo del navegador y AES-256-GCM. Ninguna clave privada llega al servidor</w:t>
            </w:r>
          </w:p>
        </w:tc>
      </w:tr>
      <w:tr>
        <w:trPr>
          <w:tblHeader w:val="false"/>
        </w:trPr>
        <w:tc>
          <w:tcPr>
            <w:tcW w:type="dxa" w:w="1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Integración continua</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Verde</w:t>
            </w:r>
          </w:p>
        </w:tc>
        <w:tc>
          <w:tcPr>
            <w:tcW w:type="dxa" w:w="3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Unidad, comprobación de tipos y pruebas de extremo a extremo automatizadas</w:t>
            </w:r>
          </w:p>
        </w:tc>
      </w:tr>
      <w:tr>
        <w:trPr>
          <w:tblHeader w:val="false"/>
        </w:trPr>
        <w:tc>
          <w:tcPr>
            <w:tcW w:type="dxa" w:w="1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Pantallas</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7 de las 31 aprobadas</w:t>
            </w:r>
          </w:p>
        </w:tc>
        <w:tc>
          <w:tcPr>
            <w:tcW w:type="dxa" w:w="3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Panel, Inventario, Búsqueda, Vendiendo, Hilos, Detalle de hilo y Acceso</w:t>
            </w:r>
          </w:p>
        </w:tc>
      </w:tr>
    </w:tbl>
    <w:p>
      <w:pPr>
        <w:spacing w:after="140"/>
      </w:pPr>
    </w:p>
    <w:p>
      <w:pPr>
        <w:pStyle w:val="Heading2"/>
        <w:spacing w:after="140" w:before="280"/>
      </w:pPr>
      <w:r>
        <w:rPr>
          <w:rFonts w:ascii="Calibri" w:cs="Calibri" w:eastAsia="Calibri" w:hAnsi="Calibri"/>
          <w:b/>
          <w:bCs/>
          <w:color w:val="1B4B7A"/>
          <w:sz w:val="26"/>
          <w:szCs w:val="26"/>
        </w:rPr>
        <w:t xml:space="preserve">2.2 · El dato que calibra este plan</w:t>
      </w:r>
    </w:p>
    <w:p>
      <w:pPr>
        <w:spacing w:after="120" w:before="0" w:line="276"/>
      </w:pPr>
      <w:r>
        <w:rPr>
          <w:rFonts w:ascii="Calibri" w:cs="Calibri" w:eastAsia="Calibri" w:hAnsi="Calibri"/>
          <w:sz w:val="20"/>
          <w:szCs w:val="20"/>
        </w:rPr>
        <w:t xml:space="preserve">El MVP no solo produjo software: produjo mediciones. Son la base sobre la que se estima todo lo demás.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4500"/>
      </w:tblGrid>
      <w:tr>
        <w:trPr>
          <w:tblHeader/>
        </w:trPr>
        <w:tc>
          <w:tcPr>
            <w:tcW w:type="dxa" w:w="29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Medición</w:t>
            </w:r>
          </w:p>
        </w:tc>
        <w:tc>
          <w:tcPr>
            <w:tcW w:type="dxa" w:w="1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Valor</w:t>
            </w:r>
          </w:p>
        </w:tc>
        <w:tc>
          <w:tcPr>
            <w:tcW w:type="dxa" w:w="4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Qué significa para V1</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Duración</w:t>
            </w:r>
          </w:p>
        </w:tc>
        <w:tc>
          <w:tcPr>
            <w:tcW w:type="dxa" w:w="1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15 días</w:t>
            </w:r>
          </w:p>
        </w:tc>
        <w:tc>
          <w:tcPr>
            <w:tcW w:type="dxa" w:w="4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Siete pantallas, esquema completo, cifrado y agente, en tres semanas de una persona</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Coste de generación de código</w:t>
            </w:r>
          </w:p>
        </w:tc>
        <w:tc>
          <w:tcPr>
            <w:tcW w:type="dxa" w:w="1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0,41 $</w:t>
            </w:r>
          </w:p>
        </w:tc>
        <w:tc>
          <w:tcPr>
            <w:tcW w:type="dxa" w:w="4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Treinta intentos del modelo generador. El código no es la partida cara, y no lo será en V1</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Tiempo de máquina</w:t>
            </w:r>
          </w:p>
        </w:tc>
        <w:tc>
          <w:tcPr>
            <w:tcW w:type="dxa" w:w="1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150,7 min</w:t>
            </w:r>
          </w:p>
        </w:tc>
        <w:tc>
          <w:tcPr>
            <w:tcW w:type="dxa" w:w="4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modelo generador trabajó dos horas y media en todo el MVP</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Hallazgos registrados</w:t>
            </w:r>
          </w:p>
        </w:tc>
        <w:tc>
          <w:tcPr>
            <w:tcW w:type="dxa" w:w="1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112</w:t>
            </w:r>
          </w:p>
        </w:tc>
        <w:tc>
          <w:tcPr>
            <w:tcW w:type="dxa" w:w="4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Noventa y tres cerrados, cada uno con síntoma, causa y acción</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color w:val="9A6700"/>
                <w:sz w:val="17"/>
                <w:szCs w:val="17"/>
              </w:rPr>
              <w:t xml:space="preserve">Tareas en formato fijo</w:t>
            </w:r>
          </w:p>
        </w:tc>
        <w:tc>
          <w:tcPr>
            <w:tcW w:type="dxa" w:w="1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color w:val="9A6700"/>
                <w:sz w:val="17"/>
                <w:szCs w:val="17"/>
              </w:rPr>
              <w:t xml:space="preserve">6 de 10–15</w:t>
            </w:r>
          </w:p>
        </w:tc>
        <w:tc>
          <w:tcPr>
            <w:tcW w:type="dxa" w:w="4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color w:val="9A6700"/>
                <w:sz w:val="17"/>
                <w:szCs w:val="17"/>
              </w:rPr>
              <w:t xml:space="preserve">Objetivo no alcanzado. Lo arregla el primer hito</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B3261E"/>
                <w:sz w:val="17"/>
                <w:szCs w:val="17"/>
              </w:rPr>
              <w:t xml:space="preserve">Intentos hasta verde</w:t>
            </w:r>
          </w:p>
        </w:tc>
        <w:tc>
          <w:tcPr>
            <w:tcW w:type="dxa" w:w="1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B3261E"/>
                <w:sz w:val="17"/>
                <w:szCs w:val="17"/>
              </w:rPr>
              <w:t xml:space="preserve">no válido</w:t>
            </w:r>
          </w:p>
        </w:tc>
        <w:tc>
          <w:tcPr>
            <w:tcW w:type="dxa" w:w="4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B3261E"/>
                <w:sz w:val="17"/>
                <w:szCs w:val="17"/>
              </w:rPr>
              <w:t xml:space="preserve">El bucle de reintento no le mostraba al modelo el código que había escrito</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9A6700"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9A6700"/>
                <w:sz w:val="19"/>
                <w:szCs w:val="19"/>
              </w:rPr>
              <w:t xml:space="preserve">Una advertencia honesta sobre el 0,41 €</w:t>
            </w:r>
          </w:p>
          <w:p>
            <w:pPr>
              <w:spacing w:after="0" w:line="270"/>
            </w:pPr>
            <w:r>
              <w:rPr>
                <w:rFonts w:ascii="Calibri" w:cs="Calibri" w:eastAsia="Calibri" w:hAnsi="Calibri"/>
                <w:sz w:val="18"/>
                <w:szCs w:val="18"/>
              </w:rPr>
              <w:t xml:space="preserve">Ese número mide el nodo barato y no mide el caro. El generador de código costó 0,41 dólares; el modelo de orquestación que dirigió el trabajo, diseñó el esquema, escribió el cifrado y revisó cada entrega no está instrumentado en ninguna parte.</w:t>
            </w:r>
          </w:p>
          <w:p>
            <w:pPr>
              <w:spacing w:after="0" w:line="270"/>
            </w:pPr>
            <w:r>
              <w:rPr>
                <w:rFonts w:ascii="Calibri" w:cs="Calibri" w:eastAsia="Calibri" w:hAnsi="Calibri"/>
                <w:sz w:val="18"/>
                <w:szCs w:val="18"/>
              </w:rPr>
              <w:t xml:space="preserve">Corregirlo es la primera tarea del plan, y hasta que esté hecho la partida de coste de modelos es la estimación menos firme que este documento contiene. Se dice aquí para que nadie la lea como una medición.</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4B7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B4B7A"/>
                <w:sz w:val="19"/>
                <w:szCs w:val="19"/>
              </w:rPr>
              <w:t xml:space="preserve">Y la lección de método que este plan hereda</w:t>
            </w:r>
          </w:p>
          <w:p>
            <w:pPr>
              <w:spacing w:after="0" w:line="270"/>
            </w:pPr>
            <w:r>
              <w:rPr>
                <w:rFonts w:ascii="Calibri" w:cs="Calibri" w:eastAsia="Calibri" w:hAnsi="Calibri"/>
                <w:sz w:val="18"/>
                <w:szCs w:val="18"/>
              </w:rPr>
              <w:t xml:space="preserve">El MVP produjo tres casos documentados de pruebas que pasaron en verde sin comprobar nada, y una función de reseteo que llevó dos jornadas devolviendo éxito sin ejecutar la línea que estaba rota. Habría reventado por primera vez la mañana de la demostración.</w:t>
            </w:r>
          </w:p>
          <w:p>
            <w:pPr>
              <w:spacing w:after="0" w:line="270"/>
            </w:pPr>
            <w:r>
              <w:rPr>
                <w:rFonts w:ascii="Calibri" w:cs="Calibri" w:eastAsia="Calibri" w:hAnsi="Calibri"/>
                <w:sz w:val="18"/>
                <w:szCs w:val="18"/>
              </w:rPr>
              <w:t xml:space="preserve">La regla que salió de ahí, escrita por el propio proyecto: lo que no se ha ejecutado y observado no está verificado, y eso vale igual para el código de producción, para las guardas temporales y para las propias pruebas. El capítulo 5 la convierte en método.</w:t>
            </w:r>
          </w:p>
        </w:tc>
      </w:tr>
    </w:tbl>
    <w:p>
      <w:r>
        <w:br w:type="page"/>
      </w:r>
    </w:p>
    <w:p>
      <w:pPr>
        <w:pStyle w:val="Heading1"/>
        <w:spacing w:after="200" w:before="360"/>
      </w:pPr>
      <w:r>
        <w:rPr>
          <w:rFonts w:ascii="Calibri" w:cs="Calibri" w:eastAsia="Calibri" w:hAnsi="Calibri"/>
          <w:b/>
          <w:bCs/>
          <w:color w:val="07111F"/>
          <w:sz w:val="32"/>
          <w:szCs w:val="32"/>
        </w:rPr>
        <w:t xml:space="preserve">3 · Qué es V1</w:t>
      </w:r>
    </w:p>
    <w:p>
      <w:pPr>
        <w:spacing w:after="120" w:before="0" w:line="276"/>
      </w:pPr>
      <w:r>
        <w:rPr>
          <w:rFonts w:ascii="Calibri" w:cs="Calibri" w:eastAsia="Calibri" w:hAnsi="Calibri"/>
          <w:b/>
          <w:bCs/>
          <w:sz w:val="20"/>
          <w:szCs w:val="20"/>
        </w:rPr>
        <w:t xml:space="preserve">V1 es el PRD completo: los ocho módulos funcionales, treinta pantallas y el cifrado extremo a extremo íntegro. </w:t>
      </w:r>
      <w:r>
        <w:rPr>
          <w:rFonts w:ascii="Calibri" w:cs="Calibri" w:eastAsia="Calibri" w:hAnsi="Calibri"/>
          <w:sz w:val="20"/>
          <w:szCs w:val="20"/>
        </w:rPr>
        <w:t xml:space="preserve">No es un incremento del MVP. El MVP demostró que la arquitectura funciona; V1 construye el producto que se puede vender.</w:t>
      </w:r>
    </w:p>
    <w:p>
      <w:pPr>
        <w:spacing w:after="80"/>
      </w:pPr>
    </w:p>
    <w:p>
      <w:pPr>
        <w:pStyle w:val="Heading2"/>
        <w:spacing w:after="140" w:before="280"/>
      </w:pPr>
      <w:r>
        <w:rPr>
          <w:rFonts w:ascii="Calibri" w:cs="Calibri" w:eastAsia="Calibri" w:hAnsi="Calibri"/>
          <w:b/>
          <w:bCs/>
          <w:color w:val="1B4B7A"/>
          <w:sz w:val="26"/>
          <w:szCs w:val="26"/>
        </w:rPr>
        <w:t xml:space="preserve">3.1 · Los ocho módulos, y qué falta en cada uno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00"/>
      </w:tblGrid>
      <w:tr>
        <w:trPr>
          <w:tblHeader/>
        </w:trPr>
        <w:tc>
          <w:tcPr>
            <w:tcW w:type="dxa" w:w="1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Módulo</w:t>
            </w:r>
          </w:p>
        </w:tc>
        <w:tc>
          <w:tcPr>
            <w:tcW w:type="dxa" w:w="2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Construido en el MVP</w:t>
            </w:r>
          </w:p>
        </w:tc>
        <w:tc>
          <w:tcPr>
            <w:tcW w:type="dxa" w:w="5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Pendiente para V1</w:t>
            </w:r>
          </w:p>
        </w:tc>
      </w:tr>
      <w:tr>
        <w:trPr>
          <w:tblHeader w:val="false"/>
        </w:trPr>
        <w:tc>
          <w:tcPr>
            <w:tcW w:type="dxa" w:w="1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00 · Agente VERA</w:t>
            </w:r>
          </w:p>
        </w:tc>
        <w:tc>
          <w:tcPr>
            <w:tcW w:type="dxa" w:w="2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Proxy seguro, cuatro herramientas, regla anti-invención verificada</w:t>
            </w:r>
          </w:p>
        </w:tc>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Conversación multiturno —hoy no recuerda la pregunta anterior—, nueve idiomas, registro de auditoría, memoria de preferencias, confirmación de acciones irreversibles</w:t>
            </w:r>
          </w:p>
        </w:tc>
      </w:tr>
      <w:tr>
        <w:trPr>
          <w:tblHeader w:val="false"/>
        </w:trPr>
        <w:tc>
          <w:tcPr>
            <w:tcW w:type="dxa" w:w="1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01 · Alta y claves</w:t>
            </w:r>
          </w:p>
        </w:tc>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Pantalla de acceso; cuentas sembradas a mano</w:t>
            </w:r>
          </w:p>
        </w:tc>
        <w:tc>
          <w:tcPr>
            <w:tcW w:type="dxa" w:w="5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Las doce pantallas de alta, aprobación por operador, invitaciones, roles, el ciclo completo de respaldo y recuperación de clave, y el ámbito de visibilidad por usuario de ADR-002</w:t>
            </w:r>
          </w:p>
        </w:tc>
      </w:tr>
      <w:tr>
        <w:trPr>
          <w:tblHeader w:val="false"/>
        </w:trPr>
        <w:tc>
          <w:tcPr>
            <w:tcW w:type="dxa" w:w="1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02 · Inventario</w:t>
            </w:r>
          </w:p>
        </w:tc>
        <w:tc>
          <w:tcPr>
            <w:tcW w:type="dxa" w:w="2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Panel con estados y frescura</w:t>
            </w:r>
          </w:p>
        </w:tc>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Importación por cuatro canales, mapeo asistido de columnas, perfiles reutilizables, reglas de visibilidad</w:t>
            </w:r>
          </w:p>
        </w:tc>
      </w:tr>
      <w:tr>
        <w:trPr>
          <w:tblHeader w:val="false"/>
        </w:trPr>
        <w:tc>
          <w:tcPr>
            <w:tcW w:type="dxa" w:w="1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03 · Búsqueda</w:t>
            </w:r>
          </w:p>
        </w:tc>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Búsqueda de referencia única con filtros editables</w:t>
            </w:r>
          </w:p>
        </w:tc>
        <w:tc>
          <w:tcPr>
            <w:tcW w:type="dxa" w:w="5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Búsqueda por lotes, avisos de stock, favoritos, acciones de fila e índice de búsqueda dedicado</w:t>
            </w:r>
          </w:p>
        </w:tc>
      </w:tr>
      <w:tr>
        <w:trPr>
          <w:tblHeader w:val="false"/>
        </w:trPr>
        <w:tc>
          <w:tcPr>
            <w:tcW w:type="dxa" w:w="1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04 · Mensajería</w:t>
            </w:r>
          </w:p>
        </w:tc>
        <w:tc>
          <w:tcPr>
            <w:tcW w:type="dxa" w:w="2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Lista y detalle de hilos, contraoferta, tiempo real</w:t>
            </w:r>
          </w:p>
        </w:tc>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Originar una oferta —hoy solo existe la contraoferta—, tarjetas completas, directorio de empresas, recuento de no leídos, y la vista por ámbito de ADR-002: lo que el usuario ve deja de ser «el hilo» y pasa a ser «mi conversación con tal empresa»</w:t>
            </w:r>
          </w:p>
        </w:tc>
      </w:tr>
      <w:tr>
        <w:trPr>
          <w:tblHeader w:val="false"/>
        </w:trPr>
        <w:tc>
          <w:tcPr>
            <w:tcW w:type="dxa" w:w="1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05 · Logística</w:t>
            </w:r>
          </w:p>
        </w:tc>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Coste de transporte dentro de la oferta cifrada</w:t>
            </w:r>
          </w:p>
        </w:tc>
        <w:tc>
          <w:tcPr>
            <w:tcW w:type="dxa" w:w="5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Nada. El resto está aplazado a V2 por decisión escrita</w:t>
            </w:r>
          </w:p>
        </w:tc>
      </w:tr>
      <w:tr>
        <w:trPr>
          <w:tblHeader w:val="false"/>
        </w:trPr>
        <w:tc>
          <w:tcPr>
            <w:tcW w:type="dxa" w:w="1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07 · Suscripción</w:t>
            </w:r>
          </w:p>
        </w:tc>
        <w:tc>
          <w:tcPr>
            <w:tcW w:type="dxa" w:w="2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color w:val="6B7A99"/>
                <w:sz w:val="17"/>
                <w:szCs w:val="17"/>
              </w:rPr>
              <w:t xml:space="preserve">Nada</w:t>
            </w:r>
          </w:p>
        </w:tc>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Panel de cobros, prueba de 90 días, ciclo anual, avisos, suspensión automática. Sin pasarela de pago, por diseño</w:t>
            </w:r>
          </w:p>
        </w:tc>
      </w:tr>
      <w:tr>
        <w:trPr>
          <w:tblHeader w:val="false"/>
        </w:trPr>
        <w:tc>
          <w:tcPr>
            <w:tcW w:type="dxa" w:w="1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08 · Foro</w:t>
            </w:r>
          </w:p>
        </w:tc>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6B7A99"/>
                <w:sz w:val="17"/>
                <w:szCs w:val="17"/>
              </w:rPr>
              <w:t xml:space="preserve">Nada</w:t>
            </w:r>
          </w:p>
        </w:tc>
        <w:tc>
          <w:tcPr>
            <w:tcW w:type="dxa" w:w="5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Tres pantallas, cuatro categorías, control de abuso. La única parte no cifrada del producto</w:t>
            </w:r>
          </w:p>
        </w:tc>
      </w:tr>
    </w:tbl>
    <w:p>
      <w:pPr>
        <w:spacing w:after="120"/>
      </w:pPr>
    </w:p>
    <w:p>
      <w:pPr>
        <w:spacing w:after="120" w:before="0" w:line="276"/>
      </w:pPr>
      <w:r>
        <w:rPr>
          <w:rFonts w:ascii="Calibri" w:cs="Calibri" w:eastAsia="Calibri" w:hAnsi="Calibri"/>
          <w:b/>
          <w:bCs/>
          <w:sz w:val="20"/>
          <w:szCs w:val="20"/>
        </w:rPr>
        <w:t xml:space="preserve">El módulo 06 no existe: </w:t>
      </w:r>
      <w:r>
        <w:rPr>
          <w:rFonts w:ascii="Calibri" w:cs="Calibri" w:eastAsia="Calibri" w:hAnsi="Calibri"/>
          <w:sz w:val="20"/>
          <w:szCs w:val="20"/>
        </w:rPr>
        <w:t xml:space="preserve">la reputación por prueba de conocimiento cero se descartó formalmente y se sustituyó por favoritos manuales.</w:t>
      </w:r>
    </w:p>
    <w:p>
      <w:pPr>
        <w:spacing w:after="120"/>
      </w:pPr>
    </w:p>
    <w:p>
      <w:pPr>
        <w:pStyle w:val="Heading2"/>
        <w:spacing w:after="140" w:before="280"/>
      </w:pPr>
      <w:r>
        <w:rPr>
          <w:rFonts w:ascii="Calibri" w:cs="Calibri" w:eastAsia="Calibri" w:hAnsi="Calibri"/>
          <w:b/>
          <w:bCs/>
          <w:color w:val="1B4B7A"/>
          <w:sz w:val="26"/>
          <w:szCs w:val="26"/>
        </w:rPr>
        <w:t xml:space="preserve">3.2 · La cuenta de pantallas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200"/>
      </w:tblGrid>
      <w:tr>
        <w:trPr>
          <w:tblHeader/>
        </w:trPr>
        <w:tc>
          <w:tcPr>
            <w:tcW w:type="dxa" w:w="3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
            </w:r>
          </w:p>
        </w:tc>
        <w:tc>
          <w:tcPr>
            <w:tcW w:type="dxa" w:w="1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Cantidad</w:t>
            </w:r>
          </w:p>
        </w:tc>
        <w:tc>
          <w:tcPr>
            <w:tcW w:type="dxa" w:w="4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Nota</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Pantallas con diseño aprobado</w:t>
            </w:r>
          </w:p>
        </w:tc>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31</w:t>
            </w:r>
          </w:p>
        </w:tc>
        <w:tc>
          <w:tcPr>
            <w:tcW w:type="dxa" w:w="4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Más el armazón de la aplicación</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Construidas en el MVP</w:t>
            </w:r>
          </w:p>
        </w:tc>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7</w:t>
            </w:r>
          </w:p>
        </w:tc>
        <w:tc>
          <w:tcPr>
            <w:tcW w:type="dxa" w:w="4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 23 % del total</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Pendientes para V1</w:t>
            </w:r>
          </w:p>
        </w:tc>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B4B7A"/>
                <w:sz w:val="17"/>
                <w:szCs w:val="17"/>
              </w:rPr>
              <w:t xml:space="preserve">24</w:t>
            </w:r>
          </w:p>
        </w:tc>
        <w:tc>
          <w:tcPr>
            <w:tcW w:type="dxa" w:w="4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Es la carga que absorbe la corriente de fábrica del capítulo 6</w:t>
            </w:r>
          </w:p>
        </w:tc>
      </w:tr>
    </w:tbl>
    <w:p>
      <w:pPr>
        <w:spacing w:after="120"/>
      </w:pPr>
    </w:p>
    <w:p>
      <w:pPr>
        <w:pStyle w:val="Heading2"/>
        <w:spacing w:after="140" w:before="280"/>
      </w:pPr>
      <w:r>
        <w:rPr>
          <w:rFonts w:ascii="Calibri" w:cs="Calibri" w:eastAsia="Calibri" w:hAnsi="Calibri"/>
          <w:b/>
          <w:bCs/>
          <w:color w:val="1B4B7A"/>
          <w:sz w:val="26"/>
          <w:szCs w:val="26"/>
        </w:rPr>
        <w:t xml:space="preserve">3.3 · Lo que deliberadamente no entra</w:t>
      </w:r>
    </w:p>
    <w:p>
      <w:pPr>
        <w:spacing w:after="120" w:before="0" w:line="276"/>
      </w:pPr>
      <w:r>
        <w:rPr>
          <w:rFonts w:ascii="Calibri" w:cs="Calibri" w:eastAsia="Calibri" w:hAnsi="Calibri"/>
          <w:sz w:val="20"/>
          <w:szCs w:val="20"/>
        </w:rPr>
        <w:t xml:space="preserve">Cada exclusión tiene decisión escrita y motivo:</w:t>
      </w:r>
    </w:p>
    <w:p>
      <w:pPr>
        <w:pStyle w:val="ListParagraph"/>
        <w:numPr>
          <w:ilvl w:val="0"/>
          <w:numId w:val="3"/>
        </w:numPr>
        <w:spacing w:after="80" w:line="276"/>
      </w:pPr>
      <w:r>
        <w:rPr>
          <w:rFonts w:ascii="Calibri" w:cs="Calibri" w:eastAsia="Calibri" w:hAnsi="Calibri"/>
          <w:sz w:val="20"/>
          <w:szCs w:val="20"/>
        </w:rPr>
        <w:t xml:space="preserve">Calculadora logística completa —fletes, aranceles, coste puesto en destino—. Queda el campo manual dentro de la oferta.</w:t>
      </w:r>
    </w:p>
    <w:p>
      <w:pPr>
        <w:pStyle w:val="ListParagraph"/>
        <w:numPr>
          <w:ilvl w:val="0"/>
          <w:numId w:val="3"/>
        </w:numPr>
        <w:spacing w:after="80" w:line="276"/>
      </w:pPr>
      <w:r>
        <w:rPr>
          <w:rFonts w:ascii="Calibri" w:cs="Calibri" w:eastAsia="Calibri" w:hAnsi="Calibri"/>
          <w:sz w:val="20"/>
          <w:szCs w:val="20"/>
        </w:rPr>
        <w:t xml:space="preserve">Pasarela de pago. En ninguna versión. El cobro es por transferencia, fuera de la plataforma. Elimina toda la superficie de cumplimiento de tarjetas.</w:t>
      </w:r>
    </w:p>
    <w:p>
      <w:pPr>
        <w:pStyle w:val="ListParagraph"/>
        <w:numPr>
          <w:ilvl w:val="0"/>
          <w:numId w:val="3"/>
        </w:numPr>
        <w:spacing w:after="80" w:line="276"/>
      </w:pPr>
      <w:r>
        <w:rPr>
          <w:rFonts w:ascii="Calibri" w:cs="Calibri" w:eastAsia="Calibri" w:hAnsi="Calibri"/>
          <w:sz w:val="20"/>
          <w:szCs w:val="20"/>
        </w:rPr>
        <w:t xml:space="preserve">Voz y modo proactivo del agente. V1 es solo texto y solo responde cuando se le pregunta.</w:t>
      </w:r>
    </w:p>
    <w:p>
      <w:pPr>
        <w:pStyle w:val="ListParagraph"/>
        <w:numPr>
          <w:ilvl w:val="0"/>
          <w:numId w:val="3"/>
        </w:numPr>
        <w:spacing w:after="80" w:line="276"/>
      </w:pPr>
      <w:r>
        <w:rPr>
          <w:rFonts w:ascii="Calibri" w:cs="Calibri" w:eastAsia="Calibri" w:hAnsi="Calibri"/>
          <w:sz w:val="20"/>
          <w:szCs w:val="20"/>
        </w:rPr>
        <w:t xml:space="preserve">Carpeta monitorizada de escritorio para la ingesta. Los otros tres canales sí entran.</w:t>
      </w:r>
    </w:p>
    <w:p>
      <w:pPr>
        <w:pStyle w:val="ListParagraph"/>
        <w:numPr>
          <w:ilvl w:val="0"/>
          <w:numId w:val="3"/>
        </w:numPr>
        <w:spacing w:after="80" w:line="276"/>
      </w:pPr>
      <w:r>
        <w:rPr>
          <w:rFonts w:ascii="Calibri" w:cs="Calibri" w:eastAsia="Calibri" w:hAnsi="Calibri"/>
          <w:sz w:val="20"/>
          <w:szCs w:val="20"/>
        </w:rPr>
        <w:t xml:space="preserve">Reputación algorítmica. Los favoritos son manuales y ningún proceso automático puede tocarlos.</w:t>
      </w:r>
    </w:p>
    <w:p>
      <w:r>
        <w:br w:type="page"/>
      </w:r>
    </w:p>
    <w:p>
      <w:pPr>
        <w:pStyle w:val="Heading1"/>
        <w:spacing w:after="200" w:before="360"/>
      </w:pPr>
      <w:r>
        <w:rPr>
          <w:rFonts w:ascii="Calibri" w:cs="Calibri" w:eastAsia="Calibri" w:hAnsi="Calibri"/>
          <w:b/>
          <w:bCs/>
          <w:color w:val="07111F"/>
          <w:sz w:val="32"/>
          <w:szCs w:val="32"/>
        </w:rPr>
        <w:t xml:space="preserve">4 · Arquitectura de modelos</w:t>
      </w:r>
    </w:p>
    <w:p>
      <w:pPr>
        <w:spacing w:after="120" w:before="0" w:line="276"/>
      </w:pPr>
      <w:r>
        <w:rPr>
          <w:rFonts w:ascii="Calibri" w:cs="Calibri" w:eastAsia="Calibri" w:hAnsi="Calibri"/>
          <w:sz w:val="20"/>
          <w:szCs w:val="20"/>
        </w:rPr>
        <w:t xml:space="preserve">Precios verificados en la página oficial de cada proveedor el 18 de agosto de 2026.</w:t>
      </w:r>
    </w:p>
    <w:p>
      <w:pPr>
        <w:spacing w:after="80"/>
      </w:pPr>
    </w:p>
    <w:p>
      <w:pPr>
        <w:pStyle w:val="Heading2"/>
        <w:spacing w:after="140" w:before="280"/>
      </w:pPr>
      <w:r>
        <w:rPr>
          <w:rFonts w:ascii="Calibri" w:cs="Calibri" w:eastAsia="Calibri" w:hAnsi="Calibri"/>
          <w:b/>
          <w:bCs/>
          <w:color w:val="1B4B7A"/>
          <w:sz w:val="26"/>
          <w:szCs w:val="26"/>
        </w:rPr>
        <w:t xml:space="preserve">4.1 · Dictamen sobre los cambios propuestos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00"/>
      </w:tblGrid>
      <w:tr>
        <w:trPr>
          <w:tblHeader/>
        </w:trPr>
        <w:tc>
          <w:tcPr>
            <w:tcW w:type="dxa" w:w="2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Propuesta</w:t>
            </w:r>
          </w:p>
        </w:tc>
        <w:tc>
          <w:tcPr>
            <w:tcW w:type="dxa" w:w="1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Veredicto</w:t>
            </w:r>
          </w:p>
        </w:tc>
        <w:tc>
          <w:tcPr>
            <w:tcW w:type="dxa" w:w="5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Razón</w:t>
            </w:r>
          </w:p>
        </w:tc>
      </w:tr>
      <w:tr>
        <w:trPr>
          <w:tblHeader w:val="false"/>
        </w:trPr>
        <w:tc>
          <w:tcPr>
            <w:tcW w:type="dxa" w:w="2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Retirar GLM del stack</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CUMPLE</w:t>
            </w:r>
          </w:p>
        </w:tc>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Formaliza lo que ya ocurría: se sustituyó de hecho el 5 de agosto por coste y disponibilidad</w:t>
            </w:r>
          </w:p>
        </w:tc>
      </w:tr>
      <w:tr>
        <w:trPr>
          <w:tblHeader w:val="false"/>
        </w:trPr>
        <w:tc>
          <w:tcPr>
            <w:tcW w:type="dxa" w:w="2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Generación de código con DeepSeek V4 Flash</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CUMPLE</w:t>
            </w:r>
          </w:p>
        </w:tc>
        <w:tc>
          <w:tcPr>
            <w:tcW w:type="dxa" w:w="5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modelo más barato del mercado para su calidad, ya probado en el proyecto, con una condición de gobierno del dato y una ruta mejor</w:t>
            </w:r>
          </w:p>
        </w:tc>
      </w:tr>
      <w:tr>
        <w:trPr>
          <w:tblHeader w:val="false"/>
        </w:trPr>
        <w:tc>
          <w:tcPr>
            <w:tcW w:type="dxa" w:w="2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Orquestación con Opus 5</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CUMPLE</w:t>
            </w:r>
          </w:p>
        </w:tc>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Mejor capacidad de la gama para trabajo agéntico, sin recargo por contexto largo, con acuerdo de tratamiento y opción de retención cero</w:t>
            </w:r>
          </w:p>
        </w:tc>
      </w:tr>
      <w:tr>
        <w:trPr>
          <w:tblHeader w:val="false"/>
        </w:trPr>
        <w:tc>
          <w:tcPr>
            <w:tcW w:type="dxa" w:w="2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Revisión de código y seguridad con Fable 5</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CUMPLE con reserva</w:t>
            </w:r>
          </w:p>
        </w:tc>
        <w:tc>
          <w:tcPr>
            <w:tcW w:type="dxa" w:w="5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Buen revisor estático, pero retiene treinta días de forma obligatoria y no sustituye a la auditoría criptográfica</w:t>
            </w:r>
          </w:p>
        </w:tc>
      </w:tr>
      <w:tr>
        <w:trPr>
          <w:tblHeader w:val="false"/>
        </w:trPr>
        <w:tc>
          <w:tcPr>
            <w:tcW w:type="dxa" w:w="2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VERA sobre DeepSeek V4 Pro</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NO</w:t>
            </w:r>
          </w:p>
        </w:tc>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Cruza una línea legal y la premisa económica es incorrecta</w:t>
            </w:r>
          </w:p>
        </w:tc>
      </w:tr>
    </w:tbl>
    <w:p>
      <w:pPr>
        <w:spacing w:after="160"/>
      </w:pPr>
    </w:p>
    <w:p>
      <w:pPr>
        <w:pStyle w:val="Heading2"/>
        <w:spacing w:after="140" w:before="280"/>
      </w:pPr>
      <w:r>
        <w:rPr>
          <w:rFonts w:ascii="Calibri" w:cs="Calibri" w:eastAsia="Calibri" w:hAnsi="Calibri"/>
          <w:b/>
          <w:bCs/>
          <w:color w:val="1B4B7A"/>
          <w:sz w:val="26"/>
          <w:szCs w:val="26"/>
        </w:rPr>
        <w:t xml:space="preserve">4.2 · Por qué VERA no puede ir a DeepSeek</w:t>
      </w:r>
    </w:p>
    <w:p>
      <w:pPr>
        <w:pStyle w:val="Heading3"/>
        <w:spacing w:after="100" w:before="220"/>
      </w:pPr>
      <w:r>
        <w:rPr>
          <w:rFonts w:ascii="Calibri" w:cs="Calibri" w:eastAsia="Calibri" w:hAnsi="Calibri"/>
          <w:b/>
          <w:bCs/>
          <w:color w:val="07111F"/>
          <w:sz w:val="22"/>
          <w:szCs w:val="22"/>
        </w:rPr>
        <w:t xml:space="preserve">El argumento económico no se sostiene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500"/>
        <w:gridCol w:w="3100"/>
      </w:tblGrid>
      <w:tr>
        <w:trPr>
          <w:tblHeader/>
        </w:trPr>
        <w:tc>
          <w:tcPr>
            <w:tcW w:type="dxa" w:w="29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Modelo</w:t>
            </w:r>
          </w:p>
        </w:tc>
        <w:tc>
          <w:tcPr>
            <w:tcW w:type="dxa" w:w="1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Entrada</w:t>
            </w:r>
          </w:p>
        </w:tc>
        <w:tc>
          <w:tcPr>
            <w:tcW w:type="dxa" w:w="1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Salida</w:t>
            </w:r>
          </w:p>
        </w:tc>
        <w:tc>
          <w:tcPr>
            <w:tcW w:type="dxa" w:w="31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Nota</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Sonnet 4.6 (VERA hoy)</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3,00 $</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15,00 $</w:t>
            </w:r>
          </w:p>
        </w:tc>
        <w:tc>
          <w:tcPr>
            <w:tcW w:type="dxa" w:w="3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Lo que está en producción</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Sonnet 5</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2,00 $</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10,00 $</w:t>
            </w:r>
          </w:p>
        </w:tc>
        <w:tc>
          <w:tcPr>
            <w:tcW w:type="dxa" w:w="3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Un 33 % más barato que el 4.6 y mejor en todas las pruebas</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DeepSeek V4 Pro (hora punta)</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1,32 $</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3,96 $</w:t>
            </w:r>
          </w:p>
        </w:tc>
        <w:tc>
          <w:tcPr>
            <w:tcW w:type="dxa" w:w="3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Solo 1,5× y 2,5× más barato que Sonnet 5, no diez veces</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DeepSeek V4 Pro (hora valle)</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0,66 $</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1,98 $</w:t>
            </w:r>
          </w:p>
        </w:tc>
        <w:tc>
          <w:tcPr>
            <w:tcW w:type="dxa" w:w="3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punta cubre buena parte de la jornada laboral europea</w:t>
            </w:r>
          </w:p>
        </w:tc>
      </w:tr>
    </w:tbl>
    <w:p>
      <w:pPr>
        <w:spacing w:after="120"/>
      </w:pPr>
    </w:p>
    <w:p>
      <w:pPr>
        <w:spacing w:after="120" w:before="0" w:line="276"/>
      </w:pPr>
      <w:r>
        <w:rPr>
          <w:rFonts w:ascii="Calibri" w:cs="Calibri" w:eastAsia="Calibri" w:hAnsi="Calibri"/>
          <w:b/>
          <w:bCs/>
          <w:sz w:val="20"/>
          <w:szCs w:val="20"/>
        </w:rPr>
        <w:t xml:space="preserve">El cambio que se buscaba —abaratar VERA— se consigue sin salir de Anthropic. </w:t>
      </w:r>
      <w:r>
        <w:rPr>
          <w:rFonts w:ascii="Calibri" w:cs="Calibri" w:eastAsia="Calibri" w:hAnsi="Calibri"/>
          <w:sz w:val="20"/>
          <w:szCs w:val="20"/>
        </w:rPr>
        <w:t xml:space="preserve">Pasar de Sonnet 4.6 a Sonnet 5 baja el coste del agente un 33 % y sube su calidad: unos 200 € al mes con cien miembros. La diferencia frente a DeepSeek queda en el entorno de 150 € mensuales.</w:t>
      </w:r>
    </w:p>
    <w:p>
      <w:pPr>
        <w:spacing w:after="120"/>
      </w:pPr>
    </w:p>
    <w:p>
      <w:pPr>
        <w:pStyle w:val="Heading3"/>
        <w:spacing w:after="100" w:before="220"/>
      </w:pPr>
      <w:r>
        <w:rPr>
          <w:rFonts w:ascii="Calibri" w:cs="Calibri" w:eastAsia="Calibri" w:hAnsi="Calibri"/>
          <w:b/>
          <w:bCs/>
          <w:color w:val="07111F"/>
          <w:sz w:val="22"/>
          <w:szCs w:val="22"/>
        </w:rPr>
        <w:t xml:space="preserve">El argumento legal es el que decide</w:t>
      </w:r>
    </w:p>
    <w:p>
      <w:pPr>
        <w:spacing w:after="120" w:before="0" w:line="276"/>
      </w:pPr>
      <w:r>
        <w:rPr>
          <w:rFonts w:ascii="Calibri" w:cs="Calibri" w:eastAsia="Calibri" w:hAnsi="Calibri"/>
          <w:sz w:val="20"/>
          <w:szCs w:val="20"/>
        </w:rPr>
        <w:t xml:space="preserve">VERA no lee el contenido cifrado. Pero sí ve en claro qué referencia busca cada organización, en qué cantidades, desde qué país, con qué marcas, con quién negocia y en qué estado. En agregado, eso es inteligencia de mercado en tiempo real de la red europea de distribución de rodamientos.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Hecho verificado</w:t>
            </w:r>
          </w:p>
        </w:tc>
        <w:tc>
          <w:tcPr>
            <w:tcW w:type="dxa" w:w="6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Consecuencia</w:t>
            </w:r>
          </w:p>
        </w:tc>
      </w:tr>
      <w:tr>
        <w:trPr>
          <w:tblHeader w:val="false"/>
        </w:trPr>
        <w:tc>
          <w:tcPr>
            <w:tcW w:type="dxa" w:w="2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 existe decisión de adecuación de la Comisión Europea para China</w:t>
            </w:r>
          </w:p>
        </w:tc>
        <w:tc>
          <w:tcPr>
            <w:tcW w:type="dxa" w:w="6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Cualquier envío de datos personales exige mecanismo del Capítulo V y evaluación de impacto de la transferencia</w:t>
            </w:r>
          </w:p>
        </w:tc>
      </w:tr>
      <w:tr>
        <w:trPr>
          <w:tblHeader w:val="false"/>
        </w:trPr>
        <w:tc>
          <w:tcPr>
            <w:tcW w:type="dxa" w:w="2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DeepSeek no ofrece acuerdo de tratamiento de datos</w:t>
            </w:r>
          </w:p>
        </w:tc>
        <w:tc>
          <w:tcPr>
            <w:tcW w:type="dxa" w:w="6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Sin ese contrato no hay relación de encargo válida. Infracción autónoma, anterior a la discusión sobre transferencias</w:t>
            </w:r>
          </w:p>
        </w:tc>
      </w:tr>
      <w:tr>
        <w:trPr>
          <w:tblHeader w:val="false"/>
        </w:trPr>
        <w:tc>
          <w:tcPr>
            <w:tcW w:type="dxa" w:w="2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Usa los datos para entrenar por defecto; la exclusión se pide por correo</w:t>
            </w:r>
          </w:p>
        </w:tc>
        <w:tc>
          <w:tcPr>
            <w:tcW w:type="dxa" w:w="6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Deja de ser encargado y pasa a responsable propio. La comunicación se convierte en cesión con base jurídica propia</w:t>
            </w:r>
          </w:p>
        </w:tc>
      </w:tr>
      <w:tr>
        <w:trPr>
          <w:tblHeader w:val="false"/>
        </w:trPr>
        <w:tc>
          <w:tcPr>
            <w:tcW w:type="dxa" w:w="2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autoridad de Berlín notificó en junio de 2025 a Apple y Google que la aplicación es contenido ilícito, por transferencia a China sin garantías equivalentes</w:t>
            </w:r>
          </w:p>
        </w:tc>
        <w:tc>
          <w:tcPr>
            <w:tcW w:type="dxa" w:w="6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fundamento es idéntico para el uso de la interfaz de programación. Ningún supervisor tendría que construir doctrina nueva</w:t>
            </w:r>
          </w:p>
        </w:tc>
      </w:tr>
      <w:tr>
        <w:trPr>
          <w:tblHeader w:val="false"/>
        </w:trPr>
        <w:tc>
          <w:tcPr>
            <w:tcW w:type="dxa" w:w="2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regulador italiano limitó el tratamiento de datos italianos en enero de 2025</w:t>
            </w:r>
          </w:p>
        </w:tc>
        <w:tc>
          <w:tcPr>
            <w:tcW w:type="dxa" w:w="6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Precedente vivo en un mercado objetivo</w:t>
            </w:r>
          </w:p>
        </w:tc>
      </w:tr>
      <w:tr>
        <w:trPr>
          <w:tblHeader w:val="false"/>
        </w:trPr>
        <w:tc>
          <w:tcPr>
            <w:tcW w:type="dxa" w:w="2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Desde junio de 2026 la normativa china clasifica los datos de entrenamiento como secreto comercial protegido</w:t>
            </w:r>
          </w:p>
        </w:tc>
        <w:tc>
          <w:tcPr>
            <w:tcW w:type="dxa" w:w="6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Colisiona con la obligación europea de publicarlos. Riesgo de continuidad del proveedor</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3261E"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B3261E"/>
                <w:sz w:val="19"/>
                <w:szCs w:val="19"/>
              </w:rPr>
              <w:t xml:space="preserve">La incoherencia comercial, que es peor que la legal</w:t>
            </w:r>
          </w:p>
          <w:p>
            <w:pPr>
              <w:spacing w:after="0" w:line="270"/>
            </w:pPr>
            <w:r>
              <w:rPr>
                <w:rFonts w:ascii="Calibri" w:cs="Calibri" w:eastAsia="Calibri" w:hAnsi="Calibri"/>
                <w:sz w:val="18"/>
                <w:szCs w:val="18"/>
              </w:rPr>
              <w:t xml:space="preserve">El propio PRD lo argumenta: los distribuidores de rodamientos, tras décadas de cultura de privacidad comercial extrema, no confían en promesas de política y exigen garantía técnica verificable.</w:t>
            </w:r>
          </w:p>
          <w:p>
            <w:pPr>
              <w:spacing w:after="0" w:line="270"/>
            </w:pPr>
            <w:r>
              <w:rPr>
                <w:rFonts w:ascii="Calibri" w:cs="Calibri" w:eastAsia="Calibri" w:hAnsi="Calibri"/>
                <w:sz w:val="18"/>
                <w:szCs w:val="18"/>
              </w:rPr>
              <w:t xml:space="preserve">Enviar los metadatos comerciales a un proveedor que entrena con ellos por defecto sustituye esa garantía por exactamente la promesa que el PRD declara insuficiente. Y ni siquiera es contractual: es una exclusión solicitada por correo.</w:t>
            </w:r>
          </w:p>
          <w:p>
            <w:pPr>
              <w:spacing w:after="0" w:line="270"/>
            </w:pPr>
            <w:r>
              <w:rPr>
                <w:rFonts w:ascii="Calibri" w:cs="Calibri" w:eastAsia="Calibri" w:hAnsi="Calibri"/>
                <w:sz w:val="18"/>
                <w:szCs w:val="18"/>
              </w:rPr>
              <w:t xml:space="preserve">El despliegue comercial está anclado en Alemania, la jurisdicción cuyo regulador señaló a DeepSeek. El ahorro por el que se estaría arriesgando el diferenciador entero es de unos 150 € al mes.</w:t>
            </w:r>
          </w:p>
        </w:tc>
      </w:tr>
    </w:tbl>
    <w:p>
      <w:pPr>
        <w:spacing w:after="160"/>
      </w:pPr>
    </w:p>
    <w:p>
      <w:pPr>
        <w:pStyle w:val="Heading2"/>
        <w:spacing w:after="140" w:before="280"/>
      </w:pPr>
      <w:r>
        <w:rPr>
          <w:rFonts w:ascii="Calibri" w:cs="Calibri" w:eastAsia="Calibri" w:hAnsi="Calibri"/>
          <w:b/>
          <w:bCs/>
          <w:color w:val="1B4B7A"/>
          <w:sz w:val="26"/>
          <w:szCs w:val="26"/>
        </w:rPr>
        <w:t xml:space="preserve">4.3 · Asignación final y gobierno del dato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400"/>
        <w:gridCol w:w="3000"/>
      </w:tblGrid>
      <w:tr>
        <w:trPr>
          <w:tblHeader/>
        </w:trPr>
        <w:tc>
          <w:tcPr>
            <w:tcW w:type="dxa" w:w="2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Función</w:t>
            </w:r>
          </w:p>
        </w:tc>
        <w:tc>
          <w:tcPr>
            <w:tcW w:type="dxa" w:w="2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Modelo</w:t>
            </w:r>
          </w:p>
        </w:tc>
        <w:tc>
          <w:tcPr>
            <w:tcW w:type="dxa" w:w="1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Precio E/S</w:t>
            </w:r>
          </w:p>
        </w:tc>
        <w:tc>
          <w:tcPr>
            <w:tcW w:type="dxa" w:w="3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Dónde se procesa</w:t>
            </w:r>
          </w:p>
        </w:tc>
      </w:tr>
      <w:tr>
        <w:trPr>
          <w:tblHeader w:val="false"/>
        </w:trPr>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Orquestación y arquitectura</w:t>
            </w:r>
          </w:p>
        </w:tc>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Opus 5</w:t>
            </w:r>
          </w:p>
        </w:tc>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5 $ / 25 $</w:t>
            </w:r>
          </w:p>
        </w:tc>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Retención cero disponible</w:t>
            </w:r>
          </w:p>
        </w:tc>
      </w:tr>
      <w:tr>
        <w:trPr>
          <w:tblHeader w:val="false"/>
        </w:trPr>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Agente VERA en producción</w:t>
            </w:r>
          </w:p>
        </w:tc>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Sonnet 5</w:t>
            </w:r>
          </w:p>
        </w:tc>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2 $ / 10 $</w:t>
            </w:r>
          </w:p>
        </w:tc>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Unión Europea, vía Vertex AI</w:t>
            </w:r>
          </w:p>
        </w:tc>
      </w:tr>
      <w:tr>
        <w:trPr>
          <w:tblHeader w:val="false"/>
        </w:trPr>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Generación de pantallas y de pruebas</w:t>
            </w:r>
          </w:p>
        </w:tc>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DeepSeek V4 Flash</w:t>
            </w:r>
          </w:p>
        </w:tc>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0,19 $ / 0,51 $</w:t>
            </w:r>
          </w:p>
        </w:tc>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Unión Europea, vía Microsoft Foundry</w:t>
            </w:r>
          </w:p>
        </w:tc>
      </w:tr>
      <w:tr>
        <w:trPr>
          <w:tblHeader w:val="false"/>
        </w:trPr>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Revisión de código y seguridad</w:t>
            </w:r>
          </w:p>
        </w:tc>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Fable 5</w:t>
            </w:r>
          </w:p>
        </w:tc>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10 $ / 50 $</w:t>
            </w:r>
          </w:p>
        </w:tc>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Retención obligatoria de 30 días</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4B7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B4B7A"/>
                <w:sz w:val="19"/>
                <w:szCs w:val="19"/>
              </w:rPr>
              <w:t xml:space="preserve">Regla de gobierno del dato — se escribe una vez y se aplica siempre</w:t>
            </w:r>
          </w:p>
          <w:p>
            <w:pPr>
              <w:spacing w:after="0" w:line="270"/>
            </w:pPr>
            <w:r>
              <w:rPr>
                <w:rFonts w:ascii="Calibri" w:cs="Calibri" w:eastAsia="Calibri" w:hAnsi="Calibri"/>
                <w:sz w:val="18"/>
                <w:szCs w:val="18"/>
              </w:rPr>
              <w:t xml:space="preserve">El generador barato construye interfaz a partir de diseños aprobados y escribe pruebas a partir de especificaciones. No toca criptografía, ni reglas de acceso a datos, ni claves, ni secretos, ni contenido de clientes. Esa frontera ya se respetaba de hecho en el MVP; a partir de V1 se escribe como norma y una comprobación automática la vigila.</w:t>
            </w:r>
          </w:p>
          <w:p>
            <w:pPr>
              <w:spacing w:after="0" w:line="270"/>
            </w:pPr>
            <w:r>
              <w:rPr>
                <w:rFonts w:ascii="Calibri" w:cs="Calibri" w:eastAsia="Calibri" w:hAnsi="Calibri"/>
                <w:sz w:val="18"/>
                <w:szCs w:val="18"/>
              </w:rPr>
              <w:t xml:space="preserve">Todo lo que toca el cifrado, las reglas de visibilidad o las herramientas del agente lo escribe el modelo de orquestación, bajo revisión humana. Sin excepciones.</w:t>
            </w:r>
          </w:p>
        </w:tc>
      </w:tr>
    </w:tbl>
    <w:p>
      <w:r>
        <w:br w:type="page"/>
      </w:r>
    </w:p>
    <w:p>
      <w:pPr>
        <w:pStyle w:val="Heading1"/>
        <w:spacing w:after="200" w:before="360"/>
      </w:pPr>
      <w:r>
        <w:rPr>
          <w:rFonts w:ascii="Calibri" w:cs="Calibri" w:eastAsia="Calibri" w:hAnsi="Calibri"/>
          <w:b/>
          <w:bCs/>
          <w:color w:val="07111F"/>
          <w:sz w:val="32"/>
          <w:szCs w:val="32"/>
        </w:rPr>
        <w:t xml:space="preserve">5 · Verificación</w:t>
      </w:r>
    </w:p>
    <w:p>
      <w:pPr>
        <w:spacing w:after="120" w:before="0" w:line="276"/>
      </w:pPr>
      <w:r>
        <w:rPr>
          <w:rFonts w:ascii="Calibri" w:cs="Calibri" w:eastAsia="Calibri" w:hAnsi="Calibri"/>
          <w:b/>
          <w:bCs/>
          <w:sz w:val="20"/>
          <w:szCs w:val="20"/>
        </w:rPr>
        <w:t xml:space="preserve">Este capítulo es nuevo y gobierna el resto del documento. </w:t>
      </w:r>
      <w:r>
        <w:rPr>
          <w:rFonts w:ascii="Calibri" w:cs="Calibri" w:eastAsia="Calibri" w:hAnsi="Calibri"/>
          <w:sz w:val="20"/>
          <w:szCs w:val="20"/>
        </w:rPr>
        <w:t xml:space="preserve">No existe «los tests»: existen cinco problemas de verificación distintos, con instrumentos distintos, momentos distintos y presupuestos distintos. Meterlos en el mismo saco es exactamente cómo se llega a tener seiscientas pruebas en verde y una función que lleva dos días diciendo que sí sin hacer nada.</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4B7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B4B7A"/>
                <w:sz w:val="19"/>
                <w:szCs w:val="19"/>
              </w:rPr>
              <w:t xml:space="preserve">Y es también la respuesta a por qué el plan puede comprimirse</w:t>
            </w:r>
          </w:p>
          <w:p>
            <w:pPr>
              <w:spacing w:after="0" w:line="270"/>
            </w:pPr>
            <w:r>
              <w:rPr>
                <w:rFonts w:ascii="Calibri" w:cs="Calibri" w:eastAsia="Calibri" w:hAnsi="Calibri"/>
                <w:sz w:val="18"/>
                <w:szCs w:val="18"/>
              </w:rPr>
              <w:t xml:space="preserve">Se pueden lanzar veinte agentes. No se pueden revisar veinte entregas al día con el rigor que este producto necesita. El MVP produjo 112 hallazgos en quince días con un solo revisor humano.</w:t>
            </w:r>
          </w:p>
          <w:p>
            <w:pPr>
              <w:spacing w:after="0" w:line="270"/>
            </w:pPr>
            <w:r>
              <w:rPr>
                <w:rFonts w:ascii="Calibri" w:cs="Calibri" w:eastAsia="Calibri" w:hAnsi="Calibri"/>
                <w:sz w:val="18"/>
                <w:szCs w:val="18"/>
              </w:rPr>
              <w:t xml:space="preserve">El techo del paralelismo no son los agentes: es el ancho de banda de verificación. La única forma de subirlo es que la verificación sea automática y también paralela. Por eso la verificación no es el coste de ir rápido: es la condición para poder hacerlo.</w:t>
            </w:r>
          </w:p>
        </w:tc>
      </w:tr>
    </w:tbl>
    <w:p>
      <w:pPr>
        <w:spacing w:after="160"/>
      </w:pPr>
    </w:p>
    <w:p>
      <w:pPr>
        <w:pStyle w:val="Heading2"/>
        <w:spacing w:after="140" w:before="280"/>
      </w:pPr>
      <w:r>
        <w:rPr>
          <w:rFonts w:ascii="Calibri" w:cs="Calibri" w:eastAsia="Calibri" w:hAnsi="Calibri"/>
          <w:b/>
          <w:bCs/>
          <w:color w:val="1B4B7A"/>
          <w:sz w:val="26"/>
          <w:szCs w:val="26"/>
        </w:rPr>
        <w:t xml:space="preserve">5.1 · Los cinco niveles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100"/>
        <w:gridCol w:w="2700"/>
      </w:tblGrid>
      <w:tr>
        <w:trPr>
          <w:tblHeader/>
        </w:trPr>
        <w:tc>
          <w:tcPr>
            <w:tcW w:type="dxa" w:w="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w:t>
            </w:r>
          </w:p>
        </w:tc>
        <w:tc>
          <w:tcPr>
            <w:tcW w:type="dxa" w:w="2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Qué verifica</w:t>
            </w:r>
          </w:p>
        </w:tc>
        <w:tc>
          <w:tcPr>
            <w:tcW w:type="dxa" w:w="31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Instrumento</w:t>
            </w:r>
          </w:p>
        </w:tc>
        <w:tc>
          <w:tcPr>
            <w:tcW w:type="dxa" w:w="27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Cuándo</w:t>
            </w:r>
          </w:p>
        </w:tc>
      </w:tr>
      <w:tr>
        <w:trPr>
          <w:tblHeader w:val="false"/>
        </w:trPr>
        <w:tc>
          <w:tcPr>
            <w:tcW w:type="dxa" w:w="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w:t>
            </w:r>
          </w:p>
        </w:tc>
        <w:tc>
          <w:tcPr>
            <w:tcW w:type="dxa" w:w="2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Que el código hace lo que dice la especificación</w:t>
            </w:r>
          </w:p>
        </w:tc>
        <w:tc>
          <w:tcPr>
            <w:tcW w:type="dxa" w:w="3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Los 182 escenarios de las capabilities, convertidos en pruebas ejecutables</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Continuo</w:t>
            </w:r>
          </w:p>
        </w:tc>
      </w:tr>
      <w:tr>
        <w:trPr>
          <w:tblHeader w:val="false"/>
        </w:trPr>
        <w:tc>
          <w:tcPr>
            <w:tcW w:type="dxa" w:w="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2</w:t>
            </w:r>
          </w:p>
        </w:tc>
        <w:tc>
          <w:tcPr>
            <w:tcW w:type="dxa" w:w="2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Que el cifrado protege de verdad</w:t>
            </w:r>
          </w:p>
        </w:tc>
        <w:tc>
          <w:tcPr>
            <w:tcW w:type="dxa" w:w="3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Vectores oficiales, invariantes negativos, pruebas de propiedad contra reutilización de nonce</w:t>
            </w:r>
          </w:p>
        </w:tc>
        <w:tc>
          <w:tcPr>
            <w:tcW w:type="dxa" w:w="2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Continuo y bloqueante</w:t>
            </w:r>
          </w:p>
        </w:tc>
      </w:tr>
      <w:tr>
        <w:trPr>
          <w:tblHeader w:val="false"/>
        </w:trPr>
        <w:tc>
          <w:tcPr>
            <w:tcW w:type="dxa" w:w="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w:t>
            </w:r>
          </w:p>
        </w:tc>
        <w:tc>
          <w:tcPr>
            <w:tcW w:type="dxa" w:w="2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Que el agente no miente</w:t>
            </w:r>
          </w:p>
        </w:tc>
        <w:tc>
          <w:tcPr>
            <w:tcW w:type="dxa" w:w="3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Banco de preguntas con la verdad computable en SQL, medido con varianza</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Cada cambio de prompt</w:t>
            </w:r>
          </w:p>
        </w:tc>
      </w:tr>
      <w:tr>
        <w:trPr>
          <w:tblHeader w:val="false"/>
        </w:trPr>
        <w:tc>
          <w:tcPr>
            <w:tcW w:type="dxa" w:w="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4</w:t>
            </w:r>
          </w:p>
        </w:tc>
        <w:tc>
          <w:tcPr>
            <w:tcW w:type="dxa" w:w="2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Que aguanta y sigue siendo correcto bajo carga</w:t>
            </w:r>
          </w:p>
        </w:tc>
        <w:tc>
          <w:tcPr>
            <w:tcW w:type="dxa" w:w="3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Flota sintética con identidades reales, agrupada por organización</w:t>
            </w:r>
          </w:p>
        </w:tc>
        <w:tc>
          <w:tcPr>
            <w:tcW w:type="dxa" w:w="2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Por corriente, y antes de producción</w:t>
            </w:r>
          </w:p>
        </w:tc>
      </w:tr>
      <w:tr>
        <w:trPr>
          <w:tblHeader w:val="false"/>
        </w:trPr>
        <w:tc>
          <w:tcPr>
            <w:tcW w:type="dxa" w:w="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5</w:t>
            </w:r>
          </w:p>
        </w:tc>
        <w:tc>
          <w:tcPr>
            <w:tcW w:type="dxa" w:w="2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Que las pruebas detectan fallos de verdad</w:t>
            </w:r>
          </w:p>
        </w:tc>
        <w:tc>
          <w:tcPr>
            <w:tcW w:type="dxa" w:w="3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Pruebas de mutación sobre criptografía y reglas de acceso</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Semanal e incremental</w:t>
            </w:r>
          </w:p>
        </w:tc>
      </w:tr>
    </w:tbl>
    <w:p>
      <w:pPr>
        <w:spacing w:after="160"/>
      </w:pPr>
    </w:p>
    <w:p>
      <w:pPr>
        <w:pStyle w:val="Heading3"/>
        <w:spacing w:after="100" w:before="220"/>
      </w:pPr>
      <w:r>
        <w:rPr>
          <w:rFonts w:ascii="Calibri" w:cs="Calibri" w:eastAsia="Calibri" w:hAnsi="Calibri"/>
          <w:b/>
          <w:bCs/>
          <w:color w:val="07111F"/>
          <w:sz w:val="22"/>
          <w:szCs w:val="22"/>
        </w:rPr>
        <w:t xml:space="preserve">Nivel 1 · El objetivo de cobertura no es un porcentaje</w:t>
      </w:r>
    </w:p>
    <w:p>
      <w:pPr>
        <w:spacing w:after="120" w:before="0" w:line="276"/>
      </w:pPr>
      <w:r>
        <w:rPr>
          <w:rFonts w:ascii="Calibri" w:cs="Calibri" w:eastAsia="Calibri" w:hAnsi="Calibri"/>
          <w:sz w:val="20"/>
          <w:szCs w:val="20"/>
        </w:rPr>
        <w:t xml:space="preserve">Las nueve capabilities cerradas contienen 182 escenarios en formato condición-acción-resultado. Ese es el contrato del producto, ya escrito, y hoy vive en prosa.</w:t>
      </w:r>
    </w:p>
    <w:p>
      <w:pPr>
        <w:spacing w:after="120" w:before="0" w:line="276"/>
      </w:pPr>
      <w:r>
        <w:rPr>
          <w:rFonts w:ascii="Calibri" w:cs="Calibri" w:eastAsia="Calibri" w:hAnsi="Calibri"/>
          <w:b/>
          <w:bCs/>
          <w:sz w:val="20"/>
          <w:szCs w:val="20"/>
        </w:rPr>
        <w:t xml:space="preserve">La decisión de mayor valor de todo el plan de verificación: cada uno de esos 182 escenarios se convierte en una prueba ejecutable, y el objetivo de cobertura es 182 de 182, no «el ochenta por ciento de las líneas». </w:t>
      </w:r>
      <w:r>
        <w:rPr>
          <w:rFonts w:ascii="Calibri" w:cs="Calibri" w:eastAsia="Calibri" w:hAnsi="Calibri"/>
          <w:sz w:val="20"/>
          <w:szCs w:val="20"/>
        </w:rPr>
        <w:t xml:space="preserve">Un porcentaje de líneas no dice si el producto cumple su contrato; 182 escenarios sí. Y son 182 unidades independientes con criterio propio, o sea trabajo perfectamente paralelizable.</w:t>
      </w:r>
    </w:p>
    <w:p>
      <w:pPr>
        <w:spacing w:after="120" w:before="0" w:line="276"/>
      </w:pPr>
      <w:r>
        <w:rPr>
          <w:rFonts w:ascii="Calibri" w:cs="Calibri" w:eastAsia="Calibri" w:hAnsi="Calibri"/>
          <w:sz w:val="20"/>
          <w:szCs w:val="20"/>
        </w:rPr>
        <w:t xml:space="preserve">Con una regla heredada del MVP: comparar dos magnitudes no basta, hay que descartar los casos degenerados. Cero filas mostradas no es un recorte correcto, es no haber listado nada. Todo aserto numérico lleva sus cotas.</w:t>
      </w:r>
    </w:p>
    <w:p>
      <w:pPr>
        <w:spacing w:after="140"/>
      </w:pPr>
    </w:p>
    <w:p>
      <w:pPr>
        <w:pStyle w:val="Heading3"/>
        <w:spacing w:after="100" w:before="220"/>
      </w:pPr>
      <w:r>
        <w:rPr>
          <w:rFonts w:ascii="Calibri" w:cs="Calibri" w:eastAsia="Calibri" w:hAnsi="Calibri"/>
          <w:b/>
          <w:bCs/>
          <w:color w:val="07111F"/>
          <w:sz w:val="22"/>
          <w:szCs w:val="22"/>
        </w:rPr>
        <w:t xml:space="preserve">Nivel 2 · Criptografía: es lo más importante y cuesta cero euros</w:t>
      </w:r>
    </w:p>
    <w:p>
      <w:pPr>
        <w:spacing w:after="120" w:before="0" w:line="276"/>
      </w:pPr>
      <w:r>
        <w:rPr>
          <w:rFonts w:ascii="Calibri" w:cs="Calibri" w:eastAsia="Calibri" w:hAnsi="Calibri"/>
          <w:sz w:val="20"/>
          <w:szCs w:val="20"/>
        </w:rPr>
        <w:t xml:space="preserve">Existe un corpus público de vectores de prueba —Project Wycheproof, hoy mantenido por la comunidad de especificaciones criptográficas— que cubre X25519 y AES-GCM en formato directamente consumible, y que ataca precisamente las clases de fallo que los vectores «felices» no tocan: curvas inválidas, nonces sesgados, codificaciones malformadas, puntos de orden pequeño. Un ejercicio documentado de aplicarlo a una biblioteca de criptografía en JavaScript destapó tres vulnerabilidades con identificador público.</w:t>
      </w:r>
    </w:p>
    <w:p>
      <w:pPr>
        <w:spacing w:after="120" w:before="0" w:line="276"/>
      </w:pPr>
      <w:r>
        <w:rPr>
          <w:rFonts w:ascii="Calibri" w:cs="Calibri" w:eastAsia="Calibri" w:hAnsi="Calibri"/>
          <w:sz w:val="20"/>
          <w:szCs w:val="20"/>
        </w:rPr>
        <w:t xml:space="preserve">Se le suman los vectores oficiales de la especificación de X25519, los de Argon2id y los del organismo de normalización estadounidense para AES-GCM. Todo público, todo gratuito, todo ejecutable en integración continua. Media jornada de integración.</w:t>
      </w:r>
    </w:p>
    <w:p>
      <w:pPr>
        <w:spacing w:after="60"/>
      </w:pPr>
    </w:p>
    <w:p>
      <w:pPr>
        <w:spacing w:after="120" w:before="0" w:line="276"/>
      </w:pPr>
      <w:r>
        <w:rPr>
          <w:rFonts w:ascii="Calibri" w:cs="Calibri" w:eastAsia="Calibri" w:hAnsi="Calibri"/>
          <w:b/>
          <w:bCs/>
          <w:sz w:val="20"/>
          <w:szCs w:val="20"/>
        </w:rPr>
        <w:t xml:space="preserve">Los tres invariantes del cifrado dejan de ser prosa y pasan a ser pruebas que fallan:</w:t>
      </w:r>
    </w:p>
    <w:p>
      <w:pPr>
        <w:pStyle w:val="ListParagraph"/>
        <w:numPr>
          <w:ilvl w:val="0"/>
          <w:numId w:val="3"/>
        </w:numPr>
        <w:spacing w:after="80" w:line="276"/>
      </w:pPr>
      <w:r>
        <w:rPr>
          <w:rFonts w:ascii="Calibri" w:cs="Calibri" w:eastAsia="Calibri" w:hAnsi="Calibri"/>
          <w:sz w:val="20"/>
          <w:szCs w:val="20"/>
        </w:rPr>
        <w:t xml:space="preserve">Una prueba que inspecciona toda petición saliente, línea de registro y mensaje de error buscando la frase de respaldo. Si aparece una vez, rojo.</w:t>
      </w:r>
    </w:p>
    <w:p>
      <w:pPr>
        <w:pStyle w:val="ListParagraph"/>
        <w:numPr>
          <w:ilvl w:val="0"/>
          <w:numId w:val="3"/>
        </w:numPr>
        <w:spacing w:after="80" w:line="276"/>
      </w:pPr>
      <w:r>
        <w:rPr>
          <w:rFonts w:ascii="Calibri" w:cs="Calibri" w:eastAsia="Calibri" w:hAnsi="Calibri"/>
          <w:sz w:val="20"/>
          <w:szCs w:val="20"/>
        </w:rPr>
        <w:t xml:space="preserve">Una prueba que afirma que la credencial de respaldo es distinta de la de acceso.</w:t>
      </w:r>
    </w:p>
    <w:p>
      <w:pPr>
        <w:pStyle w:val="ListParagraph"/>
        <w:numPr>
          <w:ilvl w:val="0"/>
          <w:numId w:val="3"/>
        </w:numPr>
        <w:spacing w:after="80" w:line="276"/>
      </w:pPr>
      <w:r>
        <w:rPr>
          <w:rFonts w:ascii="Calibri" w:cs="Calibri" w:eastAsia="Calibri" w:hAnsi="Calibri"/>
          <w:sz w:val="20"/>
          <w:szCs w:val="20"/>
        </w:rPr>
        <w:t xml:space="preserve">Una prueba que golpea el punto de recuperación seis veces y exige que la sexta la rechace el servidor, no el navegador.</w:t>
      </w:r>
    </w:p>
    <w:p>
      <w:pPr>
        <w:pStyle w:val="ListParagraph"/>
        <w:numPr>
          <w:ilvl w:val="0"/>
          <w:numId w:val="3"/>
        </w:numPr>
        <w:spacing w:after="80" w:line="276"/>
      </w:pPr>
      <w:r>
        <w:rPr>
          <w:rFonts w:ascii="Calibri" w:cs="Calibri" w:eastAsia="Calibri" w:hAnsi="Calibri"/>
          <w:sz w:val="20"/>
          <w:szCs w:val="20"/>
        </w:rPr>
        <w:t xml:space="preserve">Y el panel de vista de servidor que se construyó para la demostración deja de ser un artefacto y se convierte en prueba: volcar todas las columnas legibles por la plataforma y afirmar que ningún campo comercial lo es.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4B7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B4B7A"/>
                <w:sz w:val="19"/>
                <w:szCs w:val="19"/>
              </w:rPr>
              <w:t xml:space="preserve">Y desde ADR-002, seis invariantes más del mismo rango</w:t>
            </w:r>
          </w:p>
          <w:p>
            <w:pPr>
              <w:spacing w:after="0" w:line="270"/>
            </w:pPr>
            <w:r>
              <w:rPr>
                <w:rFonts w:ascii="Calibri" w:cs="Calibri" w:eastAsia="Calibri" w:hAnsi="Calibri"/>
                <w:sz w:val="18"/>
                <w:szCs w:val="18"/>
              </w:rPr>
              <w:t xml:space="preserve">El ámbito de visibilidad por usuario no es una preferencia de interfaz: es una frontera criptográfica. Sus seis invariantes viven en este nivel y no en el funcional, porque un fallo ahí es una fuga entre compañeros de la misma empresa.</w:t>
            </w:r>
          </w:p>
          <w:p>
            <w:pPr>
              <w:spacing w:after="0" w:line="270"/>
            </w:pPr>
            <w:r>
              <w:rPr>
                <w:rFonts w:ascii="Calibri" w:cs="Calibri" w:eastAsia="Calibri" w:hAnsi="Calibri"/>
                <w:sz w:val="18"/>
                <w:szCs w:val="18"/>
              </w:rPr>
              <w:t xml:space="preserve">Los dos que más contraintuitivos resultan: un miembro con ámbito propio nunca recibe copia envuelta de un elemento en el que no participa, y el administrador nunca la recibe por el hecho de serlo — obtiene supervisión desde los metadatos, sin ser destinatario criptográfico. Si alguien «arregla» esto envolviéndole la clave por comodidad, la prueba se pone roja. Ese es el punto.</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3261E"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B3261E"/>
                <w:sz w:val="19"/>
                <w:szCs w:val="19"/>
              </w:rPr>
              <w:t xml:space="preserve">El único fallo que convierte el cifrado en teatro, y no tiene herramienta</w:t>
            </w:r>
          </w:p>
          <w:p>
            <w:pPr>
              <w:spacing w:after="0" w:line="270"/>
            </w:pPr>
            <w:r>
              <w:rPr>
                <w:rFonts w:ascii="Calibri" w:cs="Calibri" w:eastAsia="Calibri" w:hAnsi="Calibri"/>
                <w:sz w:val="18"/>
                <w:szCs w:val="18"/>
              </w:rPr>
              <w:t xml:space="preserve">La reutilización de un nonce en AES-GCM no degrada nada gradualmente: revela la combinación de los textos planos y permite recuperar la clave de autenticación, lo que rompe la integridad de todos los mensajes bajo esa clave.</w:t>
            </w:r>
          </w:p>
          <w:p>
            <w:pPr>
              <w:spacing w:after="0" w:line="270"/>
            </w:pPr>
            <w:r>
              <w:rPr>
                <w:rFonts w:ascii="Calibri" w:cs="Calibri" w:eastAsia="Calibri" w:hAnsi="Calibri"/>
                <w:sz w:val="18"/>
                <w:szCs w:val="18"/>
              </w:rPr>
              <w:t xml:space="preserve">No existe ninguna herramienta dedicada a detectarlo. Hay que construirla, y es barato: una prueba de propiedad que genera N cifrados con la misma clave, acumula los vectores de inicialización y exige que no haya ni una repetición. Eso caza generadores deterministas, contadores que se reinician y vectores derivados de marcas de tiempo con poca resolución.</w:t>
            </w:r>
          </w:p>
          <w:p>
            <w:pPr>
              <w:spacing w:after="0" w:line="270"/>
            </w:pPr>
            <w:r>
              <w:rPr>
                <w:rFonts w:ascii="Calibri" w:cs="Calibri" w:eastAsia="Calibri" w:hAnsi="Calibri"/>
                <w:sz w:val="18"/>
                <w:szCs w:val="18"/>
              </w:rPr>
              <w:t xml:space="preserve">Y el control arquitectónico que vale más que la prueba: derivar una clave por mensaje o por sesión en lugar de reutilizar una clave larga con vectores aleatorios. Elimina la clase de fallo entera en vez de vigilarla. La norma fija además un tope duro de invocaciones por clave que debe ser un aserto, no una nota al pie.</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9A6700"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9A6700"/>
                <w:sz w:val="19"/>
                <w:szCs w:val="19"/>
              </w:rPr>
              <w:t xml:space="preserve">Dos comprobaciones sobre Argon2id, una buena y una pendiente</w:t>
            </w:r>
          </w:p>
          <w:p>
            <w:pPr>
              <w:spacing w:after="0" w:line="270"/>
            </w:pPr>
            <w:r>
              <w:rPr>
                <w:rFonts w:ascii="Calibri" w:cs="Calibri" w:eastAsia="Calibri" w:hAnsi="Calibri"/>
                <w:sz w:val="18"/>
                <w:szCs w:val="18"/>
              </w:rPr>
              <w:t xml:space="preserve">Buena: los parámetros elegidos —64 MiB de memoria, tres iteraciones y cuatro carriles— son exactamente la segunda opción recomendada por la especificación oficial. Esa decisión está bien tomada y es defendible ante un auditor sin discusión.</w:t>
            </w:r>
          </w:p>
          <w:p>
            <w:pPr>
              <w:spacing w:after="0" w:line="270"/>
            </w:pPr>
            <w:r>
              <w:rPr>
                <w:rFonts w:ascii="Calibri" w:cs="Calibri" w:eastAsia="Calibri" w:hAnsi="Calibri"/>
                <w:sz w:val="18"/>
                <w:szCs w:val="18"/>
              </w:rPr>
              <w:t xml:space="preserve">Pendiente: la biblioteca habitual de Argon2 para navegador advierte en su propia documentación que el parámetro de paralelismo no se computa en paralelo. Los cuatro carriles se ejecutarían en secuencia sobre un solo hilo. No es un fallo, pero tiene que ser una decisión consciente y no una suposición. Se comprueba en el primer hito.</w:t>
            </w:r>
          </w:p>
        </w:tc>
      </w:tr>
    </w:tbl>
    <w:p>
      <w:pPr>
        <w:spacing w:after="140"/>
      </w:pPr>
    </w:p>
    <w:p>
      <w:pPr>
        <w:pStyle w:val="Heading3"/>
        <w:spacing w:after="100" w:before="220"/>
      </w:pPr>
      <w:r>
        <w:rPr>
          <w:rFonts w:ascii="Calibri" w:cs="Calibri" w:eastAsia="Calibri" w:hAnsi="Calibri"/>
          <w:b/>
          <w:bCs/>
          <w:color w:val="07111F"/>
          <w:sz w:val="22"/>
          <w:szCs w:val="22"/>
        </w:rPr>
        <w:t xml:space="preserve">Nivel 3 · El agente: escalar lo que ya funciona</w:t>
      </w:r>
    </w:p>
    <w:p>
      <w:pPr>
        <w:spacing w:after="120" w:before="0" w:line="276"/>
      </w:pPr>
      <w:r>
        <w:rPr>
          <w:rFonts w:ascii="Calibri" w:cs="Calibri" w:eastAsia="Calibri" w:hAnsi="Calibri"/>
          <w:sz w:val="20"/>
          <w:szCs w:val="20"/>
        </w:rPr>
        <w:t xml:space="preserve">El banco de dieciséis preguntas con la respuesta verdadera conocida de antemano, ejecutado contra la función desplegada y la base real, es el mejor instrumento que produjo el MVP. Para V1 se multiplica: de dieciséis preguntas a varios cientos, generadas desde el catálogo sembrado para que la respuesta verdadera sea computable por consulta directa.</w:t>
      </w:r>
    </w:p>
    <w:p>
      <w:pPr>
        <w:spacing w:after="120" w:before="0" w:line="276"/>
      </w:pPr>
      <w:r>
        <w:rPr>
          <w:rFonts w:ascii="Calibri" w:cs="Calibri" w:eastAsia="Calibri" w:hAnsi="Calibri"/>
          <w:sz w:val="20"/>
          <w:szCs w:val="20"/>
        </w:rPr>
        <w:t xml:space="preserve">Con la propiedad que lo hace válido, y que se aprendió por las malas: el aserto va contra el retorno de la herramienta, no contra una expresión regular sobre la prosa. El modelo reformatea al redactar, y un contador que solo entiende el formato de origen mide el formato, no el contenido.</w:t>
      </w:r>
    </w:p>
    <w:p>
      <w:pPr>
        <w:spacing w:after="60"/>
      </w:pPr>
    </w:p>
    <w:p>
      <w:pPr>
        <w:spacing w:after="120" w:before="0" w:line="276"/>
      </w:pPr>
      <w:r>
        <w:rPr>
          <w:rFonts w:ascii="Calibri" w:cs="Calibri" w:eastAsia="Calibri" w:hAnsi="Calibri"/>
          <w:b/>
          <w:bCs/>
          <w:sz w:val="20"/>
          <w:szCs w:val="20"/>
        </w:rPr>
        <w:t xml:space="preserve">Dos incorporaciones nuevas:</w:t>
      </w:r>
    </w:p>
    <w:p>
      <w:pPr>
        <w:pStyle w:val="ListParagraph"/>
        <w:numPr>
          <w:ilvl w:val="0"/>
          <w:numId w:val="3"/>
        </w:numPr>
        <w:spacing w:after="80" w:line="276"/>
      </w:pPr>
      <w:r>
        <w:rPr>
          <w:rFonts w:ascii="Calibri" w:cs="Calibri" w:eastAsia="Calibri" w:hAnsi="Calibri"/>
          <w:b/>
          <w:bCs/>
          <w:sz w:val="20"/>
          <w:szCs w:val="20"/>
        </w:rPr>
        <w:t xml:space="preserve">La varianza es la medición, no el ruido. </w:t>
      </w:r>
      <w:r>
        <w:rPr>
          <w:rFonts w:ascii="Calibri" w:cs="Calibri" w:eastAsia="Calibri" w:hAnsi="Calibri"/>
          <w:sz w:val="20"/>
          <w:szCs w:val="20"/>
        </w:rPr>
        <w:t xml:space="preserve">Una pasada es una observación. El banco corre varias veces y reporta distribución: «dieciséis de dieciséis en tres de tres pasadas» no es lo mismo que «dieciséis de dieciséis una vez».</w:t>
      </w:r>
    </w:p>
    <w:p>
      <w:pPr>
        <w:pStyle w:val="ListParagraph"/>
        <w:numPr>
          <w:ilvl w:val="0"/>
          <w:numId w:val="3"/>
        </w:numPr>
        <w:spacing w:after="80" w:line="276"/>
      </w:pPr>
      <w:r>
        <w:rPr>
          <w:rFonts w:ascii="Calibri" w:cs="Calibri" w:eastAsia="Calibri" w:hAnsi="Calibri"/>
          <w:b/>
          <w:bCs/>
          <w:sz w:val="20"/>
          <w:szCs w:val="20"/>
        </w:rPr>
        <w:t xml:space="preserve">Un agente adversario cuyo único trabajo es hacer mentir a VERA. </w:t>
      </w:r>
      <w:r>
        <w:rPr>
          <w:rFonts w:ascii="Calibri" w:cs="Calibri" w:eastAsia="Calibri" w:hAnsi="Calibri"/>
          <w:sz w:val="20"/>
          <w:szCs w:val="20"/>
        </w:rPr>
        <w:t xml:space="preserve">Reformulaciones, premisas falsas, preguntas que presuponen datos inexistentes. Generar ese corpus es trabajo mecánico de alto volumen: exactamente para lo que sirve el modelo barato.</w:t>
      </w:r>
    </w:p>
    <w:p>
      <w:pPr>
        <w:spacing w:after="140"/>
      </w:pPr>
    </w:p>
    <w:p>
      <w:pPr>
        <w:pStyle w:val="Heading3"/>
        <w:spacing w:after="100" w:before="220"/>
      </w:pPr>
      <w:r>
        <w:rPr>
          <w:rFonts w:ascii="Calibri" w:cs="Calibri" w:eastAsia="Calibri" w:hAnsi="Calibri"/>
          <w:b/>
          <w:bCs/>
          <w:color w:val="07111F"/>
          <w:sz w:val="22"/>
          <w:szCs w:val="22"/>
        </w:rPr>
        <w:t xml:space="preserve">Nivel 5 · ¿Y si las pruebas mienten?</w:t>
      </w:r>
    </w:p>
    <w:p>
      <w:pPr>
        <w:spacing w:after="120" w:before="0" w:line="276"/>
      </w:pPr>
      <w:r>
        <w:rPr>
          <w:rFonts w:ascii="Calibri" w:cs="Calibri" w:eastAsia="Calibri" w:hAnsi="Calibri"/>
          <w:sz w:val="20"/>
          <w:szCs w:val="20"/>
        </w:rPr>
        <w:t xml:space="preserve">Es la pregunta que el proyecto ya respondió tres veces, y las tres mal: pruebas en verde que no comprobaban nada, y la tercera dentro del instrumento escrito para evitarlo.</w:t>
      </w:r>
    </w:p>
    <w:p>
      <w:pPr>
        <w:spacing w:after="120" w:before="0" w:line="276"/>
      </w:pPr>
      <w:r>
        <w:rPr>
          <w:rFonts w:ascii="Calibri" w:cs="Calibri" w:eastAsia="Calibri" w:hAnsi="Calibri"/>
          <w:sz w:val="20"/>
          <w:szCs w:val="20"/>
        </w:rPr>
        <w:t xml:space="preserve">Las pruebas de mutación introducen fallos deliberados en el código y comprueban si alguna prueba se cae. Si se rompe el cifrado y las seiscientas pruebas siguen en verde, la suite es decorativa. Ejecutarla entera es caro —hay proyectos medianos de cuatro horas—, así que se usa en modo incremental sobre los cambios de cada entrega, tres a ocho minutos, y solo sobre el módulo criptográfico y las políticas de acceso, que es donde un superviviente significa riesgo real. Coste: cero.</w:t>
      </w:r>
    </w:p>
    <w:p>
      <w:r>
        <w:br w:type="page"/>
      </w:r>
    </w:p>
    <w:p>
      <w:pPr>
        <w:pStyle w:val="Heading2"/>
        <w:spacing w:after="140" w:before="280"/>
      </w:pPr>
      <w:r>
        <w:rPr>
          <w:rFonts w:ascii="Calibri" w:cs="Calibri" w:eastAsia="Calibri" w:hAnsi="Calibri"/>
          <w:b/>
          <w:bCs/>
          <w:color w:val="1B4B7A"/>
          <w:sz w:val="26"/>
          <w:szCs w:val="26"/>
        </w:rPr>
        <w:t xml:space="preserve">5.2 · Nivel 4 — los 500 usuarios concurrentes</w:t>
      </w:r>
    </w:p>
    <w:p>
      <w:pPr>
        <w:spacing w:after="120" w:before="0" w:line="276"/>
      </w:pPr>
      <w:r>
        <w:rPr>
          <w:rFonts w:ascii="Calibri" w:cs="Calibri" w:eastAsia="Calibri" w:hAnsi="Calibri"/>
          <w:sz w:val="20"/>
          <w:szCs w:val="20"/>
        </w:rPr>
        <w:t xml:space="preserve">El encargo es explícito: probar como si quinientos usuarios trabajaran a la vez. Al investigarlo aparecen cinco hallazgos, y ninguno es de rendimiento. Tres son límites que se alcanzan antes de llegar a la carga, y dos de ellos no se arreglan pagando.</w:t>
      </w:r>
    </w:p>
    <w:p>
      <w:pPr>
        <w:spacing w:after="120"/>
      </w:pPr>
    </w:p>
    <w:p>
      <w:pPr>
        <w:pStyle w:val="Heading3"/>
        <w:spacing w:after="100" w:before="220"/>
      </w:pPr>
      <w:r>
        <w:rPr>
          <w:rFonts w:ascii="Calibri" w:cs="Calibri" w:eastAsia="Calibri" w:hAnsi="Calibri"/>
          <w:b/>
          <w:bCs/>
          <w:color w:val="07111F"/>
          <w:sz w:val="22"/>
          <w:szCs w:val="22"/>
        </w:rPr>
        <w:t xml:space="preserve">Hallazgo 1 · 500 concurrentes es exactamente el techo del plan actual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00"/>
      </w:tblGrid>
      <w:tr>
        <w:trPr>
          <w:tblHeader/>
        </w:trPr>
        <w:tc>
          <w:tcPr>
            <w:tcW w:type="dxa" w:w="4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Límite de tiempo real</w:t>
            </w:r>
          </w:p>
        </w:tc>
        <w:tc>
          <w:tcPr>
            <w:tcW w:type="dxa" w:w="2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Cuota actual</w:t>
            </w:r>
          </w:p>
        </w:tc>
        <w:tc>
          <w:tcPr>
            <w:tcW w:type="dxa" w:w="2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Objetivo</w:t>
            </w:r>
          </w:p>
        </w:tc>
      </w:tr>
      <w:tr>
        <w:trPr>
          <w:tblHeader w:val="false"/>
        </w:trPr>
        <w:tc>
          <w:tcPr>
            <w:tcW w:type="dxa" w:w="4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Conexiones concurrentes</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500</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500</w:t>
            </w:r>
          </w:p>
        </w:tc>
      </w:tr>
      <w:tr>
        <w:trPr>
          <w:tblHeader w:val="false"/>
        </w:trPr>
        <w:tc>
          <w:tcPr>
            <w:tcW w:type="dxa" w:w="4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Mensajes por segundo</w:t>
            </w:r>
          </w:p>
        </w:tc>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500</w:t>
            </w:r>
          </w:p>
        </w:tc>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w:t>
            </w:r>
          </w:p>
        </w:tc>
      </w:tr>
      <w:tr>
        <w:trPr>
          <w:tblHeader w:val="false"/>
        </w:trPr>
        <w:tc>
          <w:tcPr>
            <w:tcW w:type="dxa" w:w="4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Uniones a canal por segundo</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500</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w:t>
            </w:r>
          </w:p>
        </w:tc>
      </w:tr>
    </w:tbl>
    <w:p>
      <w:pPr>
        <w:spacing w:after="100"/>
      </w:pPr>
    </w:p>
    <w:p>
      <w:pPr>
        <w:spacing w:after="120" w:before="0" w:line="276"/>
      </w:pPr>
      <w:r>
        <w:rPr>
          <w:rFonts w:ascii="Calibri" w:cs="Calibri" w:eastAsia="Calibri" w:hAnsi="Calibri"/>
          <w:b/>
          <w:bCs/>
          <w:sz w:val="20"/>
          <w:szCs w:val="20"/>
        </w:rPr>
        <w:t xml:space="preserve">Margen: cero. </w:t>
      </w:r>
      <w:r>
        <w:rPr>
          <w:rFonts w:ascii="Calibri" w:cs="Calibri" w:eastAsia="Calibri" w:hAnsi="Calibri"/>
          <w:sz w:val="20"/>
          <w:szCs w:val="20"/>
        </w:rPr>
        <w:t xml:space="preserve">Y con dos pestañas abiertas por usuario ya se supera. El tope de gasto viene activado por defecto en el plan actual, y con él activo el exceso no se factura: se rechaza la conexión. Peor: al superar el caudal de mensajes el servidor no descarta un mensaje suelto, sino que desconecta el socket, con la reconexión masiva en cascada que eso implica.</w:t>
      </w:r>
    </w:p>
    <w:p>
      <w:pPr>
        <w:spacing w:after="120" w:before="0" w:line="276"/>
      </w:pPr>
      <w:r>
        <w:rPr>
          <w:rFonts w:ascii="Calibri" w:cs="Calibri" w:eastAsia="Calibri" w:hAnsi="Calibri"/>
          <w:sz w:val="20"/>
          <w:szCs w:val="20"/>
        </w:rPr>
        <w:t xml:space="preserve">La buena noticia: los límites son configurables por proyecto sin cambiar de plan, y el propio equipo del proveedor lo dice por escrito en su foro. Hay casos con la cuota ampliada en menos de veinticuatro horas. </w:t>
      </w:r>
      <w:r>
        <w:rPr>
          <w:rFonts w:ascii="Calibri" w:cs="Calibri" w:eastAsia="Calibri" w:hAnsi="Calibri"/>
          <w:b/>
          <w:bCs/>
          <w:sz w:val="20"/>
          <w:szCs w:val="20"/>
        </w:rPr>
        <w:t xml:space="preserve">Se escribe a soporte antes del lanzamiento, no después del incidente.</w:t>
      </w:r>
    </w:p>
    <w:p>
      <w:pPr>
        <w:spacing w:after="140"/>
      </w:pPr>
    </w:p>
    <w:p>
      <w:pPr>
        <w:pStyle w:val="Heading3"/>
        <w:spacing w:after="100" w:before="220"/>
      </w:pPr>
      <w:r>
        <w:rPr>
          <w:rFonts w:ascii="Calibri" w:cs="Calibri" w:eastAsia="Calibri" w:hAnsi="Calibri"/>
          <w:b/>
          <w:bCs/>
          <w:color w:val="07111F"/>
          <w:sz w:val="22"/>
          <w:szCs w:val="22"/>
        </w:rPr>
        <w:t xml:space="preserve">Hallazgo 2 · Un parámetro de configuración que probablemente ya no hace nada</w:t>
      </w:r>
    </w:p>
    <w:p>
      <w:pPr>
        <w:spacing w:after="120" w:before="0" w:line="276"/>
      </w:pPr>
      <w:r>
        <w:rPr>
          <w:rFonts w:ascii="Calibri" w:cs="Calibri" w:eastAsia="Calibri" w:hAnsi="Calibri"/>
          <w:sz w:val="20"/>
          <w:szCs w:val="20"/>
        </w:rPr>
        <w:t xml:space="preserve">Durante el MVP se detectó que en una ráfaga se perdían seis de veinte mensajes, y se corrigió subiendo un parámetro del cliente de tiempo real. El mecanismo real era una ventana fija: el primer mensaje pasaba y cerraba la puerta cien milisegundos, y todo lo que llegaba dentro se descartaba en silencio, sin encolarse en ninguna parte.</w:t>
      </w:r>
    </w:p>
    <w:p>
      <w:pPr>
        <w:spacing w:after="120" w:before="0" w:line="276"/>
      </w:pPr>
      <w:r>
        <w:rPr>
          <w:rFonts w:ascii="Calibri" w:cs="Calibri" w:eastAsia="Calibri" w:hAnsi="Calibri"/>
          <w:b/>
          <w:bCs/>
          <w:sz w:val="20"/>
          <w:szCs w:val="20"/>
        </w:rPr>
        <w:t xml:space="preserve">Ese parámetro fue eliminado de la biblioteca hace varias versiones. </w:t>
      </w:r>
      <w:r>
        <w:rPr>
          <w:rFonts w:ascii="Calibri" w:cs="Calibri" w:eastAsia="Calibri" w:hAnsi="Calibri"/>
          <w:sz w:val="20"/>
          <w:szCs w:val="20"/>
        </w:rPr>
        <w:t xml:space="preserve">Si el descarte se reprodujo, la versión instalada está dos años por detrás. Y si se actualiza dejando el parámetro puesto, produce la falsa sensación de haber configurado algo: no hace nada. El freno pasa del cliente al servidor, y el servidor desconecta en vez de descartar — mejor, porque el fallo deja de ser silencioso, pero exige control de ráfaga propio en el emisor.</w:t>
      </w:r>
    </w:p>
    <w:p>
      <w:pPr>
        <w:spacing w:after="140"/>
      </w:pPr>
    </w:p>
    <w:p>
      <w:pPr>
        <w:pStyle w:val="Heading3"/>
        <w:spacing w:after="100" w:before="220"/>
      </w:pPr>
      <w:r>
        <w:rPr>
          <w:rFonts w:ascii="Calibri" w:cs="Calibri" w:eastAsia="Calibri" w:hAnsi="Calibri"/>
          <w:b/>
          <w:bCs/>
          <w:color w:val="07111F"/>
          <w:sz w:val="22"/>
          <w:szCs w:val="22"/>
        </w:rPr>
        <w:t xml:space="preserve">Hallazgo 3 · El límite que no se arregla pagando, y es específicamente B2B</w:t>
      </w:r>
    </w:p>
    <w:p>
      <w:pPr>
        <w:spacing w:after="120" w:before="0" w:line="276"/>
      </w:pPr>
      <w:r>
        <w:rPr>
          <w:rFonts w:ascii="Calibri" w:cs="Calibri" w:eastAsia="Calibri" w:hAnsi="Calibri"/>
          <w:sz w:val="20"/>
          <w:szCs w:val="20"/>
        </w:rPr>
        <w:t xml:space="preserve">Los límites de autenticación se aplican por dirección de red y no son configurables: mil ochocientos refrescos de credencial por hora, trescientos sesenta verificaciones por hora, y una ráfaga máxima de treinta.</w:t>
      </w:r>
    </w:p>
    <w:p>
      <w:pPr>
        <w:spacing w:after="120" w:before="0" w:line="276"/>
      </w:pPr>
      <w:r>
        <w:rPr>
          <w:rFonts w:ascii="Calibri" w:cs="Calibri" w:eastAsia="Calibri" w:hAnsi="Calibri"/>
          <w:b/>
          <w:bCs/>
          <w:sz w:val="20"/>
          <w:szCs w:val="20"/>
        </w:rPr>
        <w:t xml:space="preserve">Los usuarios de este producto no tienen dirección individual. </w:t>
      </w:r>
      <w:r>
        <w:rPr>
          <w:rFonts w:ascii="Calibri" w:cs="Calibri" w:eastAsia="Calibri" w:hAnsi="Calibri"/>
          <w:sz w:val="20"/>
          <w:szCs w:val="20"/>
        </w:rPr>
        <w:t xml:space="preserve">Una organización cliente sale a internet por una única salida corporativa. Los treinta empleados de esa sede comparten un solo cubo. Treinta personas de la misma oficina abriendo la aplicación a las nueve de la mañana agotan la ráfaga, y las siguientes reciben un rechazo — con el proyecto lejísimos de cualquier límite global.</w:t>
      </w:r>
    </w:p>
    <w:p>
      <w:pPr>
        <w:spacing w:after="120" w:before="0" w:line="276"/>
      </w:pPr>
      <w:r>
        <w:rPr>
          <w:rFonts w:ascii="Calibri" w:cs="Calibri" w:eastAsia="Calibri" w:hAnsi="Calibri"/>
          <w:sz w:val="20"/>
          <w:szCs w:val="20"/>
        </w:rPr>
        <w:t xml:space="preserve">No se puede subir. La única mitigación vive en el cliente: dispersión aleatoria al arrancar sesión, reintento con espera creciente ante el rechazo, y no forzar refrescos innecesarios. Y con quince desafíos de segundo factor por hora y por dirección, exigir doble factor a todos los usuarios en despliegue corporativo es inviable tal cual.</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9A6700"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9A6700"/>
                <w:sz w:val="19"/>
                <w:szCs w:val="19"/>
              </w:rPr>
              <w:t xml:space="preserve">La consecuencia para el diseño de la prueba</w:t>
            </w:r>
          </w:p>
          <w:p>
            <w:pPr>
              <w:spacing w:after="0" w:line="270"/>
            </w:pPr>
            <w:r>
              <w:rPr>
                <w:rFonts w:ascii="Calibri" w:cs="Calibri" w:eastAsia="Calibri" w:hAnsi="Calibri"/>
                <w:sz w:val="18"/>
                <w:szCs w:val="18"/>
              </w:rPr>
              <w:t xml:space="preserve">Este es el fallo de carga que ninguna prueba genérica encuentra, porque solo aparece cuando se modelan usuarios agrupados por organización en lugar de usuarios independientes. La flota sintética tiene que compartir dirección de red por organización, o la prueba miente y da un falso verde.</w:t>
            </w:r>
          </w:p>
        </w:tc>
      </w:tr>
    </w:tbl>
    <w:p>
      <w:pPr>
        <w:spacing w:after="140"/>
      </w:pPr>
    </w:p>
    <w:p>
      <w:pPr>
        <w:pStyle w:val="Heading3"/>
        <w:spacing w:after="100" w:before="220"/>
      </w:pPr>
      <w:r>
        <w:rPr>
          <w:rFonts w:ascii="Calibri" w:cs="Calibri" w:eastAsia="Calibri" w:hAnsi="Calibri"/>
          <w:b/>
          <w:bCs/>
          <w:color w:val="07111F"/>
          <w:sz w:val="22"/>
          <w:szCs w:val="22"/>
        </w:rPr>
        <w:t xml:space="preserve">Hallazgo 4 · Las reglas de acceso mal escritas no son lentas, son una caída</w:t>
      </w:r>
    </w:p>
    <w:p>
      <w:pPr>
        <w:spacing w:after="120" w:before="0" w:line="276"/>
      </w:pPr>
      <w:r>
        <w:rPr>
          <w:rFonts w:ascii="Calibri" w:cs="Calibri" w:eastAsia="Calibri" w:hAnsi="Calibri"/>
          <w:sz w:val="20"/>
          <w:szCs w:val="20"/>
        </w:rPr>
        <w:t xml:space="preserve">Los benchmarks publicados por el proveedor, sobre una tabla de cien mil filas: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00"/>
      </w:tblGrid>
      <w:tr>
        <w:trPr>
          <w:tblHeader/>
        </w:trPr>
        <w:tc>
          <w:tcPr>
            <w:tcW w:type="dxa" w:w="5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Patrón de la política de acceso</w:t>
            </w:r>
          </w:p>
        </w:tc>
        <w:tc>
          <w:tcPr>
            <w:tcW w:type="dxa" w:w="2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Antes</w:t>
            </w:r>
          </w:p>
        </w:tc>
        <w:tc>
          <w:tcPr>
            <w:tcW w:type="dxa" w:w="2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Después</w:t>
            </w:r>
          </w:p>
        </w:tc>
      </w:tr>
      <w:tr>
        <w:trPr>
          <w:tblHeader w:val="false"/>
        </w:trPr>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Función sin envolver → envuelta en una subconsulta</w:t>
            </w:r>
          </w:p>
        </w:tc>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178.000 ms</w:t>
            </w:r>
          </w:p>
        </w:tc>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12 ms</w:t>
            </w:r>
          </w:p>
        </w:tc>
      </w:tr>
      <w:tr>
        <w:trPr>
          <w:tblHeader w:val="false"/>
        </w:trPr>
        <w:tc>
          <w:tcPr>
            <w:tcW w:type="dxa" w:w="5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Función con unión sin envolver → envuelta</w:t>
            </w:r>
          </w:p>
        </w:tc>
        <w:tc>
          <w:tcPr>
            <w:tcW w:type="dxa" w:w="2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B3261E"/>
                <w:sz w:val="17"/>
                <w:szCs w:val="17"/>
              </w:rPr>
              <w:t xml:space="preserve">11.000 ms</w:t>
            </w:r>
          </w:p>
        </w:tc>
        <w:tc>
          <w:tcPr>
            <w:tcW w:type="dxa" w:w="2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7 ms</w:t>
            </w:r>
          </w:p>
        </w:tc>
      </w:tr>
      <w:tr>
        <w:trPr>
          <w:tblHeader w:val="false"/>
        </w:trPr>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Unión en la dirección equivocada → invertida</w:t>
            </w:r>
          </w:p>
        </w:tc>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color w:val="B3261E"/>
                <w:sz w:val="17"/>
                <w:szCs w:val="17"/>
              </w:rPr>
              <w:t xml:space="preserve">9.000 ms</w:t>
            </w:r>
          </w:p>
        </w:tc>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20 ms</w:t>
            </w:r>
          </w:p>
        </w:tc>
      </w:tr>
      <w:tr>
        <w:trPr>
          <w:tblHeader w:val="false"/>
        </w:trPr>
        <w:tc>
          <w:tcPr>
            <w:tcW w:type="dxa" w:w="5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Columna de la política sin índice → con índice</w:t>
            </w:r>
          </w:p>
        </w:tc>
        <w:tc>
          <w:tcPr>
            <w:tcW w:type="dxa" w:w="2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171 ms</w:t>
            </w:r>
          </w:p>
        </w:tc>
        <w:tc>
          <w:tcPr>
            <w:tcW w:type="dxa" w:w="2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&lt; 0,1 ms</w:t>
            </w:r>
          </w:p>
        </w:tc>
      </w:tr>
    </w:tbl>
    <w:p>
      <w:pPr>
        <w:spacing w:after="100"/>
      </w:pPr>
    </w:p>
    <w:p>
      <w:pPr>
        <w:spacing w:after="120" w:before="0" w:line="276"/>
      </w:pPr>
      <w:r>
        <w:rPr>
          <w:rFonts w:ascii="Calibri" w:cs="Calibri" w:eastAsia="Calibri" w:hAnsi="Calibri"/>
          <w:b/>
          <w:bCs/>
          <w:sz w:val="20"/>
          <w:szCs w:val="20"/>
        </w:rPr>
        <w:t xml:space="preserve">Sin la subconsulta envolvente, la función se evalúa una vez por fila. El catálogo de V1 tiene millones de filas: es un factor de quince mil. </w:t>
      </w:r>
      <w:r>
        <w:rPr>
          <w:rFonts w:ascii="Calibri" w:cs="Calibri" w:eastAsia="Calibri" w:hAnsi="Calibri"/>
          <w:sz w:val="20"/>
          <w:szCs w:val="20"/>
        </w:rPr>
        <w:t xml:space="preserve">Cuatro reglas mecánicas y auditables: toda función de una política va envuelta; toda columna usada en una política lleva índice; toda política declara el rol al que aplica; las uniones van en la dirección que filtra primero. Y una quinta que casi nadie aplica: repetir el filtro de organización en la consulta del cliente aunque la política ya lo garantice. La seguridad a nivel de fila es la red de seguridad, no el plan de ejecución.</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3261E"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B3261E"/>
                <w:sz w:val="19"/>
                <w:szCs w:val="19"/>
              </w:rPr>
              <w:t xml:space="preserve">La regla de diseño que se deriva de todo esto</w:t>
            </w:r>
          </w:p>
          <w:p>
            <w:pPr>
              <w:spacing w:after="0" w:line="270"/>
            </w:pPr>
            <w:r>
              <w:rPr>
                <w:rFonts w:ascii="Calibri" w:cs="Calibri" w:eastAsia="Calibri" w:hAnsi="Calibri"/>
                <w:sz w:val="18"/>
                <w:szCs w:val="18"/>
              </w:rPr>
              <w:t xml:space="preserve">Toda prueba de carga debe afirmar aislamiento de datos, no solo latencia. Una prueba que mide el percentil noventa y cinco y no comprueba que la organización A nunca ve filas de la B pasaría por encima de una fuga bajo contención. En este producto concreto, eso es el fallo que no se puede permitir.</w:t>
            </w:r>
          </w:p>
        </w:tc>
      </w:tr>
    </w:tbl>
    <w:p>
      <w:pPr>
        <w:spacing w:after="140"/>
      </w:pPr>
    </w:p>
    <w:p>
      <w:pPr>
        <w:pStyle w:val="Heading3"/>
        <w:spacing w:after="100" w:before="220"/>
      </w:pPr>
      <w:r>
        <w:rPr>
          <w:rFonts w:ascii="Calibri" w:cs="Calibri" w:eastAsia="Calibri" w:hAnsi="Calibri"/>
          <w:b/>
          <w:bCs/>
          <w:color w:val="07111F"/>
          <w:sz w:val="22"/>
          <w:szCs w:val="22"/>
        </w:rPr>
        <w:t xml:space="preserve">Hallazgo 5 · La prueba de 500 navegadores es la que menos información aporta</w:t>
      </w:r>
    </w:p>
    <w:p>
      <w:pPr>
        <w:spacing w:after="120" w:before="0" w:line="276"/>
      </w:pPr>
      <w:r>
        <w:rPr>
          <w:rFonts w:ascii="Calibri" w:cs="Calibri" w:eastAsia="Calibri" w:hAnsi="Calibri"/>
          <w:sz w:val="20"/>
          <w:szCs w:val="20"/>
        </w:rPr>
        <w:t xml:space="preserve">La derivación de clave se ejecuta en el procesador del usuario. Quinientos usuarios derivando claves a la vez cuestan al servidor exactamente cero. Montar quinientos navegadores reales mide la granja de generación de carga, no el producto — y una sesión de navegador con el montón de memoria del módulo criptográfico ronda los seiscientos megabytes, con contención real por encima de veinte o veinticinco instancias por máquina.</w:t>
      </w:r>
    </w:p>
    <w:p>
      <w:pPr>
        <w:spacing w:after="120" w:before="0" w:line="276"/>
      </w:pPr>
      <w:r>
        <w:rPr>
          <w:rFonts w:ascii="Calibri" w:cs="Calibri" w:eastAsia="Calibri" w:hAnsi="Calibri"/>
          <w:sz w:val="20"/>
          <w:szCs w:val="20"/>
        </w:rPr>
        <w:t xml:space="preserve">La descomposición correcta son cuatro preguntas distintas con cuatro instrumentos distintos: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3900"/>
        <w:gridCol w:w="1800"/>
      </w:tblGrid>
      <w:tr>
        <w:trPr>
          <w:tblHeader/>
        </w:trPr>
        <w:tc>
          <w:tcPr>
            <w:tcW w:type="dxa" w:w="3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Pregunta</w:t>
            </w:r>
          </w:p>
        </w:tc>
        <w:tc>
          <w:tcPr>
            <w:tcW w:type="dxa" w:w="39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Cómo se responde</w:t>
            </w:r>
          </w:p>
        </w:tc>
        <w:tc>
          <w:tcPr>
            <w:tcW w:type="dxa" w:w="18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Coste/hora</w:t>
            </w:r>
          </w:p>
        </w:tc>
      </w:tr>
      <w:tr>
        <w:trPr>
          <w:tblHeader w:val="false"/>
        </w:trPr>
        <w:tc>
          <w:tcPr>
            <w:tcW w:type="dxa" w:w="3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¿Cuánto tarda la derivación de clave en el peor dispositivo?</w:t>
            </w:r>
          </w:p>
        </w:tc>
        <w:tc>
          <w:tcPr>
            <w:tcW w:type="dxa" w:w="3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 teléfono de gama media real y una medición directa. Muestra de uno</w:t>
            </w:r>
          </w:p>
        </w:tc>
        <w:tc>
          <w:tcPr>
            <w:tcW w:type="dxa" w:w="1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288 € una vez</w:t>
            </w:r>
          </w:p>
        </w:tc>
      </w:tr>
      <w:tr>
        <w:trPr>
          <w:tblHeader w:val="false"/>
        </w:trPr>
        <w:tc>
          <w:tcPr>
            <w:tcW w:type="dxa" w:w="3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¿Aguanta el backend 500 concurrentes?</w:t>
            </w:r>
          </w:p>
        </w:tc>
        <w:tc>
          <w:tcPr>
            <w:tcW w:type="dxa" w:w="3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Carga por protocolo con paquetes criptográficos pregenerados: claves y cifrados reales, generados fuera de línea y reproducidos</w:t>
            </w:r>
          </w:p>
        </w:tc>
        <w:tc>
          <w:tcPr>
            <w:tcW w:type="dxa" w:w="1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0,11 €</w:t>
            </w:r>
          </w:p>
        </w:tc>
      </w:tr>
      <w:tr>
        <w:trPr>
          <w:tblHeader w:val="false"/>
        </w:trPr>
        <w:tc>
          <w:tcPr>
            <w:tcW w:type="dxa" w:w="3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 degrada la experiencia real bajo esa carga?</w:t>
            </w:r>
          </w:p>
        </w:tc>
        <w:tc>
          <w:tcPr>
            <w:tcW w:type="dxa" w:w="3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Veinticinco navegadores reales en paralelo, como muestreo cualitativo</w:t>
            </w:r>
          </w:p>
        </w:tc>
        <w:tc>
          <w:tcPr>
            <w:tcW w:type="dxa" w:w="1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0,22 €</w:t>
            </w:r>
          </w:p>
        </w:tc>
      </w:tr>
      <w:tr>
        <w:trPr>
          <w:tblHeader w:val="false"/>
        </w:trPr>
        <w:tc>
          <w:tcPr>
            <w:tcW w:type="dxa" w:w="3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¿Se pierden mensajes al llegar a la cuota?</w:t>
            </w:r>
          </w:p>
        </w:tc>
        <w:tc>
          <w:tcPr>
            <w:tcW w:type="dxa" w:w="3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Suscripciones concurrentes con número de secuencia y contador de huecos</w:t>
            </w:r>
          </w:p>
        </w:tc>
        <w:tc>
          <w:tcPr>
            <w:tcW w:type="dxa" w:w="1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0,11 €</w:t>
            </w:r>
          </w:p>
        </w:tc>
      </w:tr>
    </w:tbl>
    <w:p>
      <w:pPr>
        <w:spacing w:after="120"/>
      </w:pPr>
    </w:p>
    <w:p>
      <w:pPr>
        <w:spacing w:after="120" w:before="0" w:line="276"/>
      </w:pPr>
      <w:r>
        <w:rPr>
          <w:rFonts w:ascii="Calibri" w:cs="Calibri" w:eastAsia="Calibri" w:hAnsi="Calibri"/>
          <w:b/>
          <w:bCs/>
          <w:sz w:val="20"/>
          <w:szCs w:val="20"/>
        </w:rPr>
        <w:t xml:space="preserve">Pregenerar los paquetes criptográficos es la clave: el servidor no distingue, y se mide lo que importa. </w:t>
      </w:r>
      <w:r>
        <w:rPr>
          <w:rFonts w:ascii="Calibri" w:cs="Calibri" w:eastAsia="Calibri" w:hAnsi="Calibri"/>
          <w:sz w:val="20"/>
          <w:szCs w:val="20"/>
        </w:rPr>
        <w:t xml:space="preserve">El contraste de precio es brutal: la misma prueba cuesta once céntimos con generación propia por protocolo, unos pocos euros con navegadores propios, o alrededor de seiscientos setenta y cinco dólares en una plataforma gestionada, por el multiplicador que aplican a los usuarios de navegador.</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4B7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B4B7A"/>
                <w:sz w:val="19"/>
                <w:szCs w:val="19"/>
              </w:rPr>
              <w:t xml:space="preserve">Ninguna herramienta mide pérdida de mensajes de fábrica</w:t>
            </w:r>
          </w:p>
          <w:p>
            <w:pPr>
              <w:spacing w:after="0" w:line="270"/>
            </w:pPr>
            <w:r>
              <w:rPr>
                <w:rFonts w:ascii="Calibri" w:cs="Calibri" w:eastAsia="Calibri" w:hAnsi="Calibri"/>
                <w:sz w:val="18"/>
                <w:szCs w:val="18"/>
              </w:rPr>
              <w:t xml:space="preserve">Ni la que usaremos ni sus competidoras. Hay que instrumentarlo, y es sencillo: número de secuencia por emisor en cada mensaje, contador de huecos en cada suscriptor, y un umbral que hace fallar la prueba si se pierde uno solo.</w:t>
            </w:r>
          </w:p>
          <w:p>
            <w:pPr>
              <w:spacing w:after="0" w:line="270"/>
            </w:pPr>
            <w:r>
              <w:rPr>
                <w:rFonts w:ascii="Calibri" w:cs="Calibri" w:eastAsia="Calibri" w:hAnsi="Calibri"/>
                <w:sz w:val="18"/>
                <w:szCs w:val="18"/>
              </w:rPr>
              <w:t xml:space="preserve">Sin eso, una prueba de tiempo real que solo mide latencia es engañosa: el servicio puede tener un percentil noventa y nueve excelente y estar tirando mensajes en silencio. En una plataforma de negociación, un mensaje perdido es una oferta perdida.</w:t>
            </w:r>
          </w:p>
          <w:p>
            <w:pPr>
              <w:spacing w:after="0" w:line="270"/>
            </w:pPr>
            <w:r>
              <w:rPr>
                <w:rFonts w:ascii="Calibri" w:cs="Calibri" w:eastAsia="Calibri" w:hAnsi="Calibri"/>
                <w:sz w:val="18"/>
                <w:szCs w:val="18"/>
              </w:rPr>
              <w:t xml:space="preserve">El punto de partida no es escribir guiones desde cero: el propio proveedor publica en abierto el arnés con el que mide su servicio de tiempo real, y han llegado a doscientos mil usuarios virtuales con él.</w:t>
            </w:r>
          </w:p>
        </w:tc>
      </w:tr>
    </w:tbl>
    <w:p>
      <w:pPr>
        <w:spacing w:after="160"/>
      </w:pPr>
    </w:p>
    <w:p>
      <w:pPr>
        <w:pStyle w:val="Heading2"/>
        <w:spacing w:after="140" w:before="280"/>
      </w:pPr>
      <w:r>
        <w:rPr>
          <w:rFonts w:ascii="Calibri" w:cs="Calibri" w:eastAsia="Calibri" w:hAnsi="Calibri"/>
          <w:b/>
          <w:bCs/>
          <w:color w:val="1B4B7A"/>
          <w:sz w:val="26"/>
          <w:szCs w:val="26"/>
        </w:rPr>
        <w:t xml:space="preserve">5.3 · Lo que cuesta verificar este producto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00"/>
      </w:tblGrid>
      <w:tr>
        <w:trPr>
          <w:tblHeader/>
        </w:trPr>
        <w:tc>
          <w:tcPr>
            <w:tcW w:type="dxa" w:w="4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Concepto</w:t>
            </w:r>
          </w:p>
        </w:tc>
        <w:tc>
          <w:tcPr>
            <w:tcW w:type="dxa" w:w="2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Una vez</w:t>
            </w:r>
          </w:p>
        </w:tc>
        <w:tc>
          <w:tcPr>
            <w:tcW w:type="dxa" w:w="2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Mensual</w:t>
            </w:r>
          </w:p>
        </w:tc>
      </w:tr>
      <w:tr>
        <w:trPr>
          <w:tblHeader w:val="false"/>
        </w:trPr>
        <w:tc>
          <w:tcPr>
            <w:tcW w:type="dxa" w:w="4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Teléfono de gama media para medir el peor caso de derivación de clave</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288 €</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w:t>
            </w:r>
          </w:p>
        </w:tc>
      </w:tr>
      <w:tr>
        <w:trPr>
          <w:tblHeader w:val="false"/>
        </w:trPr>
        <w:tc>
          <w:tcPr>
            <w:tcW w:type="dxa" w:w="4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Plataforma de navegadores y dispositivos, para amplitud de versiones</w:t>
            </w:r>
          </w:p>
        </w:tc>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w:t>
            </w:r>
          </w:p>
        </w:tc>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 36 €</w:t>
            </w:r>
          </w:p>
        </w:tc>
      </w:tr>
      <w:tr>
        <w:trPr>
          <w:tblHeader w:val="false"/>
        </w:trPr>
        <w:tc>
          <w:tcPr>
            <w:tcW w:type="dxa" w:w="4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Generación de carga bajo demanda</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 1 €</w:t>
            </w:r>
          </w:p>
        </w:tc>
      </w:tr>
      <w:tr>
        <w:trPr>
          <w:tblHeader w:val="false"/>
        </w:trPr>
        <w:tc>
          <w:tcPr>
            <w:tcW w:type="dxa" w:w="4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Herramientas de carga, vectores criptográficos, pruebas de propiedad, mutación y arnés de tiempo real</w:t>
            </w:r>
          </w:p>
        </w:tc>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0 €</w:t>
            </w:r>
          </w:p>
        </w:tc>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0 €</w:t>
            </w:r>
          </w:p>
        </w:tc>
      </w:tr>
      <w:tr>
        <w:trPr>
          <w:tblHeader w:val="false"/>
        </w:trPr>
        <w:tc>
          <w:tcPr>
            <w:tcW w:type="dxa" w:w="46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Total</w:t>
            </w:r>
          </w:p>
        </w:tc>
        <w:tc>
          <w:tcPr>
            <w:tcW w:type="dxa" w:w="22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288 €</w:t>
            </w:r>
          </w:p>
        </w:tc>
        <w:tc>
          <w:tcPr>
            <w:tcW w:type="dxa" w:w="22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 37 €</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E6B3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E6B3A"/>
                <w:sz w:val="19"/>
                <w:szCs w:val="19"/>
              </w:rPr>
              <w:t xml:space="preserve">El titular de este capítulo</w:t>
            </w:r>
          </w:p>
          <w:p>
            <w:pPr>
              <w:spacing w:after="0" w:line="270"/>
            </w:pPr>
            <w:r>
              <w:rPr>
                <w:rFonts w:ascii="Calibri" w:cs="Calibri" w:eastAsia="Calibri" w:hAnsi="Calibri"/>
                <w:sz w:val="18"/>
                <w:szCs w:val="18"/>
              </w:rPr>
              <w:t xml:space="preserve">Probar este producto con el rigor que exige no cuesta dinero: cuesta diseño. Trescientos euros de material y menos de cuarenta al mes. Y el diseño de pruebas es trabajo de alto volumen, mecánico y perfectamente paralelizable — es decir, exactamente lo que mejor hacen los agentes con el modelo más barato del catálogo.</w:t>
            </w:r>
          </w:p>
        </w:tc>
      </w:tr>
    </w:tbl>
    <w:p>
      <w:r>
        <w:br w:type="page"/>
      </w:r>
    </w:p>
    <w:p>
      <w:pPr>
        <w:pStyle w:val="Heading2"/>
        <w:spacing w:after="140" w:before="280"/>
      </w:pPr>
      <w:r>
        <w:rPr>
          <w:rFonts w:ascii="Calibri" w:cs="Calibri" w:eastAsia="Calibri" w:hAnsi="Calibri"/>
          <w:b/>
          <w:bCs/>
          <w:color w:val="1B4B7A"/>
          <w:sz w:val="26"/>
          <w:szCs w:val="26"/>
        </w:rPr>
        <w:t xml:space="preserve">5.4 · Utillaje externo: qué se adopta y qué no</w:t>
      </w:r>
    </w:p>
    <w:p>
      <w:pPr>
        <w:spacing w:after="120" w:before="0" w:line="276"/>
      </w:pPr>
      <w:r>
        <w:rPr>
          <w:rFonts w:ascii="Calibri" w:cs="Calibri" w:eastAsia="Calibri" w:hAnsi="Calibri"/>
          <w:sz w:val="20"/>
          <w:szCs w:val="20"/>
        </w:rPr>
        <w:t xml:space="preserve">Se ha evaluado un conjunto de herramientas de revisión asistida por agentes, de licencia permisiva y amplia adopción en el sector, publicado por una figura reconocida del capital riesgo tecnológico. Son cincuenta y tres flujos de trabajo en formato de texto, más un navegador propio. La calidad de su código está muy por encima de la media: registro de auditoría con recibo y huella por cada salida de red, comparación de credenciales en tiempo constante, servicios atados exclusivamente a la interfaz local, telemetría apagada por defecto y con redacción a prueba de fallos, y sin scripts de instalación automática en sus dependencias.</w:t>
      </w:r>
    </w:p>
    <w:p>
      <w:pPr>
        <w:spacing w:after="80"/>
      </w:pPr>
    </w:p>
    <w:p>
      <w:pPr>
        <w:pStyle w:val="Heading3"/>
        <w:spacing w:after="100" w:before="220"/>
      </w:pPr>
      <w:r>
        <w:rPr>
          <w:rFonts w:ascii="Calibri" w:cs="Calibri" w:eastAsia="Calibri" w:hAnsi="Calibri"/>
          <w:b/>
          <w:bCs/>
          <w:color w:val="07111F"/>
          <w:sz w:val="22"/>
          <w:szCs w:val="22"/>
        </w:rPr>
        <w:t xml:space="preserve">Lo que aporta, y es real</w:t>
      </w:r>
    </w:p>
    <w:p>
      <w:pPr>
        <w:spacing w:after="120" w:before="0" w:line="276"/>
      </w:pPr>
      <w:r>
        <w:rPr>
          <w:rFonts w:ascii="Calibri" w:cs="Calibri" w:eastAsia="Calibri" w:hAnsi="Calibri"/>
          <w:b/>
          <w:bCs/>
          <w:sz w:val="20"/>
          <w:szCs w:val="20"/>
        </w:rPr>
        <w:t xml:space="preserve">Su flujo de revisión de código es la mejor implementación disponible de lo que este plan llama separación adversaria. </w:t>
      </w:r>
      <w:r>
        <w:rPr>
          <w:rFonts w:ascii="Calibri" w:cs="Calibri" w:eastAsia="Calibri" w:hAnsi="Calibri"/>
          <w:sz w:val="20"/>
          <w:szCs w:val="20"/>
        </w:rPr>
        <w:t xml:space="preserve">Reparte el trabajo entre hasta nueve agentes —siete especialistas con puertas por ámbito, un equipo rojo y un revisor de contexto limpio— y, sobre todo, impone una puerta de verificación antes de emitir nada: para promover un hallazgo hay que citar textualmente la línea de código que lo motiva; si no se puede citar, la confianza se degrada y el hallazgo desaparece del informe.</w:t>
      </w:r>
    </w:p>
    <w:p>
      <w:pPr>
        <w:spacing w:after="120" w:before="0" w:line="276"/>
      </w:pPr>
      <w:r>
        <w:rPr>
          <w:rFonts w:ascii="Calibri" w:cs="Calibri" w:eastAsia="Calibri" w:hAnsi="Calibri"/>
          <w:sz w:val="20"/>
          <w:szCs w:val="20"/>
        </w:rPr>
        <w:t xml:space="preserve">Eso es, exactamente, el antídoto contra los tres casos de prueba en verde sin comprobar nada que produjo el MVP. Añade además fusión de hallazgos coincidentes entre especialistas y supresión de lo ya descartado en revisiones anteriores cuando el fichero no ha cambiado.</w:t>
      </w:r>
    </w:p>
    <w:p>
      <w:pPr>
        <w:spacing w:after="120" w:before="0" w:line="276"/>
      </w:pPr>
      <w:r>
        <w:rPr>
          <w:rFonts w:ascii="Calibri" w:cs="Calibri" w:eastAsia="Calibri" w:hAnsi="Calibri"/>
          <w:sz w:val="20"/>
          <w:szCs w:val="20"/>
        </w:rPr>
        <w:t xml:space="preserve">Aporta también un mecanismo de congelación por directorio que bloquea ediciones fuera de un ámbito declarado. Es literalmente la herramienta que hace cumplir la separación entre la corriente de núcleo y la de fábrica del capítulo siguiente.</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9A6700"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9A6700"/>
                <w:sz w:val="19"/>
                <w:szCs w:val="19"/>
              </w:rPr>
              <w:t xml:space="preserve">Y lo que NO aporta, que es justo lo que más importa aquí</w:t>
            </w:r>
          </w:p>
          <w:p>
            <w:pPr>
              <w:spacing w:after="0" w:line="270"/>
            </w:pPr>
            <w:r>
              <w:rPr>
                <w:rFonts w:ascii="Calibri" w:cs="Calibri" w:eastAsia="Calibri" w:hAnsi="Calibri"/>
                <w:sz w:val="18"/>
                <w:szCs w:val="18"/>
              </w:rPr>
              <w:t xml:space="preserve">Su revisión de seguridad cubre el catálogo genérico de vulnerabilidades web y algunos olores criptográficos —generadores aleatorios inseguros, comparaciones no constantes, claves en el código— pero no toca criptografía de protocolo: nada sobre cifrado extremo a extremo, gestión de claves de cliente ni el modelo de conocimiento cero. Los vectores públicos, los tres invariantes y la prueba contra reutilización de nonce del §5.2 los seguimos construyendo nosotros.</w:t>
            </w:r>
          </w:p>
          <w:p>
            <w:pPr>
              <w:spacing w:after="0" w:line="270"/>
            </w:pPr>
            <w:r>
              <w:rPr>
                <w:rFonts w:ascii="Calibri" w:cs="Calibri" w:eastAsia="Calibri" w:hAnsi="Calibri"/>
                <w:sz w:val="18"/>
                <w:szCs w:val="18"/>
              </w:rPr>
              <w:t xml:space="preserve">Y declara explícitamente que no puede verificar las reglas de acceso a datos: las clasifica como estado externo no verificable desde un cambio de código. Es decir, deja fuera nuestro mayor riesgo de degradación, el factor de quince mil de una política mal escrita.</w:t>
            </w:r>
          </w:p>
          <w:p>
            <w:pPr>
              <w:spacing w:after="0" w:line="270"/>
            </w:pPr>
            <w:r>
              <w:rPr>
                <w:rFonts w:ascii="Calibri" w:cs="Calibri" w:eastAsia="Calibri" w:hAnsi="Calibri"/>
                <w:sz w:val="18"/>
                <w:szCs w:val="18"/>
              </w:rPr>
              <w:t xml:space="preserve">Tampoco mide cobertura, ni genera pruebas a partir de una especificación, ni cubre carga o concurrencia.</w:t>
            </w:r>
          </w:p>
          <w:p>
            <w:pPr>
              <w:spacing w:after="0" w:line="270"/>
            </w:pPr>
            <w:r>
              <w:rPr>
                <w:rFonts w:ascii="Calibri" w:cs="Calibri" w:eastAsia="Calibri" w:hAnsi="Calibri"/>
                <w:sz w:val="18"/>
                <w:szCs w:val="18"/>
              </w:rPr>
              <w:t xml:space="preserve">Conclusión: refuerza el nivel 1 de verificación y no toca los niveles 2, 4 ni 5. Es un complemento del plan, no un sustituto de ninguna de sus partes.</w:t>
            </w:r>
          </w:p>
        </w:tc>
      </w:tr>
    </w:tbl>
    <w:p>
      <w:pPr>
        <w:spacing w:after="140"/>
      </w:pPr>
    </w:p>
    <w:p>
      <w:pPr>
        <w:pStyle w:val="Heading3"/>
        <w:spacing w:after="100" w:before="220"/>
      </w:pPr>
      <w:r>
        <w:rPr>
          <w:rFonts w:ascii="Calibri" w:cs="Calibri" w:eastAsia="Calibri" w:hAnsi="Calibri"/>
          <w:b/>
          <w:bCs/>
          <w:color w:val="07111F"/>
          <w:sz w:val="22"/>
          <w:szCs w:val="22"/>
        </w:rPr>
        <w:t xml:space="preserve">Las dos razones por las que se adopta recortado</w:t>
      </w:r>
    </w:p>
    <w:p>
      <w:pPr>
        <w:spacing w:after="120" w:before="0" w:line="276"/>
      </w:pPr>
      <w:r>
        <w:rPr>
          <w:rFonts w:ascii="Calibri" w:cs="Calibri" w:eastAsia="Calibri" w:hAnsi="Calibri"/>
          <w:b/>
          <w:bCs/>
          <w:sz w:val="20"/>
          <w:szCs w:val="20"/>
        </w:rPr>
        <w:t xml:space="preserve">Cadena de suministro. </w:t>
      </w:r>
      <w:r>
        <w:rPr>
          <w:rFonts w:ascii="Calibri" w:cs="Calibri" w:eastAsia="Calibri" w:hAnsi="Calibri"/>
          <w:sz w:val="20"/>
          <w:szCs w:val="20"/>
        </w:rPr>
        <w:t xml:space="preserve">Su modo equipo registra un enganche que, al abrir cada sesión, descarga la rama principal de un repositorio de terceros y ejecuta su instalador de dos mil quinientas líneas, en segundo plano y en silencio, sin verificación de firma ni de huella. Viene apagado por defecto, pero el propio asistente de actualización ofrece una opción que lo activa sin explicar que eso es lo que hace. En la máquina donde se escribe la criptografía de un producto de conocimiento cero, eso convierte la frontera de confianza en la cuenta de código de un tercero. Es incompatible con el principio de corrección antes que velocidad.</w:t>
      </w:r>
    </w:p>
    <w:p>
      <w:pPr>
        <w:spacing w:after="120" w:before="0" w:line="276"/>
      </w:pPr>
      <w:r>
        <w:rPr>
          <w:rFonts w:ascii="Calibri" w:cs="Calibri" w:eastAsia="Calibri" w:hAnsi="Calibri"/>
          <w:b/>
          <w:bCs/>
          <w:sz w:val="20"/>
          <w:szCs w:val="20"/>
        </w:rPr>
        <w:t xml:space="preserve">Complejidad prematura. </w:t>
      </w:r>
      <w:r>
        <w:rPr>
          <w:rFonts w:ascii="Calibri" w:cs="Calibri" w:eastAsia="Calibri" w:hAnsi="Calibri"/>
          <w:sz w:val="20"/>
          <w:szCs w:val="20"/>
        </w:rPr>
        <w:t xml:space="preserve">El conjunto completo son mil trescientos ficheros, una extensión de navegador con permisos sobre todas las páginas, un túnel hacia el exterior, la descarga de un modelo de más de cien megabytes sin verificar su huella, y un sistema de memoria propio. Adoptarlo entero para un equipo de una persona es exactamente lo que el quinto principio del proyecto prohíbe. Se adopta la cuarta parte que resuelve un problema real y se deja fuera el resto.</w:t>
      </w:r>
    </w:p>
    <w:p>
      <w:pPr>
        <w:spacing w:after="140"/>
      </w:pPr>
    </w:p>
    <w:p>
      <w:pPr>
        <w:pStyle w:val="Heading3"/>
        <w:spacing w:after="100" w:before="220"/>
      </w:pPr>
      <w:r>
        <w:rPr>
          <w:rFonts w:ascii="Calibri" w:cs="Calibri" w:eastAsia="Calibri" w:hAnsi="Calibri"/>
          <w:b/>
          <w:bCs/>
          <w:color w:val="07111F"/>
          <w:sz w:val="22"/>
          <w:szCs w:val="22"/>
        </w:rPr>
        <w:t xml:space="preserve">La postura adoptada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100"/>
      </w:tblGrid>
      <w:tr>
        <w:trPr>
          <w:tblHeader/>
        </w:trPr>
        <w:tc>
          <w:tcPr>
            <w:tcW w:type="dxa" w:w="29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Se adopta ya</w:t>
            </w:r>
          </w:p>
        </w:tc>
        <w:tc>
          <w:tcPr>
            <w:tcW w:type="dxa" w:w="3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Más adelante</w:t>
            </w:r>
          </w:p>
        </w:tc>
        <w:tc>
          <w:tcPr>
            <w:tcW w:type="dxa" w:w="31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Prohibido en este proyecto</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Revisión de código sobre la corriente de núcleo</w:t>
            </w:r>
          </w:p>
        </w:tc>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Revisión de seguridad como prefiltro antes de la auditoría externa</w:t>
            </w:r>
          </w:p>
        </w:tc>
        <w:tc>
          <w:tcPr>
            <w:tcW w:type="dxa" w:w="3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Modo equipo e imposición del utillaje al equipo</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Congelación de directorio para aislar el módulo criptográfico</w:t>
            </w:r>
          </w:p>
        </w:tc>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Barridos exploratorios de interfaz</w:t>
            </w:r>
          </w:p>
        </w:tc>
        <w:tc>
          <w:tcPr>
            <w:tcW w:type="dxa" w:w="3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Túnel hacia el exterior y emparejamiento de agentes remotos</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Redacción de criterios de aceptación para los 182 escenarios</w:t>
            </w:r>
          </w:p>
        </w:tc>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Higiene de proceso y retrospectivas</w:t>
            </w:r>
          </w:p>
        </w:tc>
        <w:tc>
          <w:tcPr>
            <w:tcW w:type="dxa" w:w="3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Extensión de navegador y navegador dentro del árbol del repositorio</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Investigación de causa raíz antes del arreglo</w:t>
            </w:r>
          </w:p>
        </w:tc>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
            </w:r>
          </w:p>
        </w:tc>
        <w:tc>
          <w:tcPr>
            <w:tcW w:type="dxa" w:w="3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Sistema de memoria externo, motor de maquetación propio y los flujos de plataforma móvil</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4B7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B4B7A"/>
                <w:sz w:val="19"/>
                <w:szCs w:val="19"/>
              </w:rPr>
              <w:t xml:space="preserve">Condiciones de instalación, y son parte de la decisión</w:t>
            </w:r>
          </w:p>
          <w:p>
            <w:pPr>
              <w:spacing w:after="0" w:line="270"/>
            </w:pPr>
            <w:r>
              <w:rPr>
                <w:rFonts w:ascii="Calibri" w:cs="Calibri" w:eastAsia="Calibri" w:hAnsi="Calibri"/>
                <w:sz w:val="18"/>
                <w:szCs w:val="18"/>
              </w:rPr>
              <w:t xml:space="preserve">Modo aislado, nunca modo equipo. Versión fijada al commit auditado, en cabeza separada, de modo que cualquier actualización falle en voz alta en vez de aplicarse sola. Los cinco interruptores de red apagados: actualización automática, comprobación de versión, emparejamiento remoto, telemetría y sincronización de artefactos. Y el navegador arrancado siempre fuera del árbol del repositorio, porque escribe credenciales de sesión en claro en el directorio del proyecto y modifica su fichero de exclusiones sin pedirlo.</w:t>
            </w:r>
          </w:p>
          <w:p>
            <w:pPr>
              <w:spacing w:after="0" w:line="270"/>
            </w:pPr>
            <w:r>
              <w:rPr>
                <w:rFonts w:ascii="Calibri" w:cs="Calibri" w:eastAsia="Calibri" w:hAnsi="Calibri"/>
                <w:sz w:val="18"/>
                <w:szCs w:val="18"/>
              </w:rPr>
              <w:t xml:space="preserve">Existe un script de instalación endurecida que aplica y verifica todo lo anterior, con comprobación posterior de que no queda ningún enganche registrado y de que el repositorio del producto no ha sido tocado.</w:t>
            </w:r>
          </w:p>
          <w:p>
            <w:pPr>
              <w:spacing w:after="0" w:line="270"/>
            </w:pPr>
            <w:r>
              <w:rPr>
                <w:rFonts w:ascii="Calibri" w:cs="Calibri" w:eastAsia="Calibri" w:hAnsi="Calibri"/>
                <w:sz w:val="18"/>
                <w:szCs w:val="18"/>
              </w:rPr>
              <w:t xml:space="preserve">Disciplina de coste: la revisión de nueve agentes se aplica a los cambios de esquema, criptografía y capa de datos, donde un error es irreversible. No a cada pantalla. Su propia documentación registra invocaciones de quince millones de tokens, que a precio del modelo de orquestación son decenas de euros por pasada.</w:t>
            </w:r>
          </w:p>
        </w:tc>
      </w:tr>
    </w:tbl>
    <w:p>
      <w:r>
        <w:br w:type="page"/>
      </w:r>
    </w:p>
    <w:p>
      <w:pPr>
        <w:pStyle w:val="Heading1"/>
        <w:spacing w:after="200" w:before="360"/>
      </w:pPr>
      <w:r>
        <w:rPr>
          <w:rFonts w:ascii="Calibri" w:cs="Calibri" w:eastAsia="Calibri" w:hAnsi="Calibri"/>
          <w:b/>
          <w:bCs/>
          <w:color w:val="07111F"/>
          <w:sz w:val="32"/>
          <w:szCs w:val="32"/>
        </w:rPr>
        <w:t xml:space="preserve">6 · El plan: tres corrientes concurrentes</w:t>
      </w:r>
    </w:p>
    <w:p>
      <w:pPr>
        <w:spacing w:after="120" w:before="0" w:line="276"/>
      </w:pPr>
      <w:r>
        <w:rPr>
          <w:rFonts w:ascii="Calibri" w:cs="Calibri" w:eastAsia="Calibri" w:hAnsi="Calibri"/>
          <w:b/>
          <w:bCs/>
          <w:sz w:val="20"/>
          <w:szCs w:val="20"/>
        </w:rPr>
        <w:t xml:space="preserve">Diez fases secuenciales eran la forma equivocada de organizar trabajo de agentes. </w:t>
      </w:r>
      <w:r>
        <w:rPr>
          <w:rFonts w:ascii="Calibri" w:cs="Calibri" w:eastAsia="Calibri" w:hAnsi="Calibri"/>
          <w:sz w:val="20"/>
          <w:szCs w:val="20"/>
        </w:rPr>
        <w:t xml:space="preserve">Lo que sigue las sustituye por tres corrientes que corren a la vez, cada una con su naturaleza, su grado de paralelismo y su criterio de cierre.</w:t>
      </w:r>
    </w:p>
    <w:p>
      <w:pPr>
        <w:spacing w:after="120"/>
      </w:pPr>
    </w:p>
    <w:p>
      <w:pPr>
        <w:pStyle w:val="Heading2"/>
        <w:spacing w:after="140" w:before="280"/>
      </w:pPr>
      <w:r>
        <w:rPr>
          <w:rFonts w:ascii="Calibri" w:cs="Calibri" w:eastAsia="Calibri" w:hAnsi="Calibri"/>
          <w:b/>
          <w:bCs/>
          <w:color w:val="1B4B7A"/>
          <w:sz w:val="26"/>
          <w:szCs w:val="26"/>
        </w:rPr>
        <w:t xml:space="preserve">6.1 · Las tres corrientes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0"/>
      </w:tblGrid>
      <w:tr>
        <w:trPr>
          <w:tblHeader/>
        </w:trPr>
        <w:tc>
          <w:tcPr>
            <w:tcW w:type="dxa" w:w="19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Corriente</w:t>
            </w:r>
          </w:p>
        </w:tc>
        <w:tc>
          <w:tcPr>
            <w:tcW w:type="dxa" w:w="1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Paralelismo</w:t>
            </w:r>
          </w:p>
        </w:tc>
        <w:tc>
          <w:tcPr>
            <w:tcW w:type="dxa" w:w="5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Qué contiene y por qué</w:t>
            </w:r>
          </w:p>
        </w:tc>
      </w:tr>
      <w:tr>
        <w:trPr>
          <w:tblHeader w:val="false"/>
        </w:trPr>
        <w:tc>
          <w:tcPr>
            <w:tcW w:type="dxa" w:w="1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A · Núcleo</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Ninguno</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Esquema y migraciones, criptografía, contratos de la capa de datos, políticas de acceso, herramientas del agente. Es la espina dorsal y marca el ritmo. No se paraleliza por dos razones: las migraciones son ordenadas y dos agentes escribiéndolas a la vez producen conflictos silenciosos, y en criptografía un error es irreversible y no avisa. Paralelizar aquí compra días y arriesga el producto</w:t>
            </w:r>
          </w:p>
        </w:tc>
      </w:tr>
      <w:tr>
        <w:trPr>
          <w:tblHeader w:val="false"/>
        </w:trPr>
        <w:tc>
          <w:tcPr>
            <w:tcW w:type="dxa" w:w="1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B · Fábrica</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Hasta 4 agentes</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Las veinticuatro pantallas. Cada una es una unidad independiente: diseño aprobado, especificación cerrada, contrato de datos. Caso de libro para abanico de agentes en árboles de trabajo separados. Se abre en cuanto la corriente A publica el contrato de datos de cada módulo. La separación respecto a la corriente A no es una convención: se impone con la congelación por directorio del §5.4, que bloquea cualquier edición fuera del ámbito declarado</w:t>
            </w:r>
          </w:p>
        </w:tc>
      </w:tr>
      <w:tr>
        <w:trPr>
          <w:tblHeader w:val="false"/>
        </w:trPr>
        <w:tc>
          <w:tcPr>
            <w:tcW w:type="dxa" w:w="1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C · Verificación</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Sin límite</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Los 182 escenarios, los vectores criptográficos, el banco del agente, la flota de carga, la mutación. Con una regla adversaria: la prueba de un escenario la escribe un agente distinto del que implementa, desde la misma especificación y sin ver la implementación. Si los dos no coinciden, la especificación era ambigua — y eso es un hallazgo en sí mismo. El utillaje externo del §5.4 aporta aquí la revisión multiagente con puerta de cita obligatoria; el resto de niveles se construye en casa</w:t>
            </w:r>
          </w:p>
        </w:tc>
      </w:tr>
    </w:tbl>
    <w:p>
      <w:pPr>
        <w:spacing w:after="160"/>
      </w:pPr>
    </w:p>
    <w:p>
      <w:pPr>
        <w:pStyle w:val="Heading2"/>
        <w:spacing w:after="140" w:before="280"/>
      </w:pPr>
      <w:r>
        <w:rPr>
          <w:rFonts w:ascii="Calibri" w:cs="Calibri" w:eastAsia="Calibri" w:hAnsi="Calibri"/>
          <w:b/>
          <w:bCs/>
          <w:color w:val="1B4B7A"/>
          <w:sz w:val="26"/>
          <w:szCs w:val="26"/>
        </w:rPr>
        <w:t xml:space="preserve">6.2 · Qué paraleliza y qué 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Paraleliza bien</w:t>
            </w:r>
          </w:p>
        </w:tc>
        <w:tc>
          <w:tcPr>
            <w:tcW w:type="dxa" w:w="4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No paraleliza</w:t>
            </w:r>
          </w:p>
        </w:tc>
      </w:tr>
      <w:tr>
        <w:trPr>
          <w:tblHeader w:val="false"/>
        </w:trPr>
        <w:tc>
          <w:tcPr>
            <w:tcW w:type="dxa" w:w="4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Las 24 pantallas — unidades independientes con criterio propio</w:t>
            </w:r>
          </w:p>
        </w:tc>
        <w:tc>
          <w:tcPr>
            <w:tcW w:type="dxa" w:w="4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Migraciones de esquema — orden estricto, conflictos silenciosos</w:t>
            </w:r>
          </w:p>
        </w:tc>
      </w:tr>
      <w:tr>
        <w:trPr>
          <w:tblHeader w:val="false"/>
        </w:trPr>
        <w:tc>
          <w:tcPr>
            <w:tcW w:type="dxa" w:w="4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Los 182 escenarios de prueba</w:t>
            </w:r>
          </w:p>
        </w:tc>
        <w:tc>
          <w:tcPr>
            <w:tcW w:type="dxa" w:w="4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Criptografía — el error es irreversible y no avisa</w:t>
            </w:r>
          </w:p>
        </w:tc>
      </w:tr>
      <w:tr>
        <w:trPr>
          <w:tblHeader w:val="false"/>
        </w:trPr>
        <w:tc>
          <w:tcPr>
            <w:tcW w:type="dxa" w:w="4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banco de preguntas del agente y su corpus adversario</w:t>
            </w:r>
          </w:p>
        </w:tc>
        <w:tc>
          <w:tcPr>
            <w:tcW w:type="dxa" w:w="4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Contratos de la capa de datos — son el contrato de todo lo demás</w:t>
            </w:r>
          </w:p>
        </w:tc>
      </w:tr>
      <w:tr>
        <w:trPr>
          <w:tblHeader w:val="false"/>
        </w:trPr>
        <w:tc>
          <w:tcPr>
            <w:tcW w:type="dxa" w:w="4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flota de carga sintética</w:t>
            </w:r>
          </w:p>
        </w:tc>
        <w:tc>
          <w:tcPr>
            <w:tcW w:type="dxa" w:w="4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Cualquier cosa que necesite una decisión humana</w:t>
            </w:r>
          </w:p>
        </w:tc>
      </w:tr>
      <w:tr>
        <w:trPr>
          <w:tblHeader w:val="false"/>
        </w:trPr>
        <w:tc>
          <w:tcPr>
            <w:tcW w:type="dxa" w:w="4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módulo de cobro y el foro — independientes del resto</w:t>
            </w:r>
          </w:p>
        </w:tc>
        <w:tc>
          <w:tcPr>
            <w:tcW w:type="dxa" w:w="4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auditoría externa — depende de agenda de terceros</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9A6700"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9A6700"/>
                <w:sz w:val="19"/>
                <w:szCs w:val="19"/>
              </w:rPr>
              <w:t xml:space="preserve">El límite de cuatro agentes de construcción, y por qué es un criterio y no una cautela</w:t>
            </w:r>
          </w:p>
          <w:p>
            <w:pPr>
              <w:spacing w:after="0" w:line="270"/>
            </w:pPr>
            <w:r>
              <w:rPr>
                <w:rFonts w:ascii="Calibri" w:cs="Calibri" w:eastAsia="Calibri" w:hAnsi="Calibri"/>
                <w:sz w:val="18"/>
                <w:szCs w:val="18"/>
              </w:rPr>
              <w:t xml:space="preserve">Cuatro es aproximadamente lo que una persona puede revisar bien en un día cuando los criterios de aceptación ya están automatizados. Con seis o más, el fundador deja de ser arquitecto y pasa a ser revisor a tiempo completo, que es el único rol en el que no aporta valor diferencial.</w:t>
            </w:r>
          </w:p>
          <w:p>
            <w:pPr>
              <w:spacing w:after="0" w:line="270"/>
            </w:pPr>
            <w:r>
              <w:rPr>
                <w:rFonts w:ascii="Calibri" w:cs="Calibri" w:eastAsia="Calibri" w:hAnsi="Calibri"/>
                <w:sz w:val="18"/>
                <w:szCs w:val="18"/>
              </w:rPr>
              <w:t xml:space="preserve">Los agentes de la corriente C no cuentan contra ese límite: producen pruebas, no código de producción, y su criterio de aceptación es que fallen cuando deben fallar.</w:t>
            </w:r>
          </w:p>
        </w:tc>
      </w:tr>
    </w:tbl>
    <w:p>
      <w:pPr>
        <w:spacing w:after="160"/>
      </w:pPr>
    </w:p>
    <w:p>
      <w:pPr>
        <w:pStyle w:val="Heading2"/>
        <w:spacing w:after="140" w:before="280"/>
      </w:pPr>
      <w:r>
        <w:rPr>
          <w:rFonts w:ascii="Calibri" w:cs="Calibri" w:eastAsia="Calibri" w:hAnsi="Calibri"/>
          <w:b/>
          <w:bCs/>
          <w:color w:val="1B4B7A"/>
          <w:sz w:val="26"/>
          <w:szCs w:val="26"/>
        </w:rPr>
        <w:t xml:space="preserve">6.3 · Los ocho hitos</w:t>
      </w:r>
    </w:p>
    <w:p>
      <w:pPr>
        <w:spacing w:after="120" w:before="0" w:line="276"/>
      </w:pPr>
      <w:r>
        <w:rPr>
          <w:rFonts w:ascii="Calibri" w:cs="Calibri" w:eastAsia="Calibri" w:hAnsi="Calibri"/>
          <w:sz w:val="20"/>
          <w:szCs w:val="20"/>
        </w:rPr>
        <w:t xml:space="preserve">Cada uno se puede enseñar, y cada uno se cierra con un criterio ejecutable, no con una valoración.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400"/>
        <w:gridCol w:w="3800"/>
      </w:tblGrid>
      <w:tr>
        <w:trPr>
          <w:tblHeader/>
        </w:trPr>
        <w:tc>
          <w:tcPr>
            <w:tcW w:type="dxa" w:w="7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w:t>
            </w:r>
          </w:p>
        </w:tc>
        <w:tc>
          <w:tcPr>
            <w:tcW w:type="dxa" w:w="11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Semana</w:t>
            </w:r>
          </w:p>
        </w:tc>
        <w:tc>
          <w:tcPr>
            <w:tcW w:type="dxa" w:w="3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Hito</w:t>
            </w:r>
          </w:p>
        </w:tc>
        <w:tc>
          <w:tcPr>
            <w:tcW w:type="dxa" w:w="38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Criterio de cierre</w:t>
            </w:r>
          </w:p>
        </w:tc>
      </w:tr>
      <w:tr>
        <w:trPr>
          <w:tblHeader w:val="false"/>
        </w:trPr>
        <w:tc>
          <w:tcPr>
            <w:tcW w:type="dxa" w:w="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H1</w:t>
            </w:r>
          </w:p>
        </w:tc>
        <w:tc>
          <w:tcPr>
            <w:tcW w:type="dxa" w:w="1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3</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La fábrica está medida</w:t>
            </w:r>
          </w:p>
        </w:tc>
        <w:tc>
          <w:tcPr>
            <w:tcW w:type="dxa" w:w="3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Tres pantallas construidas y aceptadas, con su coste y su tiempo por pantalla registrados. A partir de aquí el plan deja de estimar y empieza a extrapolar</w:t>
            </w:r>
          </w:p>
        </w:tc>
      </w:tr>
      <w:tr>
        <w:trPr>
          <w:tblHeader w:val="false"/>
        </w:trPr>
        <w:tc>
          <w:tcPr>
            <w:tcW w:type="dxa" w:w="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H2</w:t>
            </w:r>
          </w:p>
        </w:tc>
        <w:tc>
          <w:tcPr>
            <w:tcW w:type="dxa" w:w="1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8</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El cifrado es demostrable</w:t>
            </w:r>
          </w:p>
        </w:tc>
        <w:tc>
          <w:tcPr>
            <w:tcW w:type="dxa" w:w="3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Recuperación de cuenta en un dispositivo nuevo, grabada de principio a fin, y los tres invariantes con una prueba automática que falla si se rompen</w:t>
            </w:r>
          </w:p>
        </w:tc>
      </w:tr>
      <w:tr>
        <w:trPr>
          <w:tblHeader w:val="false"/>
        </w:trPr>
        <w:tc>
          <w:tcPr>
            <w:tcW w:type="dxa" w:w="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H3</w:t>
            </w:r>
          </w:p>
        </w:tc>
        <w:tc>
          <w:tcPr>
            <w:tcW w:type="dxa" w:w="1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11</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Una empresa entra sola</w:t>
            </w:r>
          </w:p>
        </w:tc>
        <w:tc>
          <w:tcPr>
            <w:tcW w:type="dxa" w:w="3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Alta completa —solicitud, aprobación, generación de claves, respaldo e invitación de un segundo usuario— sin tocar la base de datos</w:t>
            </w:r>
          </w:p>
        </w:tc>
      </w:tr>
      <w:tr>
        <w:trPr>
          <w:tblHeader w:val="false"/>
        </w:trPr>
        <w:tc>
          <w:tcPr>
            <w:tcW w:type="dxa" w:w="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H4</w:t>
            </w:r>
          </w:p>
        </w:tc>
        <w:tc>
          <w:tcPr>
            <w:tcW w:type="dxa" w:w="1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13</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Un catálogo real se publica</w:t>
            </w:r>
          </w:p>
        </w:tc>
        <w:tc>
          <w:tcPr>
            <w:tcW w:type="dxa" w:w="3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fichero de stock de un distribuidor, con sus propios nombres de columna, queda publicado y buscable con el mapeo confirmado por él y sin corrección manual posterior</w:t>
            </w:r>
          </w:p>
        </w:tc>
      </w:tr>
      <w:tr>
        <w:trPr>
          <w:tblHeader w:val="false"/>
        </w:trPr>
        <w:tc>
          <w:tcPr>
            <w:tcW w:type="dxa" w:w="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H5</w:t>
            </w:r>
          </w:p>
        </w:tc>
        <w:tc>
          <w:tcPr>
            <w:tcW w:type="dxa" w:w="1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16</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El ciclo comercial se cierra</w:t>
            </w:r>
          </w:p>
        </w:tc>
        <w:tc>
          <w:tcPr>
            <w:tcW w:type="dxa" w:w="3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Dos organizaciones completan consulta, oferta, contraoferta y acuerdo en dos navegadores; el panel de servidor confirma que los campos comerciales son ilegibles para la plataforma; y dos editores de la MISMA organización no ven nada el uno del otro — ni contenido, ni metadatos, ni a través de VERA</w:t>
            </w:r>
          </w:p>
        </w:tc>
      </w:tr>
      <w:tr>
        <w:trPr>
          <w:tblHeader w:val="false"/>
        </w:trPr>
        <w:tc>
          <w:tcPr>
            <w:tcW w:type="dxa" w:w="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H6</w:t>
            </w:r>
          </w:p>
        </w:tc>
        <w:tc>
          <w:tcPr>
            <w:tcW w:type="dxa" w:w="1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19</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500 concurrentes, correctos</w:t>
            </w:r>
          </w:p>
        </w:tc>
        <w:tc>
          <w:tcPr>
            <w:tcW w:type="dxa" w:w="3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Quinientas sesiones agrupadas por organización: cero mensajes perdidos, cero fugas entre organizaciones ni dentro de ellas, la lista derivada de conversaciones por debajo del segundo y medio, y búsqueda igual</w:t>
            </w:r>
          </w:p>
        </w:tc>
      </w:tr>
      <w:tr>
        <w:trPr>
          <w:tblHeader w:val="false"/>
        </w:trPr>
        <w:tc>
          <w:tcPr>
            <w:tcW w:type="dxa" w:w="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H7</w:t>
            </w:r>
          </w:p>
        </w:tc>
        <w:tc>
          <w:tcPr>
            <w:tcW w:type="dxa" w:w="1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21</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Auditado y con postura legal</w:t>
            </w:r>
          </w:p>
        </w:tc>
        <w:tc>
          <w:tcPr>
            <w:tcW w:type="dxa" w:w="3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Informe de auditoría criptográfica recibido y publicable, intrusión cerrada con su reverificación, y dictamen jurídico por escrito</w:t>
            </w:r>
          </w:p>
        </w:tc>
      </w:tr>
      <w:tr>
        <w:trPr>
          <w:tblHeader w:val="false"/>
        </w:trPr>
        <w:tc>
          <w:tcPr>
            <w:tcW w:type="dxa" w:w="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H8</w:t>
            </w:r>
          </w:p>
        </w:tc>
        <w:tc>
          <w:tcPr>
            <w:tcW w:type="dxa" w:w="1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21+</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Clientes reales dentro</w:t>
            </w:r>
          </w:p>
        </w:tc>
        <w:tc>
          <w:tcPr>
            <w:tcW w:type="dxa" w:w="3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Al menos el setenta por ciento de las búsquedas reales devuelven tres o más ofertas, sostenido dos semanas</w:t>
            </w:r>
          </w:p>
        </w:tc>
      </w:tr>
    </w:tbl>
    <w:p>
      <w:pPr>
        <w:spacing w:after="160"/>
      </w:pPr>
    </w:p>
    <w:p>
      <w:pPr>
        <w:pStyle w:val="Heading2"/>
        <w:spacing w:after="140" w:before="280"/>
      </w:pPr>
      <w:r>
        <w:rPr>
          <w:rFonts w:ascii="Calibri" w:cs="Calibri" w:eastAsia="Calibri" w:hAnsi="Calibri"/>
          <w:b/>
          <w:bCs/>
          <w:color w:val="1B4B7A"/>
          <w:sz w:val="26"/>
          <w:szCs w:val="26"/>
        </w:rPr>
        <w:t xml:space="preserve">6.4 · Cómo se entrelazan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6300"/>
      </w:tblGrid>
      <w:tr>
        <w:trPr>
          <w:tblHeader/>
        </w:trPr>
        <w:tc>
          <w:tcPr>
            <w:tcW w:type="dxa" w:w="1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Semanas</w:t>
            </w:r>
          </w:p>
        </w:tc>
        <w:tc>
          <w:tcPr>
            <w:tcW w:type="dxa" w:w="1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Corriente</w:t>
            </w:r>
          </w:p>
        </w:tc>
        <w:tc>
          <w:tcPr>
            <w:tcW w:type="dxa" w:w="6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Trabajo</w:t>
            </w:r>
          </w:p>
        </w:tc>
      </w:tr>
      <w:tr>
        <w:trPr>
          <w:tblHeader w:val="false"/>
        </w:trPr>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 – 3</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w:t>
            </w:r>
          </w:p>
        </w:tc>
        <w:tc>
          <w:tcPr>
            <w:tcW w:type="dxa" w:w="6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Instrumento: arreglar el bucle de reintento, limpiar el ruido que se le manda al generador, instrumentar el coste de orquestación. Diseñar y medir la fábrica de pantallas. → H1</w:t>
            </w:r>
          </w:p>
        </w:tc>
      </w:tr>
      <w:tr>
        <w:trPr>
          <w:tblHeader w:val="false"/>
        </w:trPr>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 – 5</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w:t>
            </w:r>
          </w:p>
        </w:tc>
        <w:tc>
          <w:tcPr>
            <w:tcW w:type="dxa" w:w="6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Fundación: tres entornos como código, despliegue sin interrupción, aislamiento de la base de demostración, los cuatro campos del respaldo de clave en la primera migración, índice de búsqueda, residencia europea del agente. Y ADR-002: las dos columnas nuevas, el cambio en el conjunto de destinatarios de la clave, y la derivación de la lista de conversaciones</w:t>
            </w:r>
          </w:p>
        </w:tc>
      </w:tr>
      <w:tr>
        <w:trPr>
          <w:tblHeader w:val="false"/>
        </w:trPr>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 – 16</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w:t>
            </w:r>
          </w:p>
        </w:tc>
        <w:tc>
          <w:tcPr>
            <w:tcW w:type="dxa" w:w="6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Los 182 escenarios, escritos en paralelo al desarrollo por agentes distintos de los que implementan</w:t>
            </w:r>
          </w:p>
        </w:tc>
      </w:tr>
      <w:tr>
        <w:trPr>
          <w:tblHeader w:val="false"/>
        </w:trPr>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5 – 8</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w:t>
            </w:r>
          </w:p>
        </w:tc>
        <w:tc>
          <w:tcPr>
            <w:tcW w:type="dxa" w:w="6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Criptografía completa: derivación en hilo aparte, frase de respaldo obligatoria, recuperación con límite en servidor, rotación. Retirada de la relajación temporal del MVP. Contratación de la auditoría. → H2</w:t>
            </w:r>
          </w:p>
        </w:tc>
      </w:tr>
      <w:tr>
        <w:trPr>
          <w:tblHeader w:val="false"/>
        </w:trPr>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5 – 9</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w:t>
            </w:r>
          </w:p>
        </w:tc>
        <w:tc>
          <w:tcPr>
            <w:tcW w:type="dxa" w:w="6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Verificación criptográfica: vectores públicos, los tres invariantes como pruebas negativas, propiedad contra reutilización de nonce, mutación sobre el módulo</w:t>
            </w:r>
          </w:p>
        </w:tc>
      </w:tr>
      <w:tr>
        <w:trPr>
          <w:tblHeader w:val="false"/>
        </w:trPr>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6 – 11</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B</w:t>
            </w:r>
          </w:p>
        </w:tc>
        <w:tc>
          <w:tcPr>
            <w:tcW w:type="dxa" w:w="6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Alta de empresas: doce pantallas, dos rutas, panel de operador, roles, correos transaccionales. → H3</w:t>
            </w:r>
          </w:p>
        </w:tc>
      </w:tr>
      <w:tr>
        <w:trPr>
          <w:tblHeader w:val="false"/>
        </w:trPr>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8 – 13</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B</w:t>
            </w:r>
          </w:p>
        </w:tc>
        <w:tc>
          <w:tcPr>
            <w:tcW w:type="dxa" w:w="6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Inventario: cuatro canales de carga, mapeo asistido con confirmación humana, visibilidad, ciclo de vida de la línea. → H4</w:t>
            </w:r>
          </w:p>
        </w:tc>
      </w:tr>
      <w:tr>
        <w:trPr>
          <w:tblHeader w:val="false"/>
        </w:trPr>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8 – 12</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B</w:t>
            </w:r>
          </w:p>
        </w:tc>
        <w:tc>
          <w:tcPr>
            <w:tcW w:type="dxa" w:w="6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Cobro y foro, en paralelo y sin dependencias: son los módulos más independientes del producto</w:t>
            </w:r>
          </w:p>
        </w:tc>
      </w:tr>
      <w:tr>
        <w:trPr>
          <w:tblHeader w:val="false"/>
        </w:trPr>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10 – 15</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B</w:t>
            </w:r>
          </w:p>
        </w:tc>
        <w:tc>
          <w:tcPr>
            <w:tcW w:type="dxa" w:w="6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Búsqueda por lotes, avisos, favoritos, acciones de fila, y conversación multiturno del agente</w:t>
            </w:r>
          </w:p>
        </w:tc>
      </w:tr>
      <w:tr>
        <w:trPr>
          <w:tblHeader w:val="false"/>
        </w:trPr>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10 – 15</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w:t>
            </w:r>
          </w:p>
        </w:tc>
        <w:tc>
          <w:tcPr>
            <w:tcW w:type="dxa" w:w="6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Banco de preguntas ampliado y corpus adversario</w:t>
            </w:r>
          </w:p>
        </w:tc>
      </w:tr>
      <w:tr>
        <w:trPr>
          <w:tblHeader w:val="false"/>
        </w:trPr>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12 – 16</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B</w:t>
            </w:r>
          </w:p>
        </w:tc>
        <w:tc>
          <w:tcPr>
            <w:tcW w:type="dxa" w:w="6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Mensajería completa: originar oferta, tarjetas, directorio, no leídos. → H5</w:t>
            </w:r>
          </w:p>
        </w:tc>
      </w:tr>
      <w:tr>
        <w:trPr>
          <w:tblHeader w:val="false"/>
        </w:trPr>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14 – 19</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w:t>
            </w:r>
          </w:p>
        </w:tc>
        <w:tc>
          <w:tcPr>
            <w:tcW w:type="dxa" w:w="6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Carga y concurrencia: flota sintética agrupada por organización, pérdida de mensajes, aislamiento bajo contención, derivación en dispositivo real. → H6</w:t>
            </w:r>
          </w:p>
        </w:tc>
      </w:tr>
      <w:tr>
        <w:trPr>
          <w:tblHeader w:val="false"/>
        </w:trPr>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15 – 21</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w:t>
            </w:r>
          </w:p>
        </w:tc>
        <w:tc>
          <w:tcPr>
            <w:tcW w:type="dxa" w:w="6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Endurecimiento, respuesta a los hallazgos de auditoría e intrusión, nueve idiomas, dictamen jurídico. → H7</w:t>
            </w:r>
          </w:p>
        </w:tc>
      </w:tr>
      <w:tr>
        <w:trPr>
          <w:tblHeader w:val="false"/>
        </w:trPr>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19 – 22</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w:t>
            </w:r>
          </w:p>
        </w:tc>
        <w:tc>
          <w:tcPr>
            <w:tcW w:type="dxa" w:w="6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Piloto con distribuidores reales en el mercado ancla. → H8</w:t>
            </w:r>
          </w:p>
        </w:tc>
      </w:tr>
    </w:tbl>
    <w:p>
      <w:r>
        <w:br w:type="page"/>
      </w:r>
    </w:p>
    <w:p>
      <w:pPr>
        <w:pStyle w:val="Heading1"/>
        <w:spacing w:after="200" w:before="360"/>
      </w:pPr>
      <w:r>
        <w:rPr>
          <w:rFonts w:ascii="Calibri" w:cs="Calibri" w:eastAsia="Calibri" w:hAnsi="Calibri"/>
          <w:b/>
          <w:bCs/>
          <w:color w:val="07111F"/>
          <w:sz w:val="32"/>
          <w:szCs w:val="32"/>
        </w:rPr>
        <w:t xml:space="preserve">7 · Calendario y capacidad</w:t>
      </w:r>
    </w:p>
    <w:p>
      <w:pPr>
        <w:spacing w:after="120" w:before="0" w:line="276"/>
      </w:pPr>
      <w:r>
        <w:rPr>
          <w:rFonts w:ascii="Calibri" w:cs="Calibri" w:eastAsia="Calibri" w:hAnsi="Calibri"/>
          <w:sz w:val="20"/>
          <w:szCs w:val="20"/>
        </w:rPr>
        <w:t xml:space="preserve">El plan asume una sola persona apoyada en agentes. No contempla contrataciones. Esa es la restricción que fija el ritmo, y conviene decirlo en voz alta en vez de esconderlo tras un diagrama.</w:t>
      </w:r>
    </w:p>
    <w:p>
      <w:pPr>
        <w:spacing w:after="100"/>
      </w:pPr>
    </w:p>
    <w:p>
      <w:pPr>
        <w:pStyle w:val="Heading2"/>
        <w:spacing w:after="140" w:before="280"/>
      </w:pPr>
      <w:r>
        <w:rPr>
          <w:rFonts w:ascii="Calibri" w:cs="Calibri" w:eastAsia="Calibri" w:hAnsi="Calibri"/>
          <w:b/>
          <w:bCs/>
          <w:color w:val="1B4B7A"/>
          <w:sz w:val="26"/>
          <w:szCs w:val="26"/>
        </w:rPr>
        <w:t xml:space="preserve">7.1 · De 30 a 21 semanas: de dónde sale cada semana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3400"/>
      </w:tblGrid>
      <w:tr>
        <w:trPr>
          <w:tblHeader/>
        </w:trPr>
        <w:tc>
          <w:tcPr>
            <w:tcW w:type="dxa" w:w="3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Bloque</w:t>
            </w:r>
          </w:p>
        </w:tc>
        <w:tc>
          <w:tcPr>
            <w:tcW w:type="dxa" w:w="1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v1.0</w:t>
            </w:r>
          </w:p>
        </w:tc>
        <w:tc>
          <w:tcPr>
            <w:tcW w:type="dxa" w:w="1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v2.0</w:t>
            </w:r>
          </w:p>
        </w:tc>
        <w:tc>
          <w:tcPr>
            <w:tcW w:type="dxa" w:w="3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Cómo</w:t>
            </w:r>
          </w:p>
        </w:tc>
      </w:tr>
      <w:tr>
        <w:trPr>
          <w:tblHeader w:val="false"/>
        </w:trPr>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Instrumento y fábrica</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 sem</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3 sem</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 se comprime: es una medición, y comprimir una medición es no medir</w:t>
            </w:r>
          </w:p>
        </w:tc>
      </w:tr>
      <w:tr>
        <w:trPr>
          <w:tblHeader w:val="false"/>
        </w:trPr>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Fundación</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 sem</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1,5 sem</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infraestructura se solapa con el diseño de la fábrica</w:t>
            </w:r>
          </w:p>
        </w:tc>
      </w:tr>
      <w:tr>
        <w:trPr>
          <w:tblHeader w:val="false"/>
        </w:trPr>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Criptografía</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 sem</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3 sem</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 se comprime, por decisión. Es el único sitio donde un error no se detecta hasta que alguien no puede recuperar su cuenta</w:t>
            </w:r>
          </w:p>
        </w:tc>
      </w:tr>
      <w:tr>
        <w:trPr>
          <w:tblHeader w:val="false"/>
        </w:trPr>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Los cuatro módulos grandes</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12 sem</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7–8 sem</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Fábrica en paralelo con verificación automática</w:t>
            </w:r>
          </w:p>
        </w:tc>
      </w:tr>
      <w:tr>
        <w:trPr>
          <w:tblHeader w:val="false"/>
        </w:trPr>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Cobro y foro</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2 sem</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0 sem</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Totalmente independientes: corren dentro de otra ventana</w:t>
            </w:r>
          </w:p>
        </w:tc>
      </w:tr>
      <w:tr>
        <w:trPr>
          <w:tblHeader w:val="false"/>
        </w:trPr>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Auditoría</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4 sem</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2 sem</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 contrata en la semana 6; el trabajo de la firma se solapa con el desarrollo</w:t>
            </w:r>
          </w:p>
        </w:tc>
      </w:tr>
      <w:tr>
        <w:trPr>
          <w:tblHeader w:val="false"/>
        </w:trPr>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Piloto</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 sem</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3 sem</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 se comprime: son usuarios reales a su ritmo</w:t>
            </w:r>
          </w:p>
        </w:tc>
      </w:tr>
      <w:tr>
        <w:trPr>
          <w:tblHeader w:val="false"/>
        </w:trPr>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Total</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30 sem</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1B4B7A"/>
                <w:sz w:val="17"/>
                <w:szCs w:val="17"/>
              </w:rPr>
              <w:t xml:space="preserve">21 sem</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 5 meses</w:t>
            </w:r>
          </w:p>
        </w:tc>
      </w:tr>
    </w:tbl>
    <w:p>
      <w:pPr>
        <w:spacing w:after="160"/>
      </w:pPr>
    </w:p>
    <w:p>
      <w:pPr>
        <w:pStyle w:val="Heading2"/>
        <w:spacing w:after="140" w:before="280"/>
      </w:pPr>
      <w:r>
        <w:rPr>
          <w:rFonts w:ascii="Calibri" w:cs="Calibri" w:eastAsia="Calibri" w:hAnsi="Calibri"/>
          <w:b/>
          <w:bCs/>
          <w:color w:val="1B4B7A"/>
          <w:sz w:val="26"/>
          <w:szCs w:val="26"/>
        </w:rPr>
        <w:t xml:space="preserve">7.2 · Los tres escenarios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00"/>
      </w:tblGrid>
      <w:tr>
        <w:trPr>
          <w:tblHeader/>
        </w:trPr>
        <w:tc>
          <w:tcPr>
            <w:tcW w:type="dxa" w:w="2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Escenario</w:t>
            </w:r>
          </w:p>
        </w:tc>
        <w:tc>
          <w:tcPr>
            <w:tcW w:type="dxa" w:w="1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Plazo</w:t>
            </w:r>
          </w:p>
        </w:tc>
        <w:tc>
          <w:tcPr>
            <w:tcW w:type="dxa" w:w="5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Condición</w:t>
            </w:r>
          </w:p>
        </w:tc>
      </w:tr>
      <w:tr>
        <w:trPr>
          <w:tblHeader w:val="false"/>
        </w:trPr>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Favorable</w:t>
            </w:r>
          </w:p>
        </w:tc>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18 semanas</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fábrica rinde: la corrección humana por pantalla se mantiene baja y las veinticuatro salen a ritmo constante</w:t>
            </w:r>
          </w:p>
        </w:tc>
      </w:tr>
      <w:tr>
        <w:trPr>
          <w:tblHeader w:val="false"/>
        </w:trPr>
        <w:tc>
          <w:tcPr>
            <w:tcW w:type="dxa" w:w="2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Base</w:t>
            </w:r>
          </w:p>
        </w:tc>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1B4B7A"/>
                <w:sz w:val="17"/>
                <w:szCs w:val="17"/>
              </w:rPr>
              <w:t xml:space="preserve">21 semanas</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fábrica funciona con supervisión, y las pantallas de mapeo asistido y de negociación se terminan a mano</w:t>
            </w:r>
          </w:p>
        </w:tc>
      </w:tr>
      <w:tr>
        <w:trPr>
          <w:tblHeader w:val="false"/>
        </w:trPr>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Adverso</w:t>
            </w:r>
          </w:p>
        </w:tc>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30 semanas</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fábrica no supera el umbral y las pantallas se construyen asistidas a mano. El plan no se rompe: se alarga</w:t>
            </w:r>
          </w:p>
        </w:tc>
      </w:tr>
    </w:tbl>
    <w:p>
      <w:pPr>
        <w:spacing w:after="120"/>
      </w:pPr>
    </w:p>
    <w:p>
      <w:pPr>
        <w:spacing w:after="120" w:before="0" w:line="276"/>
      </w:pPr>
      <w:r>
        <w:rPr>
          <w:rFonts w:ascii="Calibri" w:cs="Calibri" w:eastAsia="Calibri" w:hAnsi="Calibri"/>
          <w:b/>
          <w:bCs/>
          <w:sz w:val="20"/>
          <w:szCs w:val="20"/>
        </w:rPr>
        <w:t xml:space="preserve">El escenario se conoce en la semana tres, no en la veinte. </w:t>
      </w:r>
      <w:r>
        <w:rPr>
          <w:rFonts w:ascii="Calibri" w:cs="Calibri" w:eastAsia="Calibri" w:hAnsi="Calibri"/>
          <w:sz w:val="20"/>
          <w:szCs w:val="20"/>
        </w:rPr>
        <w:t xml:space="preserve">Ese es el propósito de colocar la medición al principio: convertir la incertidumbre más cara del proyecto en un dato antes de haber gastado nada relevante.</w:t>
      </w:r>
    </w:p>
    <w:p>
      <w:pPr>
        <w:spacing w:after="140"/>
      </w:pPr>
    </w:p>
    <w:p>
      <w:pPr>
        <w:pStyle w:val="Heading2"/>
        <w:spacing w:after="140" w:before="280"/>
      </w:pPr>
      <w:r>
        <w:rPr>
          <w:rFonts w:ascii="Calibri" w:cs="Calibri" w:eastAsia="Calibri" w:hAnsi="Calibri"/>
          <w:b/>
          <w:bCs/>
          <w:color w:val="1B4B7A"/>
          <w:sz w:val="26"/>
          <w:szCs w:val="26"/>
        </w:rPr>
        <w:t xml:space="preserve">7.3 · Lo que corre fuera del desarrollo</w:t>
      </w:r>
    </w:p>
    <w:p>
      <w:pPr>
        <w:pStyle w:val="ListParagraph"/>
        <w:numPr>
          <w:ilvl w:val="0"/>
          <w:numId w:val="3"/>
        </w:numPr>
        <w:spacing w:after="80" w:line="276"/>
      </w:pPr>
      <w:r>
        <w:rPr>
          <w:rFonts w:ascii="Calibri" w:cs="Calibri" w:eastAsia="Calibri" w:hAnsi="Calibri"/>
          <w:sz w:val="20"/>
          <w:szCs w:val="20"/>
        </w:rPr>
        <w:t xml:space="preserve">La contratación de la auditoría criptográfica arranca en la semana 6, en cuanto el código de cifrado queda congelado. Las firmas tienen agenda de semanas; esperar al final añade un mes muerto.</w:t>
      </w:r>
    </w:p>
    <w:p>
      <w:pPr>
        <w:pStyle w:val="ListParagraph"/>
        <w:numPr>
          <w:ilvl w:val="0"/>
          <w:numId w:val="3"/>
        </w:numPr>
        <w:spacing w:after="80" w:line="276"/>
      </w:pPr>
      <w:r>
        <w:rPr>
          <w:rFonts w:ascii="Calibri" w:cs="Calibri" w:eastAsia="Calibri" w:hAnsi="Calibri"/>
          <w:sz w:val="20"/>
          <w:szCs w:val="20"/>
        </w:rPr>
        <w:t xml:space="preserve">El dictamen jurídico puede encargarse desde la semana 4. No depende de que el producto esté terminado.</w:t>
      </w:r>
    </w:p>
    <w:p>
      <w:pPr>
        <w:pStyle w:val="ListParagraph"/>
        <w:numPr>
          <w:ilvl w:val="0"/>
          <w:numId w:val="3"/>
        </w:numPr>
        <w:spacing w:after="80" w:line="276"/>
      </w:pPr>
      <w:r>
        <w:rPr>
          <w:rFonts w:ascii="Calibri" w:cs="Calibri" w:eastAsia="Calibri" w:hAnsi="Calibri"/>
          <w:sz w:val="20"/>
          <w:szCs w:val="20"/>
        </w:rPr>
        <w:t xml:space="preserve">La captación de los primeros distribuidores no es trabajo técnico y puede empezar en cuanto exista el hito del catálogo real. Su tiempo de decisión es largo; empezar tarde retrasa el piloto más que cualquier retraso de desarrollo.</w:t>
      </w:r>
    </w:p>
    <w:p>
      <w:r>
        <w:br w:type="page"/>
      </w:r>
    </w:p>
    <w:p>
      <w:pPr>
        <w:pStyle w:val="Heading1"/>
        <w:spacing w:after="200" w:before="360"/>
      </w:pPr>
      <w:r>
        <w:rPr>
          <w:rFonts w:ascii="Calibri" w:cs="Calibri" w:eastAsia="Calibri" w:hAnsi="Calibri"/>
          <w:b/>
          <w:bCs/>
          <w:color w:val="07111F"/>
          <w:sz w:val="32"/>
          <w:szCs w:val="32"/>
        </w:rPr>
        <w:t xml:space="preserve">8 · Economía</w:t>
      </w:r>
    </w:p>
    <w:p>
      <w:pPr>
        <w:spacing w:after="120" w:before="0" w:line="276"/>
      </w:pPr>
      <w:r>
        <w:rPr>
          <w:rFonts w:ascii="Calibri" w:cs="Calibri" w:eastAsia="Calibri" w:hAnsi="Calibri"/>
          <w:sz w:val="20"/>
          <w:szCs w:val="20"/>
        </w:rPr>
        <w:t xml:space="preserve">Las cifras de auditoría y jurídicas de este capítulo, que en la v1.0 iban marcadas como estimadas, se han reconstruido a partir de auditorías públicas comparables con su número de jornadas declarado, tarifas publicadas y adjudicaciones reales. El Anexo A detalla la procedencia de cada una.</w:t>
      </w:r>
    </w:p>
    <w:p>
      <w:pPr>
        <w:spacing w:after="100"/>
      </w:pPr>
    </w:p>
    <w:p>
      <w:pPr>
        <w:pStyle w:val="Heading2"/>
        <w:spacing w:after="140" w:before="280"/>
      </w:pPr>
      <w:r>
        <w:rPr>
          <w:rFonts w:ascii="Calibri" w:cs="Calibri" w:eastAsia="Calibri" w:hAnsi="Calibri"/>
          <w:b/>
          <w:bCs/>
          <w:color w:val="1B4B7A"/>
          <w:sz w:val="26"/>
          <w:szCs w:val="26"/>
        </w:rPr>
        <w:t xml:space="preserve">8.1 · Coste de construir V1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100"/>
      </w:tblGrid>
      <w:tr>
        <w:trPr>
          <w:tblHeader/>
        </w:trPr>
        <w:tc>
          <w:tcPr>
            <w:tcW w:type="dxa" w:w="29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Partida</w:t>
            </w:r>
          </w:p>
        </w:tc>
        <w:tc>
          <w:tcPr>
            <w:tcW w:type="dxa" w:w="2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Cinco meses</w:t>
            </w:r>
          </w:p>
        </w:tc>
        <w:tc>
          <w:tcPr>
            <w:tcW w:type="dxa" w:w="41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Nota</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Orquestación y arquitectura</w:t>
            </w:r>
          </w:p>
        </w:tc>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1.500 – 4.500 €</w:t>
            </w:r>
          </w:p>
        </w:tc>
        <w:tc>
          <w:tcPr>
            <w:tcW w:type="dxa" w:w="4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estimación menos firme del documento, porque hoy no se mide. El primer hito la convierte en dato. Con suscripción en lugar de consumo baja a unos 700 €. Incluye la revisión multiagente del §5.4 bajo su regla de uso: sobre esquema, criptografía y capa de datos, nunca sobre cada pantalla</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Generación de pantallas</w:t>
            </w:r>
          </w:p>
        </w:tc>
        <w:tc>
          <w:tcPr>
            <w:tcW w:type="dxa" w:w="2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10 – 30 €</w:t>
            </w:r>
          </w:p>
        </w:tc>
        <w:tc>
          <w:tcPr>
            <w:tcW w:type="dxa" w:w="4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Extrapolado del coste real medido en el MVP. No es una errata</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Generación del corpus de pruebas</w:t>
            </w:r>
          </w:p>
        </w:tc>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50 – 200 €</w:t>
            </w:r>
          </w:p>
        </w:tc>
        <w:tc>
          <w:tcPr>
            <w:tcW w:type="dxa" w:w="4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Alto volumen y mecánico: es donde el modelo barato rinde mejor</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Revisión de código y seguridad</w:t>
            </w:r>
          </w:p>
        </w:tc>
        <w:tc>
          <w:tcPr>
            <w:tcW w:type="dxa" w:w="2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300 – 800 €</w:t>
            </w:r>
          </w:p>
        </w:tc>
        <w:tc>
          <w:tcPr>
            <w:tcW w:type="dxa" w:w="4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Una pasada por hito, más las obligatorias sobre criptografía</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Agente en desarrollo y ensayos</w:t>
            </w:r>
          </w:p>
        </w:tc>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100 – 300 €</w:t>
            </w:r>
          </w:p>
        </w:tc>
        <w:tc>
          <w:tcPr>
            <w:tcW w:type="dxa" w:w="4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Bancos de preguntas contra el modelo desplegado</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Herramientas de verificación</w:t>
            </w:r>
          </w:p>
        </w:tc>
        <w:tc>
          <w:tcPr>
            <w:tcW w:type="dxa" w:w="2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470 €</w:t>
            </w:r>
          </w:p>
        </w:tc>
        <w:tc>
          <w:tcPr>
            <w:tcW w:type="dxa" w:w="4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Teléfono de gama media, más cinco meses de plataforma de navegadores y generación de carga</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Infraestructura durante el desarrollo</w:t>
            </w:r>
          </w:p>
        </w:tc>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350 – 750 €</w:t>
            </w:r>
          </w:p>
        </w:tc>
        <w:tc>
          <w:tcPr>
            <w:tcW w:type="dxa" w:w="4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Tres entornos, unos 70 – 150 € al mes</w:t>
            </w:r>
          </w:p>
        </w:tc>
      </w:tr>
      <w:tr>
        <w:trPr>
          <w:tblHeader w:val="false"/>
        </w:trPr>
        <w:tc>
          <w:tcPr>
            <w:tcW w:type="dxa" w:w="29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Total de construcción</w:t>
            </w:r>
          </w:p>
        </w:tc>
        <w:tc>
          <w:tcPr>
            <w:tcW w:type="dxa" w:w="20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3.000 – 7.000 €</w:t>
            </w:r>
          </w:p>
        </w:tc>
        <w:tc>
          <w:tcPr>
            <w:tcW w:type="dxa" w:w="41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Cinco meses de desarrollo completo, verificación incluida</w:t>
            </w:r>
          </w:p>
        </w:tc>
      </w:tr>
    </w:tbl>
    <w:p>
      <w:pPr>
        <w:spacing w:after="160"/>
      </w:pPr>
    </w:p>
    <w:p>
      <w:pPr>
        <w:pStyle w:val="Heading2"/>
        <w:spacing w:after="140" w:before="280"/>
      </w:pPr>
      <w:r>
        <w:rPr>
          <w:rFonts w:ascii="Calibri" w:cs="Calibri" w:eastAsia="Calibri" w:hAnsi="Calibri"/>
          <w:b/>
          <w:bCs/>
          <w:color w:val="1B4B7A"/>
          <w:sz w:val="26"/>
          <w:szCs w:val="26"/>
        </w:rPr>
        <w:t xml:space="preserve">8.2 · Seguridad y legal: la partida que domina</w:t>
      </w:r>
    </w:p>
    <w:p>
      <w:pPr>
        <w:pStyle w:val="Heading3"/>
        <w:spacing w:after="100" w:before="220"/>
      </w:pPr>
      <w:r>
        <w:rPr>
          <w:rFonts w:ascii="Calibri" w:cs="Calibri" w:eastAsia="Calibri" w:hAnsi="Calibri"/>
          <w:b/>
          <w:bCs/>
          <w:color w:val="07111F"/>
          <w:sz w:val="22"/>
          <w:szCs w:val="22"/>
        </w:rPr>
        <w:t xml:space="preserve">Auditoría criptográfica y prueba de intrusión</w:t>
      </w:r>
    </w:p>
    <w:p>
      <w:pPr>
        <w:spacing w:after="120" w:before="0" w:line="276"/>
      </w:pPr>
      <w:r>
        <w:rPr>
          <w:rFonts w:ascii="Calibri" w:cs="Calibri" w:eastAsia="Calibri" w:hAnsi="Calibri"/>
          <w:sz w:val="20"/>
          <w:szCs w:val="20"/>
        </w:rPr>
        <w:t xml:space="preserve">Dos variables independientes y las dos verificables por separado: jornadas y tarifa. Esa separación es lo que permite comprar sin quedar a merced de una cifra global.</w:t>
      </w:r>
    </w:p>
    <w:p>
      <w:pPr>
        <w:spacing w:after="60"/>
      </w:pPr>
    </w:p>
    <w:p>
      <w:pPr>
        <w:spacing w:after="120" w:before="0" w:line="276"/>
      </w:pPr>
      <w:r>
        <w:rPr>
          <w:rFonts w:ascii="Calibri" w:cs="Calibri" w:eastAsia="Calibri" w:hAnsi="Calibri"/>
          <w:b/>
          <w:bCs/>
          <w:sz w:val="20"/>
          <w:szCs w:val="20"/>
        </w:rPr>
        <w:t xml:space="preserve">Las jornadas, ancladas en auditorías públicas de productos casi idénticos: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00"/>
      </w:tblGrid>
      <w:tr>
        <w:trPr>
          <w:tblHeader/>
        </w:trPr>
        <w:tc>
          <w:tcPr>
            <w:tcW w:type="dxa" w:w="3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Producto auditado</w:t>
            </w:r>
          </w:p>
        </w:tc>
        <w:tc>
          <w:tcPr>
            <w:tcW w:type="dxa" w:w="1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Esfuerzo</w:t>
            </w:r>
          </w:p>
        </w:tc>
        <w:tc>
          <w:tcPr>
            <w:tcW w:type="dxa" w:w="4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Alcance</w:t>
            </w:r>
          </w:p>
        </w:tc>
      </w:tr>
      <w:tr>
        <w:trPr>
          <w:tblHeader w:val="false"/>
        </w:trPr>
        <w:tc>
          <w:tcPr>
            <w:tcW w:type="dxa" w:w="3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Gestor de contraseñas líder del mercado</w:t>
            </w:r>
          </w:p>
        </w:tc>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14 jornadas</w:t>
            </w:r>
          </w:p>
        </w:tc>
        <w:tc>
          <w:tcPr>
            <w:tcW w:type="dxa" w:w="4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Aplicación web y su interfaz de programación, criptografía, validación de clave pública y contactos de recuperación</w:t>
            </w:r>
          </w:p>
        </w:tc>
      </w:tr>
      <w:tr>
        <w:trPr>
          <w:tblHeader w:val="false"/>
        </w:trPr>
        <w:tc>
          <w:tcPr>
            <w:tcW w:type="dxa" w:w="3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Gestor de contraseñas cifrado en navegador</w:t>
            </w:r>
          </w:p>
        </w:tc>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12 jornadas</w:t>
            </w:r>
          </w:p>
        </w:tc>
        <w:tc>
          <w:tcPr>
            <w:tcW w:type="dxa" w:w="4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Extensiones, interfaz de programación y criptografía</w:t>
            </w:r>
          </w:p>
        </w:tc>
      </w:tr>
      <w:tr>
        <w:trPr>
          <w:tblHeader w:val="false"/>
        </w:trPr>
        <w:tc>
          <w:tcPr>
            <w:tcW w:type="dxa" w:w="3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Mensajería cifrada para periodistas</w:t>
            </w:r>
          </w:p>
        </w:tc>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44 jornadas</w:t>
            </w:r>
          </w:p>
        </w:tc>
        <w:tc>
          <w:tcPr>
            <w:tcW w:type="dxa" w:w="4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Protocolo, biblioteca propia y dos aplicaciones móviles — alcance mayor que el nuestro</w:t>
            </w:r>
          </w:p>
        </w:tc>
      </w:tr>
      <w:tr>
        <w:trPr>
          <w:tblHeader w:val="false"/>
        </w:trPr>
        <w:tc>
          <w:tcPr>
            <w:tcW w:type="dxa" w:w="3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Extensión criptográfica de una biblioteca de sistema</w:t>
            </w:r>
          </w:p>
        </w:tc>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35 jornadas</w:t>
            </w:r>
          </w:p>
        </w:tc>
        <w:tc>
          <w:tcPr>
            <w:tcW w:type="dxa" w:w="4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Criptografía pura — alcance distinto</w:t>
            </w:r>
          </w:p>
        </w:tc>
      </w:tr>
    </w:tbl>
    <w:p>
      <w:pPr>
        <w:spacing w:after="100"/>
      </w:pPr>
    </w:p>
    <w:p>
      <w:pPr>
        <w:spacing w:after="120" w:before="0" w:line="276"/>
      </w:pPr>
      <w:r>
        <w:rPr>
          <w:rFonts w:ascii="Calibri" w:cs="Calibri" w:eastAsia="Calibri" w:hAnsi="Calibri"/>
          <w:b/>
          <w:bCs/>
          <w:sz w:val="20"/>
          <w:szCs w:val="20"/>
        </w:rPr>
        <w:t xml:space="preserve">El alcance de bearingworld sale en 14 – 21 jornadas, con el centro en dieciséis: </w:t>
      </w:r>
      <w:r>
        <w:rPr>
          <w:rFonts w:ascii="Calibri" w:cs="Calibri" w:eastAsia="Calibri" w:hAnsi="Calibri"/>
          <w:sz w:val="20"/>
          <w:szCs w:val="20"/>
        </w:rPr>
        <w:t xml:space="preserve">cuatro a seis de criptógrafo sobre el protocolo, envoltura de clave, parámetros de derivación y flujo de recuperación; cinco a siete de implementación en navegador; cuatro a seis de intrusión sobre aplicación e interfaz, incluidas las políticas de acceso a datos; y una o dos de reverificación.</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00"/>
      </w:tblGrid>
      <w:tr>
        <w:trPr>
          <w:tblHeader/>
        </w:trPr>
        <w:tc>
          <w:tcPr>
            <w:tcW w:type="dxa" w:w="3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Tarifa de referencia</w:t>
            </w:r>
          </w:p>
        </w:tc>
        <w:tc>
          <w:tcPr>
            <w:tcW w:type="dxa" w:w="18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€/jornada</w:t>
            </w:r>
          </w:p>
        </w:tc>
        <w:tc>
          <w:tcPr>
            <w:tcW w:type="dxa" w:w="3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Procedencia</w:t>
            </w:r>
          </w:p>
        </w:tc>
      </w:tr>
      <w:tr>
        <w:trPr>
          <w:tblHeader w:val="false"/>
        </w:trPr>
        <w:tc>
          <w:tcPr>
            <w:tcW w:type="dxa" w:w="3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Boutique centroeuropea</w:t>
            </w:r>
          </w:p>
        </w:tc>
        <w:tc>
          <w:tcPr>
            <w:tcW w:type="dxa" w:w="1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640 – 890 €</w:t>
            </w:r>
          </w:p>
        </w:tc>
        <w:tc>
          <w:tcPr>
            <w:tcW w:type="dxa" w:w="3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Tarifa publicada por la firma</w:t>
            </w:r>
          </w:p>
        </w:tc>
      </w:tr>
      <w:tr>
        <w:trPr>
          <w:tblHeader w:val="false"/>
        </w:trPr>
        <w:tc>
          <w:tcPr>
            <w:tcW w:type="dxa" w:w="3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Boutique de Europa occidental</w:t>
            </w:r>
          </w:p>
        </w:tc>
        <w:tc>
          <w:tcPr>
            <w:tcW w:type="dxa" w:w="1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1.000 – 1.800 €</w:t>
            </w:r>
          </w:p>
        </w:tc>
        <w:tc>
          <w:tcPr>
            <w:tcW w:type="dxa" w:w="3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Prensa técnica del sector, junio de 2025</w:t>
            </w:r>
          </w:p>
        </w:tc>
      </w:tr>
      <w:tr>
        <w:trPr>
          <w:tblHeader w:val="false"/>
        </w:trPr>
        <w:tc>
          <w:tcPr>
            <w:tcW w:type="dxa" w:w="3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Firma de primer nivel</w:t>
            </w:r>
          </w:p>
        </w:tc>
        <w:tc>
          <w:tcPr>
            <w:tcW w:type="dxa" w:w="1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1.800 – 2.600 €</w:t>
            </w:r>
          </w:p>
        </w:tc>
        <w:tc>
          <w:tcPr>
            <w:tcW w:type="dxa" w:w="3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Derivado de programas públicos de financiación de auditorías, que publican importes y horas</w:t>
            </w:r>
          </w:p>
        </w:tc>
      </w:tr>
      <w:tr>
        <w:trPr>
          <w:tblHeader w:val="false"/>
        </w:trPr>
        <w:tc>
          <w:tcPr>
            <w:tcW w:type="dxa" w:w="3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Suelo de mercado español</w:t>
            </w:r>
          </w:p>
        </w:tc>
        <w:tc>
          <w:tcPr>
            <w:tcW w:type="dxa" w:w="1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925 €</w:t>
            </w:r>
          </w:p>
        </w:tc>
        <w:tc>
          <w:tcPr>
            <w:tcW w:type="dxa" w:w="3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Adjudicación pública real de 2025 — auditoría de certificación, no ofensiva</w:t>
            </w:r>
          </w:p>
        </w:tc>
      </w:tr>
    </w:tbl>
    <w:p>
      <w:pPr>
        <w:spacing w:after="140"/>
      </w:pPr>
    </w:p>
    <w:p>
      <w:pPr>
        <w:pStyle w:val="Heading3"/>
        <w:spacing w:after="100" w:before="220"/>
      </w:pPr>
      <w:r>
        <w:rPr>
          <w:rFonts w:ascii="Calibri" w:cs="Calibri" w:eastAsia="Calibri" w:hAnsi="Calibri"/>
          <w:b/>
          <w:bCs/>
          <w:color w:val="07111F"/>
          <w:sz w:val="22"/>
          <w:szCs w:val="22"/>
        </w:rPr>
        <w:t xml:space="preserve">La cuenta completa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2900"/>
      </w:tblGrid>
      <w:tr>
        <w:trPr>
          <w:tblHeader/>
        </w:trPr>
        <w:tc>
          <w:tcPr>
            <w:tcW w:type="dxa" w:w="3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Partida</w:t>
            </w:r>
          </w:p>
        </w:tc>
        <w:tc>
          <w:tcPr>
            <w:tcW w:type="dxa" w:w="28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Camino ajustado</w:t>
            </w:r>
          </w:p>
        </w:tc>
        <w:tc>
          <w:tcPr>
            <w:tcW w:type="dxa" w:w="29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Camino recomendado</w:t>
            </w:r>
          </w:p>
        </w:tc>
      </w:tr>
      <w:tr>
        <w:trPr>
          <w:tblHeader w:val="false"/>
        </w:trPr>
        <w:tc>
          <w:tcPr>
            <w:tcW w:type="dxa" w:w="3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Auditoría e intrusión, 14 – 21 jornadas</w:t>
            </w:r>
          </w:p>
        </w:tc>
        <w:tc>
          <w:tcPr>
            <w:tcW w:type="dxa" w:w="2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10.000 – 17.000 €</w:t>
            </w:r>
          </w:p>
        </w:tc>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18.000 – 26.000 €</w:t>
            </w:r>
          </w:p>
        </w:tc>
      </w:tr>
      <w:tr>
        <w:trPr>
          <w:tblHeader w:val="false"/>
        </w:trPr>
        <w:tc>
          <w:tcPr>
            <w:tcW w:type="dxa" w:w="3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Dictamen jurídico y adecuación, consolidados en un solo encargo</w:t>
            </w:r>
          </w:p>
        </w:tc>
        <w:tc>
          <w:tcPr>
            <w:tcW w:type="dxa" w:w="2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8.000 – 12.000 €</w:t>
            </w:r>
          </w:p>
        </w:tc>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12.000 – 18.000 €</w:t>
            </w:r>
          </w:p>
        </w:tc>
      </w:tr>
      <w:tr>
        <w:trPr>
          <w:tblHeader w:val="false"/>
        </w:trPr>
        <w:tc>
          <w:tcPr>
            <w:tcW w:type="dxa" w:w="3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Seguro de ciberriesgo y de responsabilidad civil profesional</w:t>
            </w:r>
          </w:p>
        </w:tc>
        <w:tc>
          <w:tcPr>
            <w:tcW w:type="dxa" w:w="2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500 – 1.000 €</w:t>
            </w:r>
          </w:p>
        </w:tc>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1.000 – 1.500 €</w:t>
            </w:r>
          </w:p>
        </w:tc>
      </w:tr>
      <w:tr>
        <w:trPr>
          <w:tblHeader w:val="false"/>
        </w:trPr>
        <w:tc>
          <w:tcPr>
            <w:tcW w:type="dxa" w:w="3300"/>
            <w:tcBorders>
              <w:top w:val="single" w:color="D6DAE2" w:sz="4"/>
              <w:left w:val="single" w:color="D6DAE2" w:sz="4"/>
              <w:bottom w:val="single" w:color="D6DAE2" w:sz="4"/>
              <w:right w:val="single" w:color="D6DAE2" w:sz="4"/>
            </w:tcBorders>
            <w:shd w:fill="FDEDEC"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Total año 1</w:t>
            </w:r>
          </w:p>
        </w:tc>
        <w:tc>
          <w:tcPr>
            <w:tcW w:type="dxa" w:w="2800"/>
            <w:tcBorders>
              <w:top w:val="single" w:color="D6DAE2" w:sz="4"/>
              <w:left w:val="single" w:color="D6DAE2" w:sz="4"/>
              <w:bottom w:val="single" w:color="D6DAE2" w:sz="4"/>
              <w:right w:val="single" w:color="D6DAE2" w:sz="4"/>
            </w:tcBorders>
            <w:shd w:fill="FDEDEC"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18.500 – 30.000 €</w:t>
            </w:r>
          </w:p>
        </w:tc>
        <w:tc>
          <w:tcPr>
            <w:tcW w:type="dxa" w:w="2900"/>
            <w:tcBorders>
              <w:top w:val="single" w:color="D6DAE2" w:sz="4"/>
              <w:left w:val="single" w:color="D6DAE2" w:sz="4"/>
              <w:bottom w:val="single" w:color="D6DAE2" w:sz="4"/>
              <w:right w:val="single" w:color="D6DAE2" w:sz="4"/>
            </w:tcBorders>
            <w:shd w:fill="FDEDEC" w:color="auto" w:val="clear"/>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31.000 – 45.500 €</w:t>
            </w:r>
          </w:p>
        </w:tc>
      </w:tr>
    </w:tbl>
    <w:p>
      <w:pPr>
        <w:spacing w:after="120"/>
      </w:pPr>
    </w:p>
    <w:p>
      <w:pPr>
        <w:spacing w:after="120" w:before="0" w:line="276"/>
      </w:pPr>
      <w:r>
        <w:rPr>
          <w:rFonts w:ascii="Calibri" w:cs="Calibri" w:eastAsia="Calibri" w:hAnsi="Calibri"/>
          <w:sz w:val="20"/>
          <w:szCs w:val="20"/>
        </w:rPr>
        <w:t xml:space="preserve">Todo sin impuesto sobre el valor añadido: como sociedad española es deducible, así que el coste neto es la base.</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4B7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B4B7A"/>
                <w:sz w:val="19"/>
                <w:szCs w:val="19"/>
              </w:rPr>
              <w:t xml:space="preserve">Tres hallazgos que bajan esta partida, y uno que no</w:t>
            </w:r>
          </w:p>
          <w:p>
            <w:pPr>
              <w:spacing w:after="0" w:line="270"/>
            </w:pPr>
            <w:r>
              <w:rPr>
                <w:rFonts w:ascii="Calibri" w:cs="Calibri" w:eastAsia="Calibri" w:hAnsi="Calibri"/>
                <w:sz w:val="18"/>
                <w:szCs w:val="18"/>
              </w:rPr>
              <w:t xml:space="preserve">No hace falta delegado de protección de datos. Ninguno de los supuestos legales encaja con este perfil, y designarlo voluntariamente activa obligaciones sin obtener nada. Ahorro: entre seiscientos y cuatro mil quinientos euros al año que muchos presupuestan por defecto.</w:t>
            </w:r>
          </w:p>
          <w:p>
            <w:pPr>
              <w:spacing w:after="0" w:line="270"/>
            </w:pPr>
            <w:r>
              <w:rPr>
                <w:rFonts w:ascii="Calibri" w:cs="Calibri" w:eastAsia="Calibri" w:hAnsi="Calibri"/>
                <w:sz w:val="18"/>
                <w:szCs w:val="18"/>
              </w:rPr>
              <w:t xml:space="preserve">La consulta previa al regulador español no tiene tasa. Es la vía para obtener su criterio sobre la postura de cifrado sin pagar por él. El orden correcto es evaluación de impacto, dictamen, y consulta solo si queda riesgo residual.</w:t>
            </w:r>
          </w:p>
          <w:p>
            <w:pPr>
              <w:spacing w:after="0" w:line="270"/>
            </w:pPr>
            <w:r>
              <w:rPr>
                <w:rFonts w:ascii="Calibri" w:cs="Calibri" w:eastAsia="Calibri" w:hAnsi="Calibri"/>
                <w:sz w:val="18"/>
                <w:szCs w:val="18"/>
              </w:rPr>
              <w:t xml:space="preserve">El cumplimiento del reglamento europeo de inteligencia artificial no tiene coste de certificación: como desplegador de un sistema de riesgo limitado no hay marcado ni evaluación de conformidad. Es un aviso de transparencia, una política breve y un inventario. Se consolida en el mismo encargo jurídico.</w:t>
            </w:r>
          </w:p>
          <w:p>
            <w:pPr>
              <w:spacing w:after="0" w:line="270"/>
            </w:pPr>
            <w:r>
              <w:rPr>
                <w:rFonts w:ascii="Calibri" w:cs="Calibri" w:eastAsia="Calibri" w:hAnsi="Calibri"/>
                <w:sz w:val="18"/>
                <w:szCs w:val="18"/>
              </w:rPr>
              <w:t xml:space="preserve">Y el que no baja: hoy no hay ninguna ayuda pública española aplicable. Los dos programas que habrían servido están cerrados, y uno de ellos excluye expresamente a las empresas de menos de diez empleados. Se presupuesta a coste íntegro.</w:t>
            </w:r>
          </w:p>
        </w:tc>
      </w:tr>
    </w:tbl>
    <w:p>
      <w:pPr>
        <w:spacing w:after="160"/>
      </w:pPr>
    </w:p>
    <w:p>
      <w:pPr>
        <w:pStyle w:val="Heading2"/>
        <w:spacing w:after="140" w:before="280"/>
      </w:pPr>
      <w:r>
        <w:rPr>
          <w:rFonts w:ascii="Calibri" w:cs="Calibri" w:eastAsia="Calibri" w:hAnsi="Calibri"/>
          <w:b/>
          <w:bCs/>
          <w:color w:val="1B4B7A"/>
          <w:sz w:val="26"/>
          <w:szCs w:val="26"/>
        </w:rPr>
        <w:t xml:space="preserve">8.3 · Por qué la auditoría no se puede recortar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3261E"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B3261E"/>
                <w:sz w:val="19"/>
                <w:szCs w:val="19"/>
              </w:rPr>
              <w:t xml:space="preserve">El activo que se compra con esos euros</w:t>
            </w:r>
          </w:p>
          <w:p>
            <w:pPr>
              <w:spacing w:after="0" w:line="270"/>
            </w:pPr>
            <w:r>
              <w:rPr>
                <w:rFonts w:ascii="Calibri" w:cs="Calibri" w:eastAsia="Calibri" w:hAnsi="Calibri"/>
                <w:sz w:val="18"/>
                <w:szCs w:val="18"/>
              </w:rPr>
              <w:t xml:space="preserve">El producto se vende con una frase: «ni siquiera nosotros podemos leer tus negociaciones». Esa frase es o una garantía verificable o publicidad. La diferencia entre las dos cosas la firma un tercero independiente.</w:t>
            </w:r>
          </w:p>
          <w:p>
            <w:pPr>
              <w:spacing w:after="0" w:line="270"/>
            </w:pPr>
            <w:r>
              <w:rPr>
                <w:rFonts w:ascii="Calibri" w:cs="Calibri" w:eastAsia="Calibri" w:hAnsi="Calibri"/>
                <w:sz w:val="18"/>
                <w:szCs w:val="18"/>
              </w:rPr>
              <w:t xml:space="preserve">La recomendación operativa es acotar el alcance a los tres puntos donde un error es irreversible y silencioso —jerarquía de claves, envoltura y recuperación— y publicar el informe. En un mercado que compra confidencialidad, un informe público de una firma reconocida vale más que uno privado y exhaustivo que nadie puede leer.</w:t>
            </w:r>
          </w:p>
          <w:p>
            <w:pPr>
              <w:spacing w:after="0" w:line="270"/>
            </w:pPr>
            <w:r>
              <w:rPr>
                <w:rFonts w:ascii="Calibri" w:cs="Calibri" w:eastAsia="Calibri" w:hAnsi="Calibri"/>
                <w:sz w:val="18"/>
                <w:szCs w:val="18"/>
              </w:rPr>
              <w:t xml:space="preserve">Y el consejo de compra que vale más que el rango: exigir el número de jornadas en cada oferta, no solo el precio. Es la única variable comparable entre proveedores, y las firmas serias la publican en sus informes. Y separar en el contrato la revisión de diseño criptográfico de la prueba de intrusión: son perfiles distintos, y contratar intrusión genérica esperando que alguien revise los parámetros de derivación no lo consigue.</w:t>
            </w:r>
          </w:p>
        </w:tc>
      </w:tr>
    </w:tbl>
    <w:p>
      <w:pPr>
        <w:spacing w:after="160"/>
      </w:pPr>
    </w:p>
    <w:p>
      <w:pPr>
        <w:pStyle w:val="Heading2"/>
        <w:spacing w:after="140" w:before="280"/>
      </w:pPr>
      <w:r>
        <w:rPr>
          <w:rFonts w:ascii="Calibri" w:cs="Calibri" w:eastAsia="Calibri" w:hAnsi="Calibri"/>
          <w:b/>
          <w:bCs/>
          <w:color w:val="1B4B7A"/>
          <w:sz w:val="26"/>
          <w:szCs w:val="26"/>
        </w:rPr>
        <w:t xml:space="preserve">8.4 · Coste recurrente de operación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3400"/>
      </w:tblGrid>
      <w:tr>
        <w:trPr>
          <w:tblHeader/>
        </w:trPr>
        <w:tc>
          <w:tcPr>
            <w:tcW w:type="dxa" w:w="2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Escenario</w:t>
            </w:r>
          </w:p>
        </w:tc>
        <w:tc>
          <w:tcPr>
            <w:tcW w:type="dxa" w:w="1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Infra.</w:t>
            </w:r>
          </w:p>
        </w:tc>
        <w:tc>
          <w:tcPr>
            <w:tcW w:type="dxa" w:w="1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Agente</w:t>
            </w:r>
          </w:p>
        </w:tc>
        <w:tc>
          <w:tcPr>
            <w:tcW w:type="dxa" w:w="3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Composición principal</w:t>
            </w:r>
          </w:p>
        </w:tc>
      </w:tr>
      <w:tr>
        <w:trPr>
          <w:tblHeader w:val="false"/>
        </w:trPr>
        <w:tc>
          <w:tcPr>
            <w:tcW w:type="dxa" w:w="2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Desarrollo, sin clientes</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70 €/mes</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Tres entornos, base de datos gestionada, alojamiento y borde</w:t>
            </w:r>
          </w:p>
        </w:tc>
      </w:tr>
      <w:tr>
        <w:trPr>
          <w:tblHeader w:val="false"/>
        </w:trPr>
        <w:tc>
          <w:tcPr>
            <w:tcW w:type="dxa" w:w="2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Lanzamiento, ~50 clientes</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370 €/mes</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~200 €/mes</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Añade recuperación a un punto en el tiempo, cortafuegos de aplicación, observabilidad y correo transaccional</w:t>
            </w:r>
          </w:p>
        </w:tc>
      </w:tr>
      <w:tr>
        <w:trPr>
          <w:tblHeader w:val="false"/>
        </w:trPr>
        <w:tc>
          <w:tcPr>
            <w:tcW w:type="dxa" w:w="2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Régimen, ~500 clientes</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1.500 €/mes</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~1.000 €/mes</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Añade réplica de lectura, índice de búsqueda en alta disponibilidad y mayor cómputo</w:t>
            </w:r>
          </w:p>
        </w:tc>
      </w:tr>
    </w:tbl>
    <w:p>
      <w:pPr>
        <w:spacing w:after="140"/>
      </w:pPr>
    </w:p>
    <w:p>
      <w:pPr>
        <w:pStyle w:val="Heading2"/>
        <w:spacing w:after="140" w:before="280"/>
      </w:pPr>
      <w:r>
        <w:rPr>
          <w:rFonts w:ascii="Calibri" w:cs="Calibri" w:eastAsia="Calibri" w:hAnsi="Calibri"/>
          <w:b/>
          <w:bCs/>
          <w:color w:val="1B4B7A"/>
          <w:sz w:val="26"/>
          <w:szCs w:val="26"/>
        </w:rPr>
        <w:t xml:space="preserve">8.5 · Lo que significa para el negocio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Indicador</w:t>
            </w:r>
          </w:p>
        </w:tc>
        <w:tc>
          <w:tcPr>
            <w:tcW w:type="dxa" w:w="48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Valor</w:t>
            </w:r>
          </w:p>
        </w:tc>
      </w:tr>
      <w:tr>
        <w:trPr>
          <w:tblHeader w:val="false"/>
        </w:trPr>
        <w:tc>
          <w:tcPr>
            <w:tcW w:type="dxa" w:w="4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Coste total por cliente en régimen</w:t>
            </w:r>
          </w:p>
        </w:tc>
        <w:tc>
          <w:tcPr>
            <w:tcW w:type="dxa" w:w="4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 5 € / cliente / mes  ·  60 € / cliente / año</w:t>
            </w:r>
          </w:p>
        </w:tc>
      </w:tr>
      <w:tr>
        <w:trPr>
          <w:tblHeader w:val="false"/>
        </w:trPr>
        <w:tc>
          <w:tcPr>
            <w:tcW w:type="dxa" w:w="4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Composición</w:t>
            </w:r>
          </w:p>
        </w:tc>
        <w:tc>
          <w:tcPr>
            <w:tcW w:type="dxa" w:w="4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Unos 3 € de infraestructura y 2 € del agente conversacional</w:t>
            </w:r>
          </w:p>
        </w:tc>
      </w:tr>
      <w:tr>
        <w:trPr>
          <w:tblHeader w:val="false"/>
        </w:trPr>
        <w:tc>
          <w:tcPr>
            <w:tcW w:type="dxa" w:w="4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Margen bruto con suscripción anual de 500 €</w:t>
            </w:r>
          </w:p>
        </w:tc>
        <w:tc>
          <w:tcPr>
            <w:tcW w:type="dxa" w:w="4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Superior al 95 %</w:t>
            </w:r>
          </w:p>
        </w:tc>
      </w:tr>
      <w:tr>
        <w:trPr>
          <w:tblHeader w:val="false"/>
        </w:trPr>
        <w:tc>
          <w:tcPr>
            <w:tcW w:type="dxa" w:w="4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Margen bruto con suscripción anual de 1.000 €</w:t>
            </w:r>
          </w:p>
        </w:tc>
        <w:tc>
          <w:tcPr>
            <w:tcW w:type="dxa" w:w="4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Superior al 97 %</w:t>
            </w:r>
          </w:p>
        </w:tc>
      </w:tr>
      <w:tr>
        <w:trPr>
          <w:tblHeader w:val="false"/>
        </w:trPr>
        <w:tc>
          <w:tcPr>
            <w:tcW w:type="dxa" w:w="4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Punto de equilibrio de la operación</w:t>
            </w:r>
          </w:p>
        </w:tc>
        <w:tc>
          <w:tcPr>
            <w:tcW w:type="dxa" w:w="4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 500 clientes la plataforma entera cuesta 2.500 € al mes. Cinco suscripciones anuales de 1.000 € la financian por completo</w:t>
            </w:r>
          </w:p>
        </w:tc>
      </w:tr>
    </w:tbl>
    <w:p>
      <w:r>
        <w:br w:type="page"/>
      </w:r>
    </w:p>
    <w:p>
      <w:pPr>
        <w:pStyle w:val="Heading1"/>
        <w:spacing w:after="200" w:before="360"/>
      </w:pPr>
      <w:r>
        <w:rPr>
          <w:rFonts w:ascii="Calibri" w:cs="Calibri" w:eastAsia="Calibri" w:hAnsi="Calibri"/>
          <w:b/>
          <w:bCs/>
          <w:color w:val="07111F"/>
          <w:sz w:val="32"/>
          <w:szCs w:val="32"/>
        </w:rPr>
        <w:t xml:space="preserve">9 · Riesgos y cómo se controlan</w:t>
      </w:r>
    </w:p>
    <w:p>
      <w:pPr>
        <w:spacing w:after="120" w:before="0" w:line="276"/>
      </w:pPr>
      <w:r>
        <w:rPr>
          <w:rFonts w:ascii="Calibri" w:cs="Calibri" w:eastAsia="Calibri" w:hAnsi="Calibri"/>
          <w:sz w:val="20"/>
          <w:szCs w:val="20"/>
        </w:rPr>
        <w:t xml:space="preserve">Ordenados por lo que costaría equivocarse, no por probabilidad. Todos tienen ahora un instrumento de verificación asociado, que es la diferencia principal respecto a la v1.0.</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850"/>
        <w:gridCol w:w="3150"/>
        <w:gridCol w:w="2700"/>
      </w:tblGrid>
      <w:tr>
        <w:trPr>
          <w:tblHeader/>
        </w:trPr>
        <w:tc>
          <w:tcPr>
            <w:tcW w:type="dxa" w:w="2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Riesgo</w:t>
            </w:r>
          </w:p>
        </w:tc>
        <w:tc>
          <w:tcPr>
            <w:tcW w:type="dxa" w:w="85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Nivel</w:t>
            </w:r>
          </w:p>
        </w:tc>
        <w:tc>
          <w:tcPr>
            <w:tcW w:type="dxa" w:w="315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Control</w:t>
            </w:r>
          </w:p>
        </w:tc>
        <w:tc>
          <w:tcPr>
            <w:tcW w:type="dxa" w:w="27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Cuándo se cierra</w:t>
            </w:r>
          </w:p>
        </w:tc>
      </w:tr>
      <w:tr>
        <w:trPr>
          <w:tblHeader w:val="false"/>
        </w:trPr>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El agente responde con aplomo y es mentira</w:t>
            </w:r>
          </w:p>
        </w:tc>
        <w:tc>
          <w:tcPr>
            <w:tcW w:type="dxa" w:w="8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ALTO</w:t>
            </w:r>
          </w:p>
        </w:tc>
        <w:tc>
          <w:tcPr>
            <w:tcW w:type="dxa" w:w="31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Banco de preguntas con la respuesta verdadera conocida de antemano, aserto contra el retorno de la herramienta y no contra la prosa, medido con varianza, más un corpus adversario</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Nunca del todo. Se mide en cada cambio de prompt</w:t>
            </w:r>
          </w:p>
        </w:tc>
      </w:tr>
      <w:tr>
        <w:trPr>
          <w:tblHeader w:val="false"/>
        </w:trPr>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El respaldo de clave falla en silencio</w:t>
            </w:r>
          </w:p>
        </w:tc>
        <w:tc>
          <w:tcPr>
            <w:tcW w:type="dxa" w:w="8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ALTO</w:t>
            </w:r>
          </w:p>
        </w:tc>
        <w:tc>
          <w:tcPr>
            <w:tcW w:type="dxa" w:w="31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Los tres invariantes como pruebas negativas, vectores públicos, propiedad contra reutilización de nonce, mutación sobre el módulo, y auditoría externa</w:t>
            </w:r>
          </w:p>
        </w:tc>
        <w:tc>
          <w:tcPr>
            <w:tcW w:type="dxa" w:w="2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H2 y H7</w:t>
            </w:r>
          </w:p>
        </w:tc>
      </w:tr>
      <w:tr>
        <w:trPr>
          <w:tblHeader w:val="false"/>
        </w:trPr>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Fuga entre compañeros de la misma organización</w:t>
            </w:r>
          </w:p>
        </w:tc>
        <w:tc>
          <w:tcPr>
            <w:tcW w:type="dxa" w:w="8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ALTO</w:t>
            </w:r>
          </w:p>
        </w:tc>
        <w:tc>
          <w:tcPr>
            <w:tcW w:type="dxa" w:w="31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Los seis invariantes de ADR-002 con prueba automática, y la lista derivada verificada en los tres caminos: consulta directa, lista y VERA. Basta que uno falle</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H5 y H6</w:t>
            </w:r>
          </w:p>
        </w:tc>
      </w:tr>
      <w:tr>
        <w:trPr>
          <w:tblHeader w:val="false"/>
        </w:trPr>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Fuga entre organizaciones bajo contención</w:t>
            </w:r>
          </w:p>
        </w:tc>
        <w:tc>
          <w:tcPr>
            <w:tcW w:type="dxa" w:w="8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ALTO</w:t>
            </w:r>
          </w:p>
        </w:tc>
        <w:tc>
          <w:tcPr>
            <w:tcW w:type="dxa" w:w="31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Toda prueba de carga afirma aislamiento de datos, no solo latencia. Auditoría de las políticas de acceso contra las cinco reglas</w:t>
            </w:r>
          </w:p>
        </w:tc>
        <w:tc>
          <w:tcPr>
            <w:tcW w:type="dxa" w:w="2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H6</w:t>
            </w:r>
          </w:p>
        </w:tc>
      </w:tr>
      <w:tr>
        <w:trPr>
          <w:tblHeader w:val="false"/>
        </w:trPr>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Pérdida silenciosa de mensajes en tiempo real</w:t>
            </w:r>
          </w:p>
        </w:tc>
        <w:tc>
          <w:tcPr>
            <w:tcW w:type="dxa" w:w="8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ALTO</w:t>
            </w:r>
          </w:p>
        </w:tc>
        <w:tc>
          <w:tcPr>
            <w:tcW w:type="dxa" w:w="31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Número de secuencia por emisor y contador de huecos, con umbral que hace fallar la prueba si se pierde uno solo. Ampliación de cuota pedida antes del lanzamiento</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H6</w:t>
            </w:r>
          </w:p>
        </w:tc>
      </w:tr>
      <w:tr>
        <w:trPr>
          <w:tblHeader w:val="false"/>
        </w:trPr>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Rechazo de autenticación por salida corporativa compartida</w:t>
            </w:r>
          </w:p>
        </w:tc>
        <w:tc>
          <w:tcPr>
            <w:tcW w:type="dxa" w:w="8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ALTO</w:t>
            </w:r>
          </w:p>
        </w:tc>
        <w:tc>
          <w:tcPr>
            <w:tcW w:type="dxa" w:w="31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 se puede subir el límite: se absorbe con dispersión al arrancar sesión y reintento con espera creciente. La flota de prueba comparte dirección por organización</w:t>
            </w:r>
          </w:p>
        </w:tc>
        <w:tc>
          <w:tcPr>
            <w:tcW w:type="dxa" w:w="2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H6</w:t>
            </w:r>
          </w:p>
        </w:tc>
      </w:tr>
      <w:tr>
        <w:trPr>
          <w:tblHeader w:val="false"/>
        </w:trPr>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La fábrica de pantallas no rinde</w:t>
            </w:r>
          </w:p>
        </w:tc>
        <w:tc>
          <w:tcPr>
            <w:tcW w:type="dxa" w:w="8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MEDIO</w:t>
            </w:r>
          </w:p>
        </w:tc>
        <w:tc>
          <w:tcPr>
            <w:tcW w:type="dxa" w:w="31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 pone a prueba en la semana tres con tres pantallas reales y umbral escrito de antemano</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H1</w:t>
            </w:r>
          </w:p>
        </w:tc>
      </w:tr>
      <w:tr>
        <w:trPr>
          <w:tblHeader w:val="false"/>
        </w:trPr>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La postura de protección de datos no está resuelta</w:t>
            </w:r>
          </w:p>
        </w:tc>
        <w:tc>
          <w:tcPr>
            <w:tcW w:type="dxa" w:w="8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MEDIO</w:t>
            </w:r>
          </w:p>
        </w:tc>
        <w:tc>
          <w:tcPr>
            <w:tcW w:type="dxa" w:w="31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cifrado hace técnicamente imposible entregar contenido; hay que documentarlo como decisión de diseño antes de vender, no después</w:t>
            </w:r>
          </w:p>
        </w:tc>
        <w:tc>
          <w:tcPr>
            <w:tcW w:type="dxa" w:w="2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H7</w:t>
            </w:r>
          </w:p>
        </w:tc>
      </w:tr>
      <w:tr>
        <w:trPr>
          <w:tblHeader w:val="false"/>
        </w:trPr>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Cadena de suministro del utillaje externo</w:t>
            </w:r>
          </w:p>
        </w:tc>
        <w:tc>
          <w:tcPr>
            <w:tcW w:type="dxa" w:w="8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MEDIO</w:t>
            </w:r>
          </w:p>
        </w:tc>
        <w:tc>
          <w:tcPr>
            <w:tcW w:type="dxa" w:w="31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Modo aislado, versión fijada en cabeza separada e interruptores de red apagados, de modo que ninguna actualización se aplique sola. Revisión periódica del registro de salidas de red y del estado del repositorio</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 revisa en cada actualización manual</w:t>
            </w:r>
          </w:p>
        </w:tc>
      </w:tr>
      <w:tr>
        <w:trPr>
          <w:tblHeader w:val="false"/>
        </w:trPr>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Concentración en una sola persona</w:t>
            </w:r>
          </w:p>
        </w:tc>
        <w:tc>
          <w:tcPr>
            <w:tcW w:type="dxa" w:w="8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MEDIO</w:t>
            </w:r>
          </w:p>
        </w:tc>
        <w:tc>
          <w:tcPr>
            <w:tcW w:type="dxa" w:w="31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Riesgo estructural. Se mitiga con criterios de cierre que son comandos y no opiniones, para que otro pueda continuar</w:t>
            </w:r>
          </w:p>
        </w:tc>
        <w:tc>
          <w:tcPr>
            <w:tcW w:type="dxa" w:w="2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 se cierra en V1</w:t>
            </w:r>
          </w:p>
        </w:tc>
      </w:tr>
      <w:tr>
        <w:trPr>
          <w:tblHeader w:val="false"/>
        </w:trPr>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Densidad insuficiente en el mercado ancla</w:t>
            </w:r>
          </w:p>
        </w:tc>
        <w:tc>
          <w:tcPr>
            <w:tcW w:type="dxa" w:w="8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MEDIO</w:t>
            </w:r>
          </w:p>
        </w:tc>
        <w:tc>
          <w:tcPr>
            <w:tcW w:type="dxa" w:w="31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Semáforo cuantitativo antes de abrir el siguiente anillo geográfico. La métrica es el disparador, no el calendario</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H8</w:t>
            </w:r>
          </w:p>
        </w:tc>
      </w:tr>
      <w:tr>
        <w:trPr>
          <w:tblHeader w:val="false"/>
        </w:trPr>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Alojamiento en plan no comercial</w:t>
            </w:r>
          </w:p>
        </w:tc>
        <w:tc>
          <w:tcPr>
            <w:tcW w:type="dxa" w:w="8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BAJO</w:t>
            </w:r>
          </w:p>
        </w:tc>
        <w:tc>
          <w:tcPr>
            <w:tcW w:type="dxa" w:w="31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plan gratuito prohíbe expresamente el uso comercial, incluido el caso de que alguien cobre por escribir el código. Regularizar cuesta veinte dólares al mes</w:t>
            </w:r>
          </w:p>
        </w:tc>
        <w:tc>
          <w:tcPr>
            <w:tcW w:type="dxa" w:w="2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Semana 5</w:t>
            </w:r>
          </w:p>
        </w:tc>
      </w:tr>
    </w:tbl>
    <w:p>
      <w:r>
        <w:br w:type="page"/>
      </w:r>
    </w:p>
    <w:p>
      <w:pPr>
        <w:pStyle w:val="Heading1"/>
        <w:spacing w:after="200" w:before="360"/>
      </w:pPr>
      <w:r>
        <w:rPr>
          <w:rFonts w:ascii="Calibri" w:cs="Calibri" w:eastAsia="Calibri" w:hAnsi="Calibri"/>
          <w:b/>
          <w:bCs/>
          <w:color w:val="07111F"/>
          <w:sz w:val="32"/>
          <w:szCs w:val="32"/>
        </w:rPr>
        <w:t xml:space="preserve">10 · Las decisiones que necesita este plan</w:t>
      </w:r>
    </w:p>
    <w:p>
      <w:pPr>
        <w:spacing w:after="120" w:before="0" w:line="276"/>
      </w:pPr>
      <w:r>
        <w:rPr>
          <w:rFonts w:ascii="Calibri" w:cs="Calibri" w:eastAsia="Calibri" w:hAnsi="Calibri"/>
          <w:sz w:val="20"/>
          <w:szCs w:val="20"/>
        </w:rPr>
        <w:t xml:space="preserve">Tres. Ninguna es técnica en el fondo: una es legal, otra de asignación de recursos y la tercera comercial. Van con recomendación, pero se deciden fuera de la ingeniería.</w:t>
      </w:r>
    </w:p>
    <w:p>
      <w:pPr>
        <w:spacing w:after="120"/>
      </w:pPr>
    </w:p>
    <w:p>
      <w:pPr>
        <w:pStyle w:val="Heading2"/>
        <w:spacing w:after="140" w:before="280"/>
      </w:pPr>
      <w:r>
        <w:rPr>
          <w:rFonts w:ascii="Calibri" w:cs="Calibri" w:eastAsia="Calibri" w:hAnsi="Calibri"/>
          <w:b/>
          <w:bCs/>
          <w:color w:val="1B4B7A"/>
          <w:sz w:val="26"/>
          <w:szCs w:val="26"/>
        </w:rPr>
        <w:t xml:space="preserve">Decisión 1 · Modelo y jurisdicción del agente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La cuestión</w:t>
            </w:r>
          </w:p>
        </w:tc>
        <w:tc>
          <w:tcPr>
            <w:tcW w:type="dxa" w:w="6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Si VERA pasa a DeepSeek V4 Pro, como se propuso, o a Claude Sonnet 5 sobre infraestructura europea.</w:t>
            </w:r>
          </w:p>
        </w:tc>
      </w:tr>
      <w:tr>
        <w:trPr>
          <w:tblHeader w:val="false"/>
        </w:trPr>
        <w:tc>
          <w:tcPr>
            <w:tcW w:type="dxa" w:w="22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Recomendación</w:t>
            </w:r>
          </w:p>
        </w:tc>
        <w:tc>
          <w:tcPr>
            <w:tcW w:type="dxa" w:w="6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Sonnet 5 sobre Vertex AI europeo.</w:t>
            </w:r>
          </w:p>
        </w:tc>
      </w:tr>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Por qué</w:t>
            </w:r>
          </w:p>
        </w:tc>
        <w:tc>
          <w:tcPr>
            <w:tcW w:type="dxa" w:w="6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Baja el coste del agente un 33 % respecto a lo que hoy está en producción, mejora su calidad, mantiene la restricción cerrada del stack y resuelve además la residencia de datos, que la interfaz directa no ofrece. La opción china ahorraría unos 150 € al mes y pondría en riesgo el único activo que la plataforma vende.</w:t>
            </w:r>
          </w:p>
        </w:tc>
      </w:tr>
      <w:tr>
        <w:trPr>
          <w:tblHeader w:val="false"/>
        </w:trPr>
        <w:tc>
          <w:tcPr>
            <w:tcW w:type="dxa" w:w="2200"/>
            <w:tcBorders>
              <w:top w:val="single" w:color="D6DAE2" w:sz="4"/>
              <w:left w:val="single" w:color="D6DAE2" w:sz="4"/>
              <w:bottom w:val="single" w:color="D6DAE2" w:sz="4"/>
              <w:right w:val="single" w:color="D6DAE2" w:sz="4"/>
            </w:tcBorders>
            <w:shd w:fill="FDF6E3" w:color="auto" w:val="clear"/>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Si se discrepa</w:t>
            </w:r>
          </w:p>
        </w:tc>
        <w:tc>
          <w:tcPr>
            <w:tcW w:type="dxa" w:w="6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única vía verificada con procesamiento europeo es DeepSeek V4 Flash en la nube de Microsoft. Antes de adoptarla, medirla contra el banco de preguntas de control: el instrumento existe y la comparación cuesta minutos. No adoptarla sin medirla.</w:t>
            </w:r>
          </w:p>
        </w:tc>
      </w:tr>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Coste de decidir mal</w:t>
            </w:r>
          </w:p>
        </w:tc>
        <w:tc>
          <w:tcPr>
            <w:tcW w:type="dxa" w:w="6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diferenciador comercial completo.</w:t>
            </w:r>
          </w:p>
        </w:tc>
      </w:tr>
    </w:tbl>
    <w:p>
      <w:pPr>
        <w:spacing w:after="180"/>
      </w:pPr>
    </w:p>
    <w:p>
      <w:pPr>
        <w:pStyle w:val="Heading2"/>
        <w:spacing w:after="140" w:before="280"/>
      </w:pPr>
      <w:r>
        <w:rPr>
          <w:rFonts w:ascii="Calibri" w:cs="Calibri" w:eastAsia="Calibri" w:hAnsi="Calibri"/>
          <w:b/>
          <w:bCs/>
          <w:color w:val="1B4B7A"/>
          <w:sz w:val="26"/>
          <w:szCs w:val="26"/>
        </w:rPr>
        <w:t xml:space="preserve">Decisión 2 · Backend propio ahora, o cuando haga falta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La cuestión</w:t>
            </w:r>
          </w:p>
        </w:tc>
        <w:tc>
          <w:tcPr>
            <w:tcW w:type="dxa" w:w="6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stack aprobado prevé un monolito propio en contenedores desde el principio. El MVP demostró que la base de datos gestionada, con sus reglas de acceso y sus funciones en el borde, sostiene los flujos centrales sin él.</w:t>
            </w:r>
          </w:p>
        </w:tc>
      </w:tr>
      <w:tr>
        <w:trPr>
          <w:tblHeader w:val="false"/>
        </w:trPr>
        <w:tc>
          <w:tcPr>
            <w:tcW w:type="dxa" w:w="22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Recomendación</w:t>
            </w:r>
          </w:p>
        </w:tc>
        <w:tc>
          <w:tcPr>
            <w:tcW w:type="dxa" w:w="6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Diferirlo hasta que se dispare su necesidad, y escribir el disparador ahora.</w:t>
            </w:r>
          </w:p>
        </w:tc>
      </w:tr>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El disparador</w:t>
            </w:r>
          </w:p>
        </w:tc>
        <w:tc>
          <w:tcPr>
            <w:tcW w:type="dxa" w:w="6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Cuando la ingesta de catálogos supere los límites de ejecución de las funciones en el borde, o cuando la interfaz para sistemas de gestión de clientes necesite su propio ciclo de vida. Los dos son observables, no opinables.</w:t>
            </w:r>
          </w:p>
        </w:tc>
      </w:tr>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Qué se gana</w:t>
            </w:r>
          </w:p>
        </w:tc>
        <w:tc>
          <w:tcPr>
            <w:tcW w:type="dxa" w:w="6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Semanas de calendario y una superficie de operación permanente menos para un equipo de una persona.</w:t>
            </w:r>
          </w:p>
        </w:tc>
      </w:tr>
      <w:tr>
        <w:trPr>
          <w:tblHeader w:val="false"/>
        </w:trPr>
        <w:tc>
          <w:tcPr>
            <w:tcW w:type="dxa" w:w="2200"/>
            <w:tcBorders>
              <w:top w:val="single" w:color="D6DAE2" w:sz="4"/>
              <w:left w:val="single" w:color="D6DAE2" w:sz="4"/>
              <w:bottom w:val="single" w:color="D6DAE2" w:sz="4"/>
              <w:right w:val="single" w:color="D6DAE2" w:sz="4"/>
            </w:tcBorders>
            <w:shd w:fill="FDF6E3" w:color="auto" w:val="clear"/>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Qué se arriesga</w:t>
            </w:r>
          </w:p>
        </w:tc>
        <w:tc>
          <w:tcPr>
            <w:tcW w:type="dxa" w:w="6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Que el disparador llegue a mitad del módulo de inventario y haya que hacerlo con prisa. Se mitiga escribiendo la capa de ingesta detrás de una interfaz propia desde el principio.</w:t>
            </w:r>
          </w:p>
        </w:tc>
      </w:tr>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Nota honesta</w:t>
            </w:r>
          </w:p>
        </w:tc>
        <w:tc>
          <w:tcPr>
            <w:tcW w:type="dxa" w:w="6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Esto es reabrir una decisión cerrada del stack, y por eso llega como decisión y no como hecho consumado. Con el stack literal el plan sigue siendo válido: son unas semanas más.</w:t>
            </w:r>
          </w:p>
        </w:tc>
      </w:tr>
    </w:tbl>
    <w:p>
      <w:pPr>
        <w:spacing w:after="180"/>
      </w:pPr>
    </w:p>
    <w:p>
      <w:pPr>
        <w:pStyle w:val="Heading2"/>
        <w:spacing w:after="140" w:before="280"/>
      </w:pPr>
      <w:r>
        <w:rPr>
          <w:rFonts w:ascii="Calibri" w:cs="Calibri" w:eastAsia="Calibri" w:hAnsi="Calibri"/>
          <w:b/>
          <w:bCs/>
          <w:color w:val="1B4B7A"/>
          <w:sz w:val="26"/>
          <w:szCs w:val="26"/>
        </w:rPr>
        <w:t xml:space="preserve">Decisión 3 · Alcance de la auditoría y publicación del informe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La cuestión</w:t>
            </w:r>
          </w:p>
        </w:tc>
        <w:tc>
          <w:tcPr>
            <w:tcW w:type="dxa" w:w="6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Auditoría de 14 – 21 jornadas con boutique centroeuropea (10.000 – 17.000 €) o con boutique de Europa occidental (18.000 – 26.000 €). Y si el informe se publica.</w:t>
            </w:r>
          </w:p>
        </w:tc>
      </w:tr>
      <w:tr>
        <w:trPr>
          <w:tblHeader w:val="false"/>
        </w:trPr>
        <w:tc>
          <w:tcPr>
            <w:tcW w:type="dxa" w:w="22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Recomendación</w:t>
            </w:r>
          </w:p>
        </w:tc>
        <w:tc>
          <w:tcPr>
            <w:tcW w:type="dxa" w:w="6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Alcance acotado, boutique europea occidental, informe publicado.</w:t>
            </w:r>
          </w:p>
        </w:tc>
      </w:tr>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Por qué</w:t>
            </w:r>
          </w:p>
        </w:tc>
        <w:tc>
          <w:tcPr>
            <w:tcW w:type="dxa" w:w="6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alcance acotado cubre exactamente los tres puntos donde un error es irreversible y silencioso. Y en un producto que vende confidencialidad verificable, un informe público de un tercero reconocido vale más comercialmente que uno privado y exhaustivo.</w:t>
            </w:r>
          </w:p>
        </w:tc>
      </w:tr>
      <w:tr>
        <w:trPr>
          <w:tblHeader w:val="false"/>
        </w:trPr>
        <w:tc>
          <w:tcPr>
            <w:tcW w:type="dxa" w:w="2200"/>
            <w:tcBorders>
              <w:top w:val="single" w:color="D6DAE2" w:sz="4"/>
              <w:left w:val="single" w:color="D6DAE2" w:sz="4"/>
              <w:bottom w:val="single" w:color="D6DAE2" w:sz="4"/>
              <w:right w:val="single" w:color="D6DAE2" w:sz="4"/>
            </w:tcBorders>
            <w:shd w:fill="FDF6E3" w:color="auto" w:val="clear"/>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Cuándo se contrata</w:t>
            </w:r>
          </w:p>
        </w:tc>
        <w:tc>
          <w:tcPr>
            <w:tcW w:type="dxa" w:w="6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En la semana 6, no al final. Las firmas tienen agenda de semanas y esperar añade un mes muerto al proyecto.</w:t>
            </w:r>
          </w:p>
        </w:tc>
      </w:tr>
    </w:tbl>
    <w:p>
      <w:r>
        <w:br w:type="page"/>
      </w:r>
    </w:p>
    <w:p>
      <w:pPr>
        <w:pStyle w:val="Heading1"/>
        <w:spacing w:after="200" w:before="360"/>
      </w:pPr>
      <w:r>
        <w:rPr>
          <w:rFonts w:ascii="Calibri" w:cs="Calibri" w:eastAsia="Calibri" w:hAnsi="Calibri"/>
          <w:b/>
          <w:bCs/>
          <w:color w:val="07111F"/>
          <w:sz w:val="32"/>
          <w:szCs w:val="32"/>
        </w:rPr>
        <w:t xml:space="preserve">11 · Seis acciones para esta semana</w:t>
      </w:r>
    </w:p>
    <w:p>
      <w:pPr>
        <w:spacing w:after="120" w:before="0" w:line="276"/>
      </w:pPr>
      <w:r>
        <w:rPr>
          <w:rFonts w:ascii="Calibri" w:cs="Calibri" w:eastAsia="Calibri" w:hAnsi="Calibri"/>
          <w:sz w:val="20"/>
          <w:szCs w:val="20"/>
        </w:rPr>
        <w:t xml:space="preserve">Las seis cuestan cero euros, ninguna depende de que el plan esté aprobado, y todas eliminan riesgo que hoy está vivo.</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200"/>
      </w:tblGrid>
      <w:tr>
        <w:trPr>
          <w:tblHeader/>
        </w:trPr>
        <w:tc>
          <w:tcPr>
            <w:tcW w:type="dxa" w:w="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w:t>
            </w:r>
          </w:p>
        </w:tc>
        <w:tc>
          <w:tcPr>
            <w:tcW w:type="dxa" w:w="3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Acción</w:t>
            </w:r>
          </w:p>
        </w:tc>
        <w:tc>
          <w:tcPr>
            <w:tcW w:type="dxa" w:w="5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Por qué</w:t>
            </w:r>
          </w:p>
        </w:tc>
      </w:tr>
      <w:tr>
        <w:trPr>
          <w:tblHeader w:val="false"/>
        </w:trPr>
        <w:tc>
          <w:tcPr>
            <w:tcW w:type="dxa" w:w="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w:t>
            </w:r>
          </w:p>
        </w:tc>
        <w:tc>
          <w:tcPr>
            <w:tcW w:type="dxa" w:w="3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Pedir ampliación de cuotas de tiempo real al proveedor</w:t>
            </w:r>
          </w:p>
        </w:tc>
        <w:tc>
          <w:tcPr>
            <w:tcW w:type="dxa" w:w="5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objetivo de 500 concurrentes es exactamente la cuota actual, y con el tope de gasto activo el exceso se rechaza en vez de facturarse. Los límites son configurables por proyecto sin cambiar de plan, y el propio equipo del proveedor lo confirma por escrito. Preguntar además por el límite de caudal por cliente, que aparece en el código del servidor y no en la tabla de cuotas</w:t>
            </w:r>
          </w:p>
        </w:tc>
      </w:tr>
      <w:tr>
        <w:trPr>
          <w:tblHeader w:val="false"/>
        </w:trPr>
        <w:tc>
          <w:tcPr>
            <w:tcW w:type="dxa" w:w="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2</w:t>
            </w:r>
          </w:p>
        </w:tc>
        <w:tc>
          <w:tcPr>
            <w:tcW w:type="dxa" w:w="3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Comprobar la versión de la biblioteca de tiempo real</w:t>
            </w:r>
          </w:p>
        </w:tc>
        <w:tc>
          <w:tcPr>
            <w:tcW w:type="dxa" w:w="5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Si el descarte de mensajes en ráfaga se reprodujo durante el MVP, la versión instalada está dos años por detrás. Y el parámetro que se configuró para corregirlo ya no existe en las versiones actuales: mantenerlo produce falsa confianza</w:t>
            </w:r>
          </w:p>
        </w:tc>
      </w:tr>
      <w:tr>
        <w:trPr>
          <w:tblHeader w:val="false"/>
        </w:trPr>
        <w:tc>
          <w:tcPr>
            <w:tcW w:type="dxa" w:w="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w:t>
            </w:r>
          </w:p>
        </w:tc>
        <w:tc>
          <w:tcPr>
            <w:tcW w:type="dxa" w:w="3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Verificar qué compilación de Argon2 se usa</w:t>
            </w:r>
          </w:p>
        </w:tc>
        <w:tc>
          <w:tcPr>
            <w:tcW w:type="dxa" w:w="5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biblioteca habitual advierte que el parámetro de paralelismo no se computa en paralelo. Si es el caso, los cuatro carriles son decorativos. No es un fallo, pero debe ser una decisión consciente</w:t>
            </w:r>
          </w:p>
        </w:tc>
      </w:tr>
      <w:tr>
        <w:trPr>
          <w:tblHeader w:val="false"/>
        </w:trPr>
        <w:tc>
          <w:tcPr>
            <w:tcW w:type="dxa" w:w="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4</w:t>
            </w:r>
          </w:p>
        </w:tc>
        <w:tc>
          <w:tcPr>
            <w:tcW w:type="dxa" w:w="3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Auditar las políticas de acceso a datos contra las cinco reglas</w:t>
            </w:r>
          </w:p>
        </w:tc>
        <w:tc>
          <w:tcPr>
            <w:tcW w:type="dxa" w:w="5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Una función sin envolver en una política pasa de milisegundos a minutos sobre cien mil filas. El catálogo de V1 tiene millones. No es lentitud: es una caída</w:t>
            </w:r>
          </w:p>
        </w:tc>
      </w:tr>
      <w:tr>
        <w:trPr>
          <w:tblHeader w:val="false"/>
        </w:trPr>
        <w:tc>
          <w:tcPr>
            <w:tcW w:type="dxa" w:w="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5</w:t>
            </w:r>
          </w:p>
        </w:tc>
        <w:tc>
          <w:tcPr>
            <w:tcW w:type="dxa" w:w="3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Integrar los vectores criptográficos públicos en integración continua</w:t>
            </w:r>
          </w:p>
        </w:tc>
        <w:tc>
          <w:tcPr>
            <w:tcW w:type="dxa" w:w="5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Media jornada, cero euros, y es lo primero que va a mirar un auditor. Cubren las clases de fallo que los vectores felices no tocan</w:t>
            </w:r>
          </w:p>
        </w:tc>
      </w:tr>
      <w:tr>
        <w:trPr>
          <w:tblHeader w:val="false"/>
        </w:trPr>
        <w:tc>
          <w:tcPr>
            <w:tcW w:type="dxa" w:w="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6</w:t>
            </w:r>
          </w:p>
        </w:tc>
        <w:tc>
          <w:tcPr>
            <w:tcW w:type="dxa" w:w="3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Instalar el utillaje externo con el script endurecido</w:t>
            </w:r>
          </w:p>
        </w:tc>
        <w:tc>
          <w:tcPr>
            <w:tcW w:type="dxa" w:w="5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Modo aislado, versión fijada e interruptores apagados, según el §5.4. El script hace copia de seguridad de la configuración global antes de tocarla, comprueba que no queda ningún enganche registrado y verifica que el repositorio del producto sigue intacto. Se ejecuta una vez y deja rastro auditable</w:t>
            </w:r>
          </w:p>
        </w:tc>
      </w:tr>
    </w:tbl>
    <w:p>
      <w:r>
        <w:br w:type="page"/>
      </w:r>
    </w:p>
    <w:p>
      <w:pPr>
        <w:pStyle w:val="Heading1"/>
        <w:spacing w:after="200" w:before="360"/>
      </w:pPr>
      <w:r>
        <w:rPr>
          <w:rFonts w:ascii="Calibri" w:cs="Calibri" w:eastAsia="Calibri" w:hAnsi="Calibri"/>
          <w:b/>
          <w:bCs/>
          <w:color w:val="07111F"/>
          <w:sz w:val="32"/>
          <w:szCs w:val="32"/>
        </w:rPr>
        <w:t xml:space="preserve">Anexo A · Qué se verificó, y qué no</w:t>
      </w:r>
    </w:p>
    <w:p>
      <w:pPr>
        <w:spacing w:after="120" w:before="0" w:line="276"/>
      </w:pPr>
      <w:r>
        <w:rPr>
          <w:rFonts w:ascii="Calibri" w:cs="Calibri" w:eastAsia="Calibri" w:hAnsi="Calibri"/>
          <w:sz w:val="20"/>
          <w:szCs w:val="20"/>
        </w:rPr>
        <w:t xml:space="preserve">Este plan distingue entre lo comprobado y lo estimado. La distinción es deliberada: un documento que presenta las dos cosas con la misma seguridad no sirve para decidir.</w:t>
      </w:r>
    </w:p>
    <w:p>
      <w:pPr>
        <w:spacing w:after="100"/>
      </w:pPr>
    </w:p>
    <w:p>
      <w:pPr>
        <w:pStyle w:val="Heading2"/>
        <w:spacing w:after="140" w:before="280"/>
      </w:pPr>
      <w:r>
        <w:rPr>
          <w:rFonts w:ascii="Calibri" w:cs="Calibri" w:eastAsia="Calibri" w:hAnsi="Calibri"/>
          <w:b/>
          <w:bCs/>
          <w:color w:val="1B4B7A"/>
          <w:sz w:val="26"/>
          <w:szCs w:val="26"/>
        </w:rPr>
        <w:t xml:space="preserve">Verificado en fuente primaria</w:t>
      </w:r>
    </w:p>
    <w:p>
      <w:pPr>
        <w:pStyle w:val="ListParagraph"/>
        <w:numPr>
          <w:ilvl w:val="0"/>
          <w:numId w:val="3"/>
        </w:numPr>
        <w:spacing w:after="80" w:line="276"/>
      </w:pPr>
      <w:r>
        <w:rPr>
          <w:rFonts w:ascii="Calibri" w:cs="Calibri" w:eastAsia="Calibri" w:hAnsi="Calibri"/>
          <w:sz w:val="20"/>
          <w:szCs w:val="20"/>
        </w:rPr>
        <w:t xml:space="preserve">Precios de todos los modelos citados, en las páginas oficiales de sus proveedores, el 18 de agosto de 2026.</w:t>
      </w:r>
    </w:p>
    <w:p>
      <w:pPr>
        <w:pStyle w:val="ListParagraph"/>
        <w:numPr>
          <w:ilvl w:val="0"/>
          <w:numId w:val="3"/>
        </w:numPr>
        <w:spacing w:after="80" w:line="276"/>
      </w:pPr>
      <w:r>
        <w:rPr>
          <w:rFonts w:ascii="Calibri" w:cs="Calibri" w:eastAsia="Calibri" w:hAnsi="Calibri"/>
          <w:sz w:val="20"/>
          <w:szCs w:val="20"/>
        </w:rPr>
        <w:t xml:space="preserve">Cuotas y límites de la plataforma de datos: conexiones concurrentes de tiempo real, mensajes por segundo, límites de autenticación por dirección de red, límites de las funciones en el borde y benchmarks oficiales de rendimiento de las políticas de acceso.</w:t>
      </w:r>
    </w:p>
    <w:p>
      <w:pPr>
        <w:pStyle w:val="ListParagraph"/>
        <w:numPr>
          <w:ilvl w:val="0"/>
          <w:numId w:val="3"/>
        </w:numPr>
        <w:spacing w:after="80" w:line="276"/>
      </w:pPr>
      <w:r>
        <w:rPr>
          <w:rFonts w:ascii="Calibri" w:cs="Calibri" w:eastAsia="Calibri" w:hAnsi="Calibri"/>
          <w:sz w:val="20"/>
          <w:szCs w:val="20"/>
        </w:rPr>
        <w:t xml:space="preserve">Comportamiento del cliente de tiempo real ante ráfagas, y la versión exacta en la que se retiró el parámetro de control — comprobado descargando y comparando las versiones del paquete, no de memoria.</w:t>
      </w:r>
    </w:p>
    <w:p>
      <w:pPr>
        <w:pStyle w:val="ListParagraph"/>
        <w:numPr>
          <w:ilvl w:val="0"/>
          <w:numId w:val="3"/>
        </w:numPr>
        <w:spacing w:after="80" w:line="276"/>
      </w:pPr>
      <w:r>
        <w:rPr>
          <w:rFonts w:ascii="Calibri" w:cs="Calibri" w:eastAsia="Calibri" w:hAnsi="Calibri"/>
          <w:sz w:val="20"/>
          <w:szCs w:val="20"/>
        </w:rPr>
        <w:t xml:space="preserve">Restricción de uso no comercial del plan gratuito del alojador, con su definición literal de uso comercial.</w:t>
      </w:r>
    </w:p>
    <w:p>
      <w:pPr>
        <w:pStyle w:val="ListParagraph"/>
        <w:numPr>
          <w:ilvl w:val="0"/>
          <w:numId w:val="3"/>
        </w:numPr>
        <w:spacing w:after="80" w:line="276"/>
      </w:pPr>
      <w:r>
        <w:rPr>
          <w:rFonts w:ascii="Calibri" w:cs="Calibri" w:eastAsia="Calibri" w:hAnsi="Calibri"/>
          <w:sz w:val="20"/>
          <w:szCs w:val="20"/>
        </w:rPr>
        <w:t xml:space="preserve">Jornadas declaradas en informes públicos de auditorías de productos comparables, y tarifas publicadas por firmas de seguridad europeas.</w:t>
      </w:r>
    </w:p>
    <w:p>
      <w:pPr>
        <w:pStyle w:val="ListParagraph"/>
        <w:numPr>
          <w:ilvl w:val="0"/>
          <w:numId w:val="3"/>
        </w:numPr>
        <w:spacing w:after="80" w:line="276"/>
      </w:pPr>
      <w:r>
        <w:rPr>
          <w:rFonts w:ascii="Calibri" w:cs="Calibri" w:eastAsia="Calibri" w:hAnsi="Calibri"/>
          <w:sz w:val="20"/>
          <w:szCs w:val="20"/>
        </w:rPr>
        <w:t xml:space="preserve">Precio de las herramientas de carga, de las plataformas de navegadores y dispositivos, y de la infraestructura de generación de carga.</w:t>
      </w:r>
    </w:p>
    <w:p>
      <w:pPr>
        <w:pStyle w:val="ListParagraph"/>
        <w:numPr>
          <w:ilvl w:val="0"/>
          <w:numId w:val="3"/>
        </w:numPr>
        <w:spacing w:after="80" w:line="276"/>
      </w:pPr>
      <w:r>
        <w:rPr>
          <w:rFonts w:ascii="Calibri" w:cs="Calibri" w:eastAsia="Calibri" w:hAnsi="Calibri"/>
          <w:sz w:val="20"/>
          <w:szCs w:val="20"/>
        </w:rPr>
        <w:t xml:space="preserve">Ausencia de decisión de adecuación de la Comisión Europea para China, actuaciones de los reguladores italiano y berlinés, y entrada en vigor de las obligaciones de transparencia del reglamento europeo de inteligencia artificial.</w:t>
      </w:r>
    </w:p>
    <w:p>
      <w:pPr>
        <w:pStyle w:val="ListParagraph"/>
        <w:numPr>
          <w:ilvl w:val="0"/>
          <w:numId w:val="3"/>
        </w:numPr>
        <w:spacing w:after="80" w:line="276"/>
      </w:pPr>
      <w:r>
        <w:rPr>
          <w:rFonts w:ascii="Calibri" w:cs="Calibri" w:eastAsia="Calibri" w:hAnsi="Calibri"/>
          <w:sz w:val="20"/>
          <w:szCs w:val="20"/>
        </w:rPr>
        <w:t xml:space="preserve">Estado de la infraestructura propia: versión de la función del agente y coincidencia entre el paquete publicado y el compilado, contra los sistemas vivos.</w:t>
      </w:r>
    </w:p>
    <w:p>
      <w:pPr>
        <w:spacing w:after="140"/>
      </w:pPr>
    </w:p>
    <w:p>
      <w:pPr>
        <w:pStyle w:val="Heading2"/>
        <w:spacing w:after="140" w:before="280"/>
      </w:pPr>
      <w:r>
        <w:rPr>
          <w:rFonts w:ascii="Calibri" w:cs="Calibri" w:eastAsia="Calibri" w:hAnsi="Calibri"/>
          <w:b/>
          <w:bCs/>
          <w:color w:val="1B4B7A"/>
          <w:sz w:val="26"/>
          <w:szCs w:val="26"/>
        </w:rPr>
        <w:t xml:space="preserve">Estimado, y por qué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Cifra</w:t>
            </w:r>
          </w:p>
        </w:tc>
        <w:tc>
          <w:tcPr>
            <w:tcW w:type="dxa" w:w="6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Procedencia y grado de confianza</w:t>
            </w:r>
          </w:p>
        </w:tc>
      </w:tr>
      <w:tr>
        <w:trPr>
          <w:tblHeader w:val="false"/>
        </w:trPr>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Coste de orquestación (1.500 – 4.500 €)</w:t>
            </w:r>
          </w:p>
        </w:tc>
        <w:tc>
          <w:tcPr>
            <w:tcW w:type="dxa" w:w="6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Estimación propia. Hoy no se mide en ninguna parte: por eso instrumentarlo es la primera tarea del plan. Trátese como orden de magnitud</w:t>
            </w:r>
          </w:p>
        </w:tc>
      </w:tr>
      <w:tr>
        <w:trPr>
          <w:tblHeader w:val="false"/>
        </w:trPr>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Tarifa de las firmas de primer nivel</w:t>
            </w:r>
          </w:p>
        </w:tc>
        <w:tc>
          <w:tcPr>
            <w:tcW w:type="dxa" w:w="6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Derivada de programas públicos que financian auditorías y publican importes y horas, ajustando el descuento que esos programas declaran obtener. No es una cotización</w:t>
            </w:r>
          </w:p>
        </w:tc>
      </w:tr>
      <w:tr>
        <w:trPr>
          <w:tblHeader w:val="false"/>
        </w:trPr>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Dictamen jurídico y adecuación</w:t>
            </w:r>
          </w:p>
        </w:tc>
        <w:tc>
          <w:tcPr>
            <w:tcW w:type="dxa" w:w="6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Ningún despacho publica precio de dictamen. Reconstruido desde tarifas horarias publicadas por perfil y una estimación de horas por pieza. Pídanse tres propuestas</w:t>
            </w:r>
          </w:p>
        </w:tc>
      </w:tr>
      <w:tr>
        <w:trPr>
          <w:tblHeader w:val="false"/>
        </w:trPr>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Coste del agente en régimen (~1.000 €/mes)</w:t>
            </w:r>
          </w:p>
        </w:tc>
        <w:tc>
          <w:tcPr>
            <w:tcW w:type="dxa" w:w="6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Extrapolación lineal desde la proyección del stack, ajustada al nuevo precio. El consumo real depende de un patrón de uso que aún no existe</w:t>
            </w:r>
          </w:p>
        </w:tc>
      </w:tr>
      <w:tr>
        <w:trPr>
          <w:tblHeader w:val="false"/>
        </w:trPr>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Duración de los módulos grandes</w:t>
            </w:r>
          </w:p>
        </w:tc>
        <w:tc>
          <w:tcPr>
            <w:tcW w:type="dxa" w:w="6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Extrapolada del ritmo medido en el MVP. Deja de ser estimación al cerrar el primer hito, que es su propósito</w:t>
            </w:r>
          </w:p>
        </w:tc>
      </w:tr>
      <w:tr>
        <w:trPr>
          <w:tblHeader w:val="false"/>
        </w:trPr>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Precio de una suscripción anual</w:t>
            </w:r>
          </w:p>
        </w:tc>
        <w:tc>
          <w:tcPr>
            <w:tcW w:type="dxa" w:w="6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 se ha fijado. Los márgenes del capítulo 8 se calculan sobre dos hipótesis, no sobre una decisión tomada</w:t>
            </w:r>
          </w:p>
        </w:tc>
      </w:tr>
    </w:tbl>
    <w:p>
      <w:pPr>
        <w:spacing w:after="140"/>
      </w:pPr>
    </w:p>
    <w:p>
      <w:pPr>
        <w:pStyle w:val="Heading2"/>
        <w:spacing w:after="140" w:before="280"/>
      </w:pPr>
      <w:r>
        <w:rPr>
          <w:rFonts w:ascii="Calibri" w:cs="Calibri" w:eastAsia="Calibri" w:hAnsi="Calibri"/>
          <w:b/>
          <w:bCs/>
          <w:color w:val="1B4B7A"/>
          <w:sz w:val="26"/>
          <w:szCs w:val="26"/>
        </w:rPr>
        <w:t xml:space="preserve">Advertencias sobre datos de terceros</w:t>
      </w:r>
    </w:p>
    <w:p>
      <w:pPr>
        <w:pStyle w:val="ListParagraph"/>
        <w:numPr>
          <w:ilvl w:val="0"/>
          <w:numId w:val="3"/>
        </w:numPr>
        <w:spacing w:after="80" w:line="276"/>
      </w:pPr>
      <w:r>
        <w:rPr>
          <w:rFonts w:ascii="Calibri" w:cs="Calibri" w:eastAsia="Calibri" w:hAnsi="Calibri"/>
          <w:sz w:val="20"/>
          <w:szCs w:val="20"/>
        </w:rPr>
        <w:t xml:space="preserve">Los precios de DeepSeek presentan tres esquemas incompatibles entre su página oficial, los agregadores del sector y los revendedores. Se ha usado el oficial.</w:t>
      </w:r>
    </w:p>
    <w:p>
      <w:pPr>
        <w:pStyle w:val="ListParagraph"/>
        <w:numPr>
          <w:ilvl w:val="0"/>
          <w:numId w:val="3"/>
        </w:numPr>
        <w:spacing w:after="80" w:line="276"/>
      </w:pPr>
      <w:r>
        <w:rPr>
          <w:rFonts w:ascii="Calibri" w:cs="Calibri" w:eastAsia="Calibri" w:hAnsi="Calibri"/>
          <w:sz w:val="20"/>
          <w:szCs w:val="20"/>
        </w:rPr>
        <w:t xml:space="preserve">Ningún fabricante publica métricas de fiabilidad de uso de herramientas para el modelo que se proponía para el agente. Para un agente cuyo trabajo es invocar herramientas, ese hueco es un dato en sí mismo.</w:t>
      </w:r>
    </w:p>
    <w:p>
      <w:pPr>
        <w:pStyle w:val="ListParagraph"/>
        <w:numPr>
          <w:ilvl w:val="0"/>
          <w:numId w:val="3"/>
        </w:numPr>
        <w:spacing w:after="80" w:line="276"/>
      </w:pPr>
      <w:r>
        <w:rPr>
          <w:rFonts w:ascii="Calibri" w:cs="Calibri" w:eastAsia="Calibri" w:hAnsi="Calibri"/>
          <w:sz w:val="20"/>
          <w:szCs w:val="20"/>
        </w:rPr>
        <w:t xml:space="preserve">La disponibilidad de zona de datos europea para los modelos de DeepSeek en la nube de Microsoft procede de un agregador y debe confirmarse en el catálogo oficial antes de contratar.</w:t>
      </w:r>
    </w:p>
    <w:p>
      <w:pPr>
        <w:pStyle w:val="ListParagraph"/>
        <w:numPr>
          <w:ilvl w:val="0"/>
          <w:numId w:val="3"/>
        </w:numPr>
        <w:spacing w:after="80" w:line="276"/>
      </w:pPr>
      <w:r>
        <w:rPr>
          <w:rFonts w:ascii="Calibri" w:cs="Calibri" w:eastAsia="Calibri" w:hAnsi="Calibri"/>
          <w:sz w:val="20"/>
          <w:szCs w:val="20"/>
        </w:rPr>
        <w:t xml:space="preserve">La documentación de la plataforma de datos se contradice sobre el límite de tiempo de proceso de las funciones en el borde: una página dice dos segundos y otra doscientos milisegundos. Debe comprobarse empíricamente antes de asumir el valor alto.</w:t>
      </w:r>
    </w:p>
    <w:p>
      <w:pPr>
        <w:pStyle w:val="ListParagraph"/>
        <w:numPr>
          <w:ilvl w:val="0"/>
          <w:numId w:val="3"/>
        </w:numPr>
        <w:spacing w:after="80" w:line="276"/>
      </w:pPr>
      <w:r>
        <w:rPr>
          <w:rFonts w:ascii="Calibri" w:cs="Calibri" w:eastAsia="Calibri" w:hAnsi="Calibri"/>
          <w:sz w:val="20"/>
          <w:szCs w:val="20"/>
        </w:rPr>
        <w:t xml:space="preserve">Ninguna firma de seguridad publica tarifas: todas cotizan por alcance. El rango de este documento se reconstruye desde jornadas declaradas y tarifas de mercado.</w:t>
      </w:r>
    </w:p>
    <w:p>
      <w:r>
        <w:br w:type="page"/>
      </w:r>
    </w:p>
    <w:p>
      <w:pPr>
        <w:pStyle w:val="Heading1"/>
        <w:spacing w:after="200" w:before="360"/>
      </w:pPr>
      <w:r>
        <w:rPr>
          <w:rFonts w:ascii="Calibri" w:cs="Calibri" w:eastAsia="Calibri" w:hAnsi="Calibri"/>
          <w:b/>
          <w:bCs/>
          <w:color w:val="07111F"/>
          <w:sz w:val="32"/>
          <w:szCs w:val="32"/>
        </w:rPr>
        <w:t xml:space="preserve">Anexo B · Decisiones cerradas que no se reabren</w:t>
      </w:r>
    </w:p>
    <w:p>
      <w:pPr>
        <w:spacing w:after="120" w:before="0" w:line="276"/>
      </w:pPr>
      <w:r>
        <w:rPr>
          <w:rFonts w:ascii="Calibri" w:cs="Calibri" w:eastAsia="Calibri" w:hAnsi="Calibri"/>
          <w:sz w:val="20"/>
          <w:szCs w:val="20"/>
        </w:rPr>
        <w:t xml:space="preserve">Cada una tiene motivo escrito y, en varios casos, coste medido. Reabrirlas cuesta días que ya se pagaron una vez.</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Decisión</w:t>
            </w:r>
          </w:p>
        </w:tc>
        <w:tc>
          <w:tcPr>
            <w:tcW w:type="dxa" w:w="5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Contenido</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Cifrado como diferenciador</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servidor solo almacena texto cifrado. Ninguna capa puede exigir que lea datos comerciales en claro</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Contrato criptográfico</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X25519, AES-256-GCM y Argon2id. La elección de bibliotecas se subordina a estas primitivas</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Sin pasarela de pago</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En ninguna versión. El cobro es por transferencia, fuera de la plataforma</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Reputación manual</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Favoritos marcados por personas. Ningún proceso automático puede crearlos ni borrarlos</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 hilo por pareja de organizaciones</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 por referencia de producto</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Quién decide una oferta</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receptor, nunca el emisor</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Cierre de negociación reversible</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 mensaje nuevo reabre el hilo</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Herramientas del agente en el navegador</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proxy solo custodia la clave del modelo, que nunca llega al cliente</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Tope de filas enviadas al modelo</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Veinticinco, y al recortar debe declarar el total y el criterio</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Claves de sesión en memoria</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Sin almacenamiento persistente en el navegador</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Autoría del código separada</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Código generado y código escrito a mano nunca en el mismo cambio</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Nuevo en la v2.0 · Frontera del modelo generador</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El generador barato hace interfaz y pruebas. No toca criptografía, reglas de acceso, claves, secretos ni datos de clientes. Una comprobación automática lo vigila</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Nuevo en la v2.0 · Separación adversaria</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La prueba de un escenario la escribe un agente distinto del que implementa la funcionalidad, desde la misma especificación y sin ver la implementación</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Nuevo en la v2.0 · Aislamiento en toda prueba de carga</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Toda prueba de carga afirma aislamiento entre organizaciones, no solo latencia</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Nuevo en la v2.1 · Utillaje externo en modo aislado</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Nunca modo equipo, nunca imposición al equipo. Versión fijada al commit auditado en cabeza separada; ninguna actualización se aplica sola. Los cinco interruptores de red apagados</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Nuevo en la v2.1 · Navegador fuera del árbol del repositorio</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El navegador del utillaje escribe credenciales de sesión en claro en el directorio desde el que se arranca. Nunca desde el repositorio que implementa el cifrado</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Nuevo en la v2.1 · Regla de uso de la revisión multiagente</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Sobre esquema, criptografía y capa de datos, donde un error es irreversible. Nunca sobre cada pantalla: el coste por pasada lo desaconseja</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Nuevo en la v2.2 · ADR-002, ámbito de visibilidad</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Ámbito por elemento dentro del hilo compartido. El administrador supervisa por metadatos, sin clave. La cantidad pasa a metadato en claro. El traspaso lo ejecuta quien se va, en bloque. Activarlo es irreversible hacia atrás</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Nuevo en la v2.2 · El hilo deja de ser concepto visible</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El usuario ve «mi conversación con tal empresa», no «el hilo». Dos compañeros pueden tener conversaciones simultáneas e independientes con la misma contraparte sobre la misma fila de la base</w:t>
            </w:r>
          </w:p>
        </w:tc>
      </w:tr>
    </w:tbl>
    <w:p>
      <w:pPr>
        <w:spacing w:after="200"/>
      </w:pPr>
    </w:p>
    <w:p>
      <w:pPr>
        <w:pBdr>
          <w:bottom w:val="single" w:color="D6DAE2" w:sz="6"/>
        </w:pBdr>
        <w:spacing w:after="160" w:before="60"/>
      </w:pPr>
    </w:p>
    <w:p>
      <w:pPr>
        <w:spacing w:after="120" w:before="0" w:line="276"/>
        <w:jc w:val="center"/>
      </w:pPr>
      <w:r>
        <w:rPr>
          <w:rFonts w:ascii="Calibri" w:cs="Calibri" w:eastAsia="Calibri" w:hAnsi="Calibri"/>
          <w:i/>
          <w:iCs/>
          <w:color w:val="6B7A99"/>
          <w:sz w:val="16"/>
          <w:szCs w:val="16"/>
        </w:rPr>
        <w:t xml:space="preserve">Bearingworld.io · Plan de V1 hasta producción · v2.2 · 22 de agosto de 2026 · Nortex Systems</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99"/>
        <w:sz w:val="15"/>
        <w:szCs w:val="15"/>
      </w:rPr>
      <w:t xml:space="preserve">Nortex Systems · confidencial · </w:t>
    </w:r>
    <w:r>
      <w:rPr>
        <w:rFonts w:ascii="Calibri" w:cs="Calibri" w:eastAsia="Calibri" w:hAnsi="Calibri"/>
        <w:color w:val="6B7A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AE2" w:sz="4"/>
      </w:pBdr>
      <w:spacing w:after="100"/>
      <w:jc w:val="right"/>
    </w:pPr>
    <w:r>
      <w:rPr>
        <w:rFonts w:ascii="Calibri" w:cs="Calibri" w:eastAsia="Calibri" w:hAnsi="Calibri"/>
        <w:color w:val="6B7A99"/>
        <w:sz w:val="15"/>
        <w:szCs w:val="15"/>
      </w:rPr>
      <w:t xml:space="preserve">Bearingworld.io · Plan de V1 hasta producción ·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Bearingworld.io — Plan de V1 hasta producción v2.0</dc:title>
  <dc:creator>Nortex Systems</dc:creator>
  <dc:description>Verificación, fases, calendario y economía de la V1 de bearingworld.io</dc:description>
  <cp:lastModifiedBy>Un-named</cp:lastModifiedBy>
  <cp:revision>1</cp:revision>
  <dcterms:created xsi:type="dcterms:W3CDTF">2026-08-24T22:40:23.616Z</dcterms:created>
  <dcterms:modified xsi:type="dcterms:W3CDTF">2026-08-24T22:40:23.616Z</dcterms:modified>
</cp:coreProperties>
</file>

<file path=docProps/custom.xml><?xml version="1.0" encoding="utf-8"?>
<Properties xmlns="http://schemas.openxmlformats.org/officeDocument/2006/custom-properties" xmlns:vt="http://schemas.openxmlformats.org/officeDocument/2006/docPropsVTypes"/>
</file>