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left"/>
      </w:pPr>
      <w:r>
        <w:rPr>
          <w:rFonts w:ascii="Arial" w:cs="Arial" w:eastAsia="Arial" w:hAnsi="Arial"/>
          <w:sz w:val="22"/>
          <w:szCs w:val="22"/>
        </w:rPr>
        <w:t xml:space="preserve"/>
      </w:r>
    </w:p>
    <w:p>
      <w:pPr>
        <w:spacing w:after="0" w:before="0"/>
        <w:jc w:val="left"/>
      </w:pPr>
      <w:r>
        <w:rPr>
          <w:rFonts w:ascii="Arial" w:cs="Arial" w:eastAsia="Arial" w:hAnsi="Arial"/>
          <w:sz w:val="22"/>
          <w:szCs w:val="22"/>
        </w:rPr>
        <w:t xml:space="preserve"/>
      </w:r>
    </w:p>
    <w:p>
      <w:pPr>
        <w:spacing w:after="0" w:before="0"/>
        <w:jc w:val="left"/>
      </w:pPr>
      <w:r>
        <w:rPr>
          <w:rFonts w:ascii="Arial" w:cs="Arial" w:eastAsia="Arial" w:hAnsi="Arial"/>
          <w:sz w:val="22"/>
          <w:szCs w:val="22"/>
        </w:rPr>
        <w:t xml:space="preserve"/>
      </w:r>
    </w:p>
    <w:p>
      <w:pPr>
        <w:spacing w:after="0" w:before="0"/>
        <w:jc w:val="left"/>
      </w:pPr>
      <w:r>
        <w:rPr>
          <w:rFonts w:ascii="Arial" w:cs="Arial" w:eastAsia="Arial" w:hAnsi="Arial"/>
          <w:sz w:val="22"/>
          <w:szCs w:val="22"/>
        </w:rPr>
        <w:t xml:space="preserve"/>
      </w:r>
    </w:p>
    <w:p>
      <w:pPr>
        <w:spacing w:after="80" w:before="0"/>
        <w:jc w:val="center"/>
      </w:pPr>
      <w:r>
        <w:rPr>
          <w:rFonts w:ascii="Arial" w:cs="Arial" w:eastAsia="Arial" w:hAnsi="Arial"/>
          <w:b/>
          <w:bCs/>
          <w:color w:val="1A3A5C"/>
          <w:sz w:val="72"/>
          <w:szCs w:val="72"/>
        </w:rPr>
        <w:t xml:space="preserve">BEARING</w:t>
      </w:r>
      <w:r>
        <w:rPr>
          <w:rFonts w:ascii="Arial" w:cs="Arial" w:eastAsia="Arial" w:hAnsi="Arial"/>
          <w:b/>
          <w:bCs/>
          <w:color w:val="2E86AB"/>
          <w:sz w:val="72"/>
          <w:szCs w:val="72"/>
        </w:rPr>
        <w:t xml:space="preserve">WORLD</w:t>
      </w:r>
      <w:r>
        <w:rPr>
          <w:rFonts w:ascii="Arial" w:cs="Arial" w:eastAsia="Arial" w:hAnsi="Arial"/>
          <w:b/>
          <w:bCs/>
          <w:color w:val="1A3A5C"/>
          <w:sz w:val="72"/>
          <w:szCs w:val="72"/>
        </w:rPr>
        <w:t xml:space="preserve">.IO</w:t>
      </w:r>
    </w:p>
    <w:p>
      <w:pPr>
        <w:spacing w:after="320" w:before="0"/>
        <w:jc w:val="center"/>
      </w:pPr>
      <w:r>
        <w:rPr>
          <w:rFonts w:ascii="Arial" w:cs="Arial" w:eastAsia="Arial" w:hAnsi="Arial"/>
          <w:b/>
          <w:bCs/>
          <w:color w:val="1A3A5C"/>
          <w:sz w:val="56"/>
          <w:szCs w:val="56"/>
        </w:rPr>
        <w:t xml:space="preserve">LA PLATAFORMA</w:t>
      </w:r>
    </w:p>
    <w:p>
      <w:pPr>
        <w:pBdr>
          <w:top w:val="single" w:color="2E86AB" w:sz="12"/>
          <w:bottom w:val="single" w:color="2E86AB" w:sz="12"/>
        </w:pBdr>
        <w:spacing w:after="80" w:before="0"/>
        <w:jc w:val="center"/>
      </w:pPr>
      <w:r>
        <w:rPr>
          <w:rFonts w:ascii="Arial" w:cs="Arial" w:eastAsia="Arial" w:hAnsi="Arial"/>
          <w:b/>
          <w:bCs/>
          <w:color w:val="2E86AB"/>
          <w:sz w:val="32"/>
          <w:szCs w:val="32"/>
        </w:rPr>
        <w:t xml:space="preserve">INVENTARIO MAESTRO DE PANTALLAS Y FORMULARIOS</w:t>
      </w:r>
    </w:p>
    <w:p>
      <w:pPr>
        <w:spacing w:after="80" w:before="160"/>
        <w:jc w:val="center"/>
      </w:pPr>
      <w:r>
        <w:rPr>
          <w:rFonts w:ascii="Arial" w:cs="Arial" w:eastAsia="Arial" w:hAnsi="Arial"/>
          <w:b/>
          <w:bCs/>
          <w:color w:val="5D6D7E"/>
          <w:sz w:val="22"/>
          <w:szCs w:val="22"/>
        </w:rPr>
        <w:t xml:space="preserve">Consolidación de los 8 módulos funcionales — input para Spec-Driven Development</w:t>
      </w:r>
    </w:p>
    <w:p>
      <w:pPr>
        <w:spacing w:after="80" w:before="80"/>
        <w:jc w:val="center"/>
      </w:pPr>
      <w:r>
        <w:rPr>
          <w:rFonts w:ascii="Arial" w:cs="Arial" w:eastAsia="Arial" w:hAnsi="Arial"/>
          <w:color w:val="5D6D7E"/>
          <w:sz w:val="22"/>
          <w:szCs w:val="22"/>
        </w:rPr>
        <w:t xml:space="preserve">Versión 1.1  ·  Junio 2026  ·  CONFIDENCIAL</w:t>
      </w:r>
    </w:p>
    <w:p>
      <w:pPr>
        <w:spacing w:after="0" w:before="0"/>
        <w:jc w:val="left"/>
      </w:pPr>
      <w:r>
        <w:rPr>
          <w:rFonts w:ascii="Arial" w:cs="Arial" w:eastAsia="Arial" w:hAnsi="Arial"/>
          <w:sz w:val="22"/>
          <w:szCs w:val="22"/>
        </w:rPr>
        <w:t xml:space="preserve"/>
      </w:r>
    </w:p>
    <w:p>
      <w:pPr>
        <w:spacing w:after="0" w:before="0"/>
        <w:jc w:val="left"/>
      </w:pPr>
      <w:r>
        <w:rPr>
          <w:rFonts w:ascii="Arial" w:cs="Arial" w:eastAsia="Arial" w:hAnsi="Arial"/>
          <w:sz w:val="22"/>
          <w:szCs w:val="22"/>
        </w:rPr>
        <w:t xml:space="preserve"/>
      </w:r>
    </w:p>
    <w:p>
      <w:r>
        <w:br w:type="page"/>
      </w:r>
    </w:p>
    <w:p>
      <w:pPr>
        <w:pStyle w:val="Heading1"/>
        <w:pBdr>
          <w:bottom w:val="single" w:color="2E86AB" w:sz="8" w:space="4"/>
        </w:pBdr>
        <w:spacing w:after="200" w:before="480"/>
      </w:pPr>
      <w:r>
        <w:rPr>
          <w:rFonts w:ascii="Arial" w:cs="Arial" w:eastAsia="Arial" w:hAnsi="Arial"/>
          <w:b/>
          <w:bCs/>
          <w:color w:val="1A3A5C"/>
          <w:sz w:val="36"/>
          <w:szCs w:val="36"/>
        </w:rPr>
        <w:t xml:space="preserve">0. Propósito y Metodología</w:t>
      </w:r>
    </w:p>
    <w:p>
      <w:pPr>
        <w:spacing w:after="120" w:before="120"/>
        <w:jc w:val="left"/>
      </w:pPr>
      <w:r>
        <w:rPr>
          <w:rFonts w:ascii="Arial" w:cs="Arial" w:eastAsia="Arial" w:hAnsi="Arial"/>
          <w:sz w:val="22"/>
          <w:szCs w:val="22"/>
        </w:rPr>
        <w:t xml:space="preserve">Este documento consolida en un único lugar todas las pantallas y formularios definidos a lo largo de los ocho módulos funcionales de Bearingworld.io (Módulos 00 a 08), que hasta ahora estaban distribuidos de forma dispersa en ocho documentos distintos. El objetivo es doble: servir como mapa visual de navegación entre pantallas, y servir como input estructurado para la siguiente fase del proyecto — Spec-Driven Development (OpenSpec) — donde cada campo, tipo y validación aquí recogido se traduce directamente en esquemas de datos y contratos de API.</w:t>
      </w:r>
    </w:p>
    <w:p>
      <w:pPr>
        <w:spacing w:after="120" w:before="120"/>
        <w:jc w:val="left"/>
      </w:pPr>
      <w:r>
        <w:rPr>
          <w:rFonts w:ascii="Arial" w:cs="Arial" w:eastAsia="Arial" w:hAnsi="Arial"/>
          <w:sz w:val="22"/>
          <w:szCs w:val="22"/>
        </w:rPr>
        <w:t xml:space="preserve">Este no es un documento de diseño de interfaz. No define estilos visuales, disposición exacta de píxeles, ni componentes de UI concretos. Es un inventario funcional: qué pantallas existen, cómo se navega entre ellas, y qué campos exactos contiene cada formulario, con su tipo de dato y su regla de validación, tal como ya estaban especificados — dispersos — en los funcionales de origen.</w:t>
      </w:r>
    </w:p>
    <w:p>
      <w:pPr>
        <w:pStyle w:val="Heading2"/>
        <w:spacing w:after="160" w:before="360"/>
      </w:pPr>
      <w:r>
        <w:rPr>
          <w:rFonts w:ascii="Arial" w:cs="Arial" w:eastAsia="Arial" w:hAnsi="Arial"/>
          <w:b/>
          <w:bCs/>
          <w:color w:val="1A3A5C"/>
          <w:sz w:val="28"/>
          <w:szCs w:val="28"/>
        </w:rPr>
        <w:t xml:space="preserve">0.1  Alcance</w:t>
      </w:r>
    </w:p>
    <w:p>
      <w:pPr>
        <w:pStyle w:val="ListParagraph"/>
        <w:numPr>
          <w:ilvl w:val="0"/>
          <w:numId w:val="2"/>
        </w:numPr>
        <w:spacing w:after="60" w:before="60"/>
      </w:pPr>
      <w:r>
        <w:rPr>
          <w:rFonts w:ascii="Arial" w:cs="Arial" w:eastAsia="Arial" w:hAnsi="Arial"/>
          <w:sz w:val="22"/>
          <w:szCs w:val="22"/>
        </w:rPr>
        <w:t xml:space="preserve">Se incluyen todas las pantallas con código de referencia ya asignado en los Módulos 00 a 08 (REG-xx, INV-xx, SRCH-xx, MSG-xx, FORO-xx, ADMIN-xx, etc.).</w:t>
      </w:r>
    </w:p>
    <w:p>
      <w:pPr>
        <w:pStyle w:val="ListParagraph"/>
        <w:numPr>
          <w:ilvl w:val="0"/>
          <w:numId w:val="2"/>
        </w:numPr>
        <w:spacing w:after="60" w:before="60"/>
      </w:pPr>
      <w:r>
        <w:rPr>
          <w:rFonts w:ascii="Arial" w:cs="Arial" w:eastAsia="Arial" w:hAnsi="Arial"/>
          <w:sz w:val="22"/>
          <w:szCs w:val="22"/>
        </w:rPr>
        <w:t xml:space="preserve">Se incluyen también los formularios conversacionales sin pantalla dedicada — aquellos que VERA rellena a partir de lenguaje natural y muestra para confirmación, como la tarjeta de consulta o de oferta del Módulo 04 — ya que tienen una estructura de campos igualmente verificable y relevante para OpenSpec.</w:t>
      </w:r>
    </w:p>
    <w:p>
      <w:pPr>
        <w:pStyle w:val="ListParagraph"/>
        <w:numPr>
          <w:ilvl w:val="0"/>
          <w:numId w:val="2"/>
        </w:numPr>
        <w:spacing w:after="60" w:before="60"/>
      </w:pPr>
      <w:r>
        <w:rPr>
          <w:rFonts w:ascii="Arial" w:cs="Arial" w:eastAsia="Arial" w:hAnsi="Arial"/>
          <w:sz w:val="22"/>
          <w:szCs w:val="22"/>
        </w:rPr>
        <w:t xml:space="preserve">No se incluyen los módulos sin interfaz propia: el Módulo 00 (Arquitectura de Interacción IA) es transversal y no tiene pantallas propias; el Módulo 05 v2.0 no tiene pantalla propia, su único campo vive dentro de MSG-03 (Módulo 04) y se documenta ahí.</w:t>
      </w:r>
    </w:p>
    <w:p>
      <w:pPr>
        <w:pStyle w:val="Heading2"/>
        <w:spacing w:after="160" w:before="360"/>
      </w:pPr>
      <w:r>
        <w:rPr>
          <w:rFonts w:ascii="Arial" w:cs="Arial" w:eastAsia="Arial" w:hAnsi="Arial"/>
          <w:b/>
          <w:bCs/>
          <w:color w:val="1A3A5C"/>
          <w:sz w:val="28"/>
          <w:szCs w:val="28"/>
        </w:rPr>
        <w:t xml:space="preserve">0.2  Hallazgos de esta auditoría</w:t>
      </w:r>
    </w:p>
    <w:p>
      <w:pPr>
        <w:spacing w:after="120" w:before="120"/>
        <w:jc w:val="left"/>
      </w:pPr>
      <w:r>
        <w:rPr>
          <w:rFonts w:ascii="Arial" w:cs="Arial" w:eastAsia="Arial" w:hAnsi="Arial"/>
          <w:sz w:val="22"/>
          <w:szCs w:val="22"/>
        </w:rPr>
        <w:t xml:space="preserve">El propio ejercicio de consolidar todo en un solo lugar permitió detectar tres inconsistencias que el funcional disperso no dejaba ver con claridad. Las tres ya han sido corregidas en los documentos de origen correspondientes antes de escribir la v1.0 de este inventario: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Hallazgo</w:t>
            </w:r>
          </w:p>
        </w:tc>
        <w:tc>
          <w:tcPr>
            <w:tcW w:type="dxa" w:w="56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Resolución aplicada</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El Módulo 01 v1.4 contenía un bloque residual de tres pantallas (antiguas REG-02, REG-03, REG-04 de verificación de email) que debían haber sido eliminadas en una revisión anterior pero permanecían en el documento, contradiciendo el resto del flujo ya simplificado.</w:t>
            </w:r>
          </w:p>
        </w:tc>
        <w:tc>
          <w:tcPr>
            <w:tcW w:type="dxa" w:w="5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Corregido en el Módulo 01 (archivo regenerado): eliminado el bloque completo y las referencias cruzadas en la capa conversacional de VERA y en el ejemplo de flujo.</w:t>
            </w:r>
          </w:p>
        </w:tc>
      </w:tr>
      <w:tr>
        <w:tc>
          <w:tcPr>
            <w:tcW w:type="dxa" w:w="3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Conflicto de código: el Módulo 01 y el Módulo 02 usaban ambos el código "INV-01" para pantallas completamente distintas (gestión de invitaciones de usuarios, y panel de inventario, respectivamente).</w:t>
            </w:r>
          </w:p>
        </w:tc>
        <w:tc>
          <w:tcPr>
            <w:tcW w:type="dxa" w:w="56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Corregido: la pantalla de invitaciones del Módulo 01 se renombra a INVT-01. El código INV-01 queda reservado en exclusiva para el panel de inventario del Módulo 02, como ya era el uso más establecido.</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MSG-01 (lista de hilos) y MSG-02 (vista de un hilo) se mencionaban constantemente como referencia cruzada en el Módulo 04, pero nunca se había llegado a especificar su tabla de campos y elementos en detalle — eran, de hecho, dos de las pantallas de mayor uso de toda la plataforma.</w:t>
            </w:r>
          </w:p>
        </w:tc>
        <w:tc>
          <w:tcPr>
            <w:tcW w:type="dxa" w:w="5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Se especificaron por primera vez en la v1.0 de este documento (sección 5, MSG-01 y MSG-02), con criterio razonable y coherente con el resto del Módulo 04. Se recomienda incorporar esta misma especificación en una futura revisión del propio Módulo 04.</w:t>
            </w:r>
          </w:p>
        </w:tc>
      </w:tr>
      <w:tr>
        <w:tc>
          <w:tcPr>
            <w:tcW w:type="dxa" w:w="3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(v1.1) El campo condition (estado del rodamiento) tenía tres residuos en el Módulo 02 v1.2 a pesar de que el propio historial de versiones del documento decía explícitamente que se había eliminado en esa misma versión.</w:t>
            </w:r>
          </w:p>
        </w:tc>
        <w:tc>
          <w:tcPr>
            <w:tcW w:type="dxa" w:w="56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Corregidos los tres residuos en el Módulo 02 (tabla INV-01, edición de línea INV-08, ejemplo conversacional de VERA).</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(v1.1) El modelo de visibilidad de inventario documentado en el Módulo 02 (cinco modos: Público, Whitelist, Blacklist, Bilateral, Tiered, con tres niveles de granularidad) generaba confusión sobre cómo encajaban entre sí, especialmente Bilateral, que no es un modo alternativo sino una capa ortogonal a los demás.</w:t>
            </w:r>
          </w:p>
        </w:tc>
        <w:tc>
          <w:tcPr>
            <w:tcW w:type="dxa" w:w="5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Rediseñado a un modelo de dos modos (Visible para todos / Visibilidad restringida), aplicado siempre al inventario completo de la organización. Bilateral descartado por completo; Tiered se mantiene diferido a V2 — ver Módulo 02 v1.3, sección 6.</w:t>
            </w:r>
          </w:p>
        </w:tc>
      </w:tr>
    </w:tbl>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0.3  Cómo leer este documento</w:t>
      </w:r>
    </w:p>
    <w:p>
      <w:pPr>
        <w:spacing w:after="120" w:before="120"/>
        <w:jc w:val="left"/>
      </w:pPr>
      <w:r>
        <w:rPr>
          <w:rFonts w:ascii="Arial" w:cs="Arial" w:eastAsia="Arial" w:hAnsi="Arial"/>
          <w:sz w:val="22"/>
          <w:szCs w:val="22"/>
        </w:rPr>
        <w:t xml:space="preserve">La sección 1 contiene el diagrama de flujo de navegación completo entre todas las pantallas, agrupadas por módulo y coloreadas para facilitar la lectura. Las secciones 2 a 9 recorren cada módulo en el mismo orden, con una tabla de campos exhaustiva por cada pantalla o formulario: nombre del campo, tipo de dato, si es obligatorio, y su regla de validación — el mismo nivel de detalle que ya existía en los funcionales de origen, simplemente reunido y comparable en un solo lugar.</w:t>
      </w:r>
    </w:p>
    <w:p>
      <w:pPr>
        <w:spacing w:after="0" w:before="0"/>
        <w:jc w:val="left"/>
      </w:pPr>
      <w:r>
        <w:rPr>
          <w:rFonts w:ascii="Arial" w:cs="Arial" w:eastAsia="Arial" w:hAnsi="Arial"/>
          <w:sz w:val="22"/>
          <w:szCs w:val="22"/>
        </w:rPr>
        <w:t xml:space="preserve"/>
      </w:r>
    </w:p>
    <w:p>
      <w:pPr>
        <w:pStyle w:val="Heading1"/>
        <w:pBdr>
          <w:bottom w:val="single" w:color="2E86AB" w:sz="8" w:space="4"/>
        </w:pBdr>
        <w:spacing w:after="200" w:before="480"/>
      </w:pPr>
      <w:r>
        <w:rPr>
          <w:rFonts w:ascii="Arial" w:cs="Arial" w:eastAsia="Arial" w:hAnsi="Arial"/>
          <w:b/>
          <w:bCs/>
          <w:color w:val="1A3A5C"/>
          <w:sz w:val="36"/>
          <w:szCs w:val="36"/>
        </w:rPr>
        <w:t xml:space="preserve">1. Diagrama de Flujo de Navegación entre Pantallas</w:t>
      </w:r>
    </w:p>
    <w:p>
      <w:pPr>
        <w:spacing w:after="120" w:before="120"/>
        <w:jc w:val="left"/>
      </w:pPr>
      <w:r>
        <w:rPr>
          <w:rFonts w:ascii="Arial" w:cs="Arial" w:eastAsia="Arial" w:hAnsi="Arial"/>
          <w:sz w:val="22"/>
          <w:szCs w:val="22"/>
        </w:rPr>
        <w:t xml:space="preserve">El siguiente diagrama muestra todas las pantallas y formularios de la plataforma, agrupados por módulo (color), con las transiciones de navegación principales entre ellos. Las líneas continuas representan navegación directa (botón, enlace, redirección); las líneas discontinuas representan accesos secundarios o contextuales (por ejemplo, desde Ajustes, o tras un evento temporal como el vencimiento de la suscripción).</w:t>
      </w:r>
    </w:p>
    <w:p>
      <w:pPr>
        <w:spacing w:after="0" w:before="0"/>
        <w:jc w:val="left"/>
      </w:pPr>
      <w:r>
        <w:rPr>
          <w:rFonts w:ascii="Arial" w:cs="Arial" w:eastAsia="Arial" w:hAnsi="Arial"/>
          <w:sz w:val="22"/>
          <w:szCs w:val="22"/>
        </w:rPr>
        <w:t xml:space="preserve"/>
      </w:r>
    </w:p>
    <w:p>
      <w:pPr>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429125"/>
                    </a:xfrm>
                    <a:prstGeom prst="rect">
                      <a:avLst/>
                    </a:prstGeom>
                  </pic:spPr>
                </pic:pic>
              </a:graphicData>
            </a:graphic>
          </wp:inline>
        </w:drawing>
      </w:r>
    </w:p>
    <w:p>
      <w:pPr>
        <w:spacing w:after="0" w:before="0"/>
        <w:jc w:val="left"/>
      </w:pPr>
      <w:r>
        <w:rPr>
          <w:rFonts w:ascii="Arial" w:cs="Arial" w:eastAsia="Arial" w:hAnsi="Arial"/>
          <w:sz w:val="22"/>
          <w:szCs w:val="22"/>
        </w:rPr>
        <w:t xml:space="preserve"/>
      </w:r>
    </w:p>
    <w:p>
      <w:pPr>
        <w:spacing w:after="120" w:before="120"/>
        <w:jc w:val="left"/>
      </w:pPr>
      <w:r>
        <w:rPr>
          <w:rFonts w:ascii="Arial" w:cs="Arial" w:eastAsia="Arial" w:hAnsi="Arial"/>
          <w:sz w:val="22"/>
          <w:szCs w:val="22"/>
        </w:rPr>
        <w:t xml:space="preserve">Nota de lectura: el nodo "Dashboard" representa el punto de entrada común tras completar el onboarding, desde el cual se accede a Búsqueda, Mensajería, Inventario y Foro como secciones de igual nivel en el menú principal. El nodo "Visitante anónimo" representa el estado previo a tener cuenta, con sus dos rutas de entrada (00.1 invitado, 00.2 desconocido) definidas en el Módulo 01.</w:t>
      </w:r>
    </w:p>
    <w:p>
      <w:pPr>
        <w:spacing w:after="0" w:before="0"/>
        <w:jc w:val="left"/>
      </w:pPr>
      <w:r>
        <w:rPr>
          <w:rFonts w:ascii="Arial" w:cs="Arial" w:eastAsia="Arial" w:hAnsi="Arial"/>
          <w:sz w:val="22"/>
          <w:szCs w:val="22"/>
        </w:rPr>
        <w:t xml:space="preserve"/>
      </w:r>
    </w:p>
    <w:p>
      <w:pPr>
        <w:pStyle w:val="Heading1"/>
        <w:pBdr>
          <w:bottom w:val="single" w:color="2E86AB" w:sz="8" w:space="4"/>
        </w:pBdr>
        <w:spacing w:after="200" w:before="480"/>
      </w:pPr>
      <w:r>
        <w:rPr>
          <w:rFonts w:ascii="Arial" w:cs="Arial" w:eastAsia="Arial" w:hAnsi="Arial"/>
          <w:b/>
          <w:bCs/>
          <w:color w:val="1A3A5C"/>
          <w:sz w:val="36"/>
          <w:szCs w:val="36"/>
        </w:rPr>
        <w:t xml:space="preserve">2. Módulo 01 — Onboarding, Registro y Claves E2EE</w:t>
      </w:r>
    </w:p>
    <w:p>
      <w:pPr>
        <w:pStyle w:val="Heading2"/>
        <w:spacing w:after="160" w:before="360"/>
      </w:pPr>
      <w:r>
        <w:rPr>
          <w:rFonts w:ascii="Arial" w:cs="Arial" w:eastAsia="Arial" w:hAnsi="Arial"/>
          <w:b/>
          <w:bCs/>
          <w:color w:val="1A3A5C"/>
          <w:sz w:val="28"/>
          <w:szCs w:val="28"/>
        </w:rPr>
        <w:t xml:space="preserve">2.1  REG-00 — Formulario de Solicitud de Registro (FSR)</w:t>
      </w:r>
    </w:p>
    <w:p>
      <w:pPr>
        <w:spacing w:after="120" w:before="120"/>
        <w:jc w:val="left"/>
      </w:pPr>
      <w:r>
        <w:rPr>
          <w:rFonts w:ascii="Arial" w:cs="Arial" w:eastAsia="Arial" w:hAnsi="Arial"/>
          <w:sz w:val="22"/>
          <w:szCs w:val="22"/>
        </w:rPr>
        <w:t xml:space="preserve">Solo Ruta 00.2 (usuario desconocido). Formulario ligero previo al registro completo.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200"/>
        <w:gridCol w:w="3226"/>
      </w:tblGrid>
      <w:tr>
        <w:trPr>
          <w:tblHeader/>
        </w:trPr>
        <w:tc>
          <w:tcPr>
            <w:tcW w:type="dxa" w:w="26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Campo</w:t>
            </w:r>
          </w:p>
        </w:tc>
        <w:tc>
          <w:tcPr>
            <w:tcW w:type="dxa" w:w="20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1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Obligatorio</w:t>
            </w:r>
          </w:p>
        </w:tc>
        <w:tc>
          <w:tcPr>
            <w:tcW w:type="dxa" w:w="32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Validación / Regla</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Email del solicitante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Email input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Formato de email válido.</w:t>
            </w:r>
          </w:p>
        </w:tc>
      </w:tr>
      <w:tr>
        <w:tc>
          <w:tcPr>
            <w:tcW w:type="dxa" w:w="26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Nombre y apellidos</w:t>
            </w:r>
          </w:p>
        </w:tc>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Text input</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Mínimo 2 caracteres.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Nombre de la organización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Text input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Mínimo 2 caracteres, máximo 120.</w:t>
            </w:r>
          </w:p>
        </w:tc>
      </w:tr>
      <w:tr>
        <w:tc>
          <w:tcPr>
            <w:tcW w:type="dxa" w:w="26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País de la organización</w:t>
            </w:r>
          </w:p>
        </w:tc>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Select (dropdown)</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Lista ISO 3166-1.</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Teléfono de contacto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Text input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Sin validación de formato estricta.</w:t>
            </w:r>
          </w:p>
        </w:tc>
      </w:tr>
      <w:tr>
        <w:tc>
          <w:tcPr>
            <w:tcW w:type="dxa" w:w="26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Sitio web</w:t>
            </w:r>
          </w:p>
        </w:tc>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URL input</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w:t>
            </w:r>
          </w:p>
        </w:tc>
        <w:tc>
          <w:tcPr>
            <w:tcW w:type="dxa" w:w="32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Si se introduce, debe ser https://.</w:t>
            </w:r>
          </w:p>
        </w:tc>
      </w:tr>
    </w:tbl>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2.2  REG-00-WAIT — Espera de aprobación del operador</w:t>
      </w:r>
    </w:p>
    <w:p>
      <w:pPr>
        <w:spacing w:after="120" w:before="120"/>
        <w:jc w:val="left"/>
      </w:pPr>
      <w:r>
        <w:rPr>
          <w:rFonts w:ascii="Arial" w:cs="Arial" w:eastAsia="Arial" w:hAnsi="Arial"/>
          <w:sz w:val="22"/>
          <w:szCs w:val="22"/>
        </w:rPr>
        <w:t xml:space="preserve">Solo Ruta 00.2. Pantalla de solo lectura sin campos de entrada — muestra estado de la solicitud.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Elemento</w:t>
            </w:r>
          </w:p>
        </w:tc>
        <w:tc>
          <w:tcPr>
            <w:tcW w:type="dxa" w:w="20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46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Descripción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Mensaje de estado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Texto estático</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Informa que la solicitud está en revisión por el equipo de Bearingworld.io.</w:t>
            </w:r>
          </w:p>
        </w:tc>
      </w:tr>
      <w:tr>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Indicador de polling</w:t>
            </w:r>
          </w:p>
        </w:tc>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Componente de estado</w:t>
            </w:r>
          </w:p>
        </w:tc>
        <w:tc>
          <w:tcPr>
            <w:tcW w:type="dxa" w:w="46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Consulta periódica del estado de la solicitud (aprobado/rechazado).</w:t>
            </w:r>
          </w:p>
        </w:tc>
      </w:tr>
    </w:tbl>
    <w:p>
      <w:pPr>
        <w:spacing w:after="0" w:before="0"/>
        <w:jc w:val="left"/>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AB" w:sz="6"/>
              <w:left w:val="single" w:color="2E86AB" w:sz="6"/>
              <w:bottom w:val="single" w:color="CCCCCC" w:sz="1"/>
              <w:right w:val="single" w:color="CCCCCC" w:sz="1"/>
            </w:tcBorders>
            <w:shd w:fill="D6EAF4" w:val="clear"/>
            <w:tcMar>
              <w:top w:type="dxa" w:w="80"/>
              <w:left w:type="dxa" w:w="160"/>
              <w:bottom w:type="dxa" w:w="80"/>
              <w:right w:type="dxa" w:w="160"/>
            </w:tcMar>
          </w:tcPr>
          <w:p>
            <w:pPr>
              <w:spacing w:after="40" w:before="0"/>
              <w:jc w:val="left"/>
            </w:pPr>
            <w:r>
              <w:rPr>
                <w:rFonts w:ascii="Arial" w:cs="Arial" w:eastAsia="Arial" w:hAnsi="Arial"/>
                <w:b/>
                <w:bCs/>
                <w:color w:val="2E86AB"/>
                <w:sz w:val="20"/>
                <w:szCs w:val="20"/>
              </w:rPr>
              <w:t xml:space="preserve">ℹ️  PANTALLA DE UN SOLO USO (v1.1)</w:t>
            </w:r>
          </w:p>
          <w:p>
            <w:pPr>
              <w:spacing w:after="0" w:before="0"/>
              <w:jc w:val="left"/>
            </w:pPr>
            <w:r>
              <w:rPr>
                <w:rFonts w:ascii="Arial" w:cs="Arial" w:eastAsia="Arial" w:hAnsi="Arial"/>
                <w:color w:val="333333"/>
                <w:sz w:val="20"/>
                <w:szCs w:val="20"/>
              </w:rPr>
              <w:t xml:space="preserve">REG-00-WAIT solo es accesible durante la sesión temporal asociada a la solicitud (token de seguimiento del FSR) — el usuario aún no tiene credenciales de cuenta en este punto. Una vez la solicitud se resuelve y el usuario abandona o cierra esta pantalla, no existe ninguna forma de volver a acceder a ella.</w:t>
            </w:r>
          </w:p>
        </w:tc>
      </w:tr>
    </w:tbl>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2.3  ADMIN-01 — Panel de Aprobación del Operador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rPr>
          <w:tblHeader/>
        </w:trPr>
        <w:tc>
          <w:tcPr>
            <w:tcW w:type="dxa" w:w="26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Campo / Elemento</w:t>
            </w:r>
          </w:p>
        </w:tc>
        <w:tc>
          <w:tcPr>
            <w:tcW w:type="dxa" w:w="18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46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Descripción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Cola de solicitudes pendientes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Tabla de solo lectura</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Columnas: Nombre empresa, País, Email solicitante, Teléfono, Sitio web, Fecha solicitud, Antigüedad en cola. Ordenada por antigüedad (más antigua primero).</w:t>
            </w:r>
          </w:p>
        </w:tc>
      </w:tr>
      <w:tr>
        <w:tc>
          <w:tcPr>
            <w:tcW w:type="dxa" w:w="26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Ficha de solicitud (panel lateral)</w:t>
            </w:r>
          </w:p>
        </w:tc>
        <w:tc>
          <w:tcPr>
            <w:tcW w:type="dxa" w:w="1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Panel de detalle</w:t>
            </w:r>
          </w:p>
        </w:tc>
        <w:tc>
          <w:tcPr>
            <w:tcW w:type="dxa" w:w="46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Al hacer clic en una fila: todos los datos del FSR, fecha y hora de envío, historial de cambios de estado.</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Botón "Aprobar"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Action button</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Transiciona la solicitud a INVITED_APPROVED y envía email con enlace al FRO.</w:t>
            </w:r>
          </w:p>
        </w:tc>
      </w:tr>
      <w:tr>
        <w:tc>
          <w:tcPr>
            <w:tcW w:type="dxa" w:w="26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Botón "Rechazar"</w:t>
            </w:r>
          </w:p>
        </w:tc>
        <w:tc>
          <w:tcPr>
            <w:tcW w:type="dxa" w:w="1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Action button + campo de motivo</w:t>
            </w:r>
          </w:p>
        </w:tc>
        <w:tc>
          <w:tcPr>
            <w:tcW w:type="dxa" w:w="46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Requiere introducir un motivo. Transiciona a REJECTED y envía EML-08.</w:t>
            </w:r>
          </w:p>
        </w:tc>
      </w:tr>
    </w:tbl>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2.4  REG-01 — FRO (Formulario de Registro de Organización y Administrador)</w:t>
      </w:r>
    </w:p>
    <w:p>
      <w:pPr>
        <w:spacing w:after="120" w:before="120"/>
        <w:jc w:val="left"/>
      </w:pPr>
      <w:r>
        <w:rPr>
          <w:rFonts w:ascii="Arial" w:cs="Arial" w:eastAsia="Arial" w:hAnsi="Arial"/>
          <w:sz w:val="22"/>
          <w:szCs w:val="22"/>
        </w:rPr>
        <w:t xml:space="preserve">Formulario unificado en dos secciones. Pantalla central del flujo de registro — sustituye a las antiguas REG-01 (solo admin) y REG-08 (perfil de organización) de versiones anteriores.</w:t>
      </w:r>
    </w:p>
    <w:p>
      <w:pPr>
        <w:spacing w:after="80" w:before="200"/>
      </w:pPr>
      <w:r>
        <w:rPr>
          <w:rFonts w:ascii="Arial" w:cs="Arial" w:eastAsia="Arial" w:hAnsi="Arial"/>
          <w:b/>
          <w:bCs/>
          <w:color w:val="5D6D7E"/>
          <w:sz w:val="22"/>
          <w:szCs w:val="22"/>
        </w:rPr>
        <w:t xml:space="preserve">Sección 1 de 2 — Datos de la organización (orden de relleno revisado en v1.1)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200"/>
        <w:gridCol w:w="3226"/>
      </w:tblGrid>
      <w:tr>
        <w:trPr>
          <w:tblHeader/>
        </w:trPr>
        <w:tc>
          <w:tcPr>
            <w:tcW w:type="dxa" w:w="24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Campo</w:t>
            </w:r>
          </w:p>
        </w:tc>
        <w:tc>
          <w:tcPr>
            <w:tcW w:type="dxa" w:w="2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1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Obligatorio</w:t>
            </w:r>
          </w:p>
        </w:tc>
        <w:tc>
          <w:tcPr>
            <w:tcW w:type="dxa" w:w="32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Validación / Regla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Nombre legal de la empresa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Text input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Mínimo 2 caracteres, máximo 120. Pre-rellenado desde FSR si Ruta 00.2.</w:t>
            </w:r>
          </w:p>
        </w:tc>
      </w:tr>
      <w:tr>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Número de identificación fiscal (NIF/CIF)</w:t>
            </w:r>
          </w:p>
        </w:tc>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Text input</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 (NUEVO v1.1)</w:t>
            </w:r>
          </w:p>
        </w:tc>
        <w:tc>
          <w:tcPr>
            <w:tcW w:type="dxa" w:w="32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Sin validación de formato específico por país. Dato interno de verificación, no se publica.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Dirección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Text input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Máximo 200 caracteres. Visible en ficha pública y Directorio (Módulo 04).</w:t>
            </w:r>
          </w:p>
        </w:tc>
      </w:tr>
      <w:tr>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Código postal</w:t>
            </w:r>
          </w:p>
        </w:tc>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Text input</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Sin validación de formato (varía por país).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País de sede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Select (dropdown)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Lista ISO 3166-1. Establece el prefijo por defecto del teléfono.</w:t>
            </w:r>
          </w:p>
        </w:tc>
      </w:tr>
      <w:tr>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Email de contacto público</w:t>
            </w:r>
          </w:p>
        </w:tc>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Email input</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Formato de email válido. Distinto del email del administrador. Publicado en Directorio y ficha pública.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Teléfono de contacto público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Prefijo país (select) + número (text)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Prefijo con valor por defecto según país de sede. Número: solo dígitos, espacios y guiones.</w:t>
            </w:r>
          </w:p>
        </w:tc>
      </w:tr>
      <w:tr>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Sitio web corporativo</w:t>
            </w:r>
          </w:p>
        </w:tc>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URL input</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w:t>
            </w:r>
          </w:p>
        </w:tc>
        <w:tc>
          <w:tcPr>
            <w:tcW w:type="dxa" w:w="32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Si se introduce, debe ser https://.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Países de operación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Multi-select con búsqueda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 (mín. 1)</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Lista ISO 3166-1. País de sede preseleccionado.</w:t>
            </w:r>
          </w:p>
        </w:tc>
      </w:tr>
      <w:tr>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Marcas principales que distribuye</w:t>
            </w:r>
          </w:p>
        </w:tc>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Tags input</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w:t>
            </w:r>
          </w:p>
        </w:tc>
        <w:tc>
          <w:tcPr>
            <w:tcW w:type="dxa" w:w="32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Máximo 20 marcas. Autocompletado contra fabricantes conocidos.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Logo de la empresa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File upload (imagen)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PNG/JPG/WEBP, máx. 2 MB.</w:t>
            </w:r>
          </w:p>
        </w:tc>
      </w:tr>
      <w:tr>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Visibilidad del inventario</w:t>
            </w:r>
          </w:p>
        </w:tc>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Radio group</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Visible para todos los miembros / Visibilidad restringida (Módulo 02 v1.3). Defecto: Visible para todos.</w:t>
            </w:r>
          </w:p>
        </w:tc>
      </w:tr>
    </w:tbl>
    <w:p>
      <w:pPr>
        <w:spacing w:after="0" w:before="0"/>
        <w:jc w:val="left"/>
      </w:pPr>
      <w:r>
        <w:rPr>
          <w:rFonts w:ascii="Arial" w:cs="Arial" w:eastAsia="Arial" w:hAnsi="Arial"/>
          <w:sz w:val="22"/>
          <w:szCs w:val="22"/>
        </w:rPr>
        <w:t xml:space="preserve"/>
      </w:r>
    </w:p>
    <w:p>
      <w:pPr>
        <w:spacing w:after="80" w:before="200"/>
      </w:pPr>
      <w:r>
        <w:rPr>
          <w:rFonts w:ascii="Arial" w:cs="Arial" w:eastAsia="Arial" w:hAnsi="Arial"/>
          <w:b/>
          <w:bCs/>
          <w:color w:val="5D6D7E"/>
          <w:sz w:val="22"/>
          <w:szCs w:val="22"/>
        </w:rPr>
        <w:t xml:space="preserve">Sección 2 de 2 — Datos del usuario administrador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200"/>
        <w:gridCol w:w="3226"/>
      </w:tblGrid>
      <w:tr>
        <w:trPr>
          <w:tblHeader/>
        </w:trPr>
        <w:tc>
          <w:tcPr>
            <w:tcW w:type="dxa" w:w="24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Campo</w:t>
            </w:r>
          </w:p>
        </w:tc>
        <w:tc>
          <w:tcPr>
            <w:tcW w:type="dxa" w:w="2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1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Obligatorio</w:t>
            </w:r>
          </w:p>
        </w:tc>
        <w:tc>
          <w:tcPr>
            <w:tcW w:type="dxa" w:w="32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Validación / Regla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Nombre completo del administrador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Text input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Mínimo 2, máximo 100 caracteres.</w:t>
            </w:r>
          </w:p>
        </w:tc>
      </w:tr>
      <w:tr>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Email del administrador</w:t>
            </w:r>
          </w:p>
        </w:tc>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Email input</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Identificador único de login. Verificación de unicidad en tiempo real.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Contraseña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Password input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Mín. 10 caracteres, 1 mayúscula, 1 minúscula, 1 número, 1 símbolo.</w:t>
            </w:r>
          </w:p>
        </w:tc>
      </w:tr>
      <w:tr>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Repetir contraseña</w:t>
            </w:r>
          </w:p>
        </w:tc>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Password input</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Debe coincidir exactamente.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Acepto Términos y Condiciones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Checkbox</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Bloquea el envío si no está marcado.</w:t>
            </w:r>
          </w:p>
        </w:tc>
      </w:tr>
      <w:tr>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Botón "Continuar con Google"</w:t>
            </w:r>
          </w:p>
        </w:tc>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OAuth button</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c>
          <w:tcPr>
            <w:tcW w:type="dxa" w:w="32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Alternativa sin contraseña — passphrase de backup sigue siendo obligatoria.</w:t>
            </w:r>
          </w:p>
        </w:tc>
      </w:tr>
    </w:tbl>
    <w:p>
      <w:pPr>
        <w:spacing w:after="0" w:before="0"/>
        <w:jc w:val="left"/>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AB" w:sz="6"/>
              <w:left w:val="single" w:color="2E86AB" w:sz="6"/>
              <w:bottom w:val="single" w:color="CCCCCC" w:sz="1"/>
              <w:right w:val="single" w:color="CCCCCC" w:sz="1"/>
            </w:tcBorders>
            <w:shd w:fill="D6EAF4" w:val="clear"/>
            <w:tcMar>
              <w:top w:type="dxa" w:w="80"/>
              <w:left w:type="dxa" w:w="160"/>
              <w:bottom w:type="dxa" w:w="80"/>
              <w:right w:type="dxa" w:w="160"/>
            </w:tcMar>
          </w:tcPr>
          <w:p>
            <w:pPr>
              <w:spacing w:after="40" w:before="0"/>
              <w:jc w:val="left"/>
            </w:pPr>
            <w:r>
              <w:rPr>
                <w:rFonts w:ascii="Arial" w:cs="Arial" w:eastAsia="Arial" w:hAnsi="Arial"/>
                <w:b/>
                <w:bCs/>
                <w:color w:val="2E86AB"/>
                <w:sz w:val="20"/>
                <w:szCs w:val="20"/>
              </w:rPr>
              <w:t xml:space="preserve">👤  ROL NO EDITABLE (NUEVO v1.1)</w:t>
            </w:r>
          </w:p>
          <w:p>
            <w:pPr>
              <w:spacing w:after="0" w:before="0"/>
              <w:jc w:val="left"/>
            </w:pPr>
            <w:r>
              <w:rPr>
                <w:rFonts w:ascii="Arial" w:cs="Arial" w:eastAsia="Arial" w:hAnsi="Arial"/>
                <w:color w:val="333333"/>
                <w:sz w:val="20"/>
                <w:szCs w:val="20"/>
              </w:rPr>
              <w:t xml:space="preserve">El primer usuario que completa este formulario asume automáticamente el rol de Administrador. No hay ningún selector de rol en el FRO ni en ningún otro formulario de la plataforma (RN-01.8, Módulo 01).</w:t>
            </w:r>
          </w:p>
        </w:tc>
      </w:tr>
    </w:tbl>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2.5  REG-05 — Introducción a las Claves E2EE</w:t>
      </w:r>
    </w:p>
    <w:p>
      <w:pPr>
        <w:spacing w:after="120" w:before="120"/>
        <w:jc w:val="left"/>
      </w:pPr>
      <w:r>
        <w:rPr>
          <w:rFonts w:ascii="Arial" w:cs="Arial" w:eastAsia="Arial" w:hAnsi="Arial"/>
          <w:sz w:val="22"/>
          <w:szCs w:val="22"/>
        </w:rPr>
        <w:t xml:space="preserve">Pantalla informativa, sin campos de entrada de datos — solo botón de continuar.</w:t>
      </w:r>
    </w:p>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2.6  REG-06 — Establecer Backup Passphrase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200"/>
        <w:gridCol w:w="3226"/>
      </w:tblGrid>
      <w:tr>
        <w:trPr>
          <w:tblHeader/>
        </w:trPr>
        <w:tc>
          <w:tcPr>
            <w:tcW w:type="dxa" w:w="26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Campo</w:t>
            </w:r>
          </w:p>
        </w:tc>
        <w:tc>
          <w:tcPr>
            <w:tcW w:type="dxa" w:w="20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1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Obligatorio</w:t>
            </w:r>
          </w:p>
        </w:tc>
        <w:tc>
          <w:tcPr>
            <w:tcW w:type="dxa" w:w="32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Validación / Regla</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Backup passphrase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Password input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Distinta de la contraseña de login. Política de entropía mínima (zxcvbn).</w:t>
            </w:r>
          </w:p>
        </w:tc>
      </w:tr>
      <w:tr>
        <w:tc>
          <w:tcPr>
            <w:tcW w:type="dxa" w:w="26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Repetir backup passphrase</w:t>
            </w:r>
          </w:p>
        </w:tc>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Password input</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Debe coincidir exactamente.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Confirmación de comprensión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Checkbox</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"Entiendo que si pierdo esta frase y no tengo backup en la nube, perderé mi historial cifrado permanentemente."</w:t>
            </w:r>
          </w:p>
        </w:tc>
      </w:tr>
    </w:tbl>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2.7  REG-07 — Generación de Claves y Almacenamiento de Backup</w:t>
      </w:r>
    </w:p>
    <w:p>
      <w:pPr>
        <w:spacing w:after="120" w:before="120"/>
        <w:jc w:val="left"/>
      </w:pPr>
      <w:r>
        <w:rPr>
          <w:rFonts w:ascii="Arial" w:cs="Arial" w:eastAsia="Arial" w:hAnsi="Arial"/>
          <w:sz w:val="22"/>
          <w:szCs w:val="22"/>
        </w:rPr>
        <w:t xml:space="preserve">Pantalla de procesamiento — sin campos de entrada. Ejecuta: generación del par de claves X25519, derivación Argon2id de la passphrase, cifrado AES-256-GCM de la clave privada, subida del blob cifrado al servidor (ADR-001).</w:t>
      </w:r>
    </w:p>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2.8  REG-09 — Bienvenida, Usuarios Adicionales y Acceso al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Elemento</w:t>
            </w:r>
          </w:p>
        </w:tc>
        <w:tc>
          <w:tcPr>
            <w:tcW w:type="dxa" w:w="20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42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Descripción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Pregunta "¿Deseas registrar más usuarios?"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Single select</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 añadir usuario / No, ir al dashboard.</w:t>
            </w:r>
          </w:p>
        </w:tc>
      </w:tr>
      <w:tr>
        <w:tc>
          <w:tcPr>
            <w:tcW w:type="dxa" w:w="2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FRU (si elige "Sí")</w:t>
            </w:r>
          </w:p>
        </w:tc>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Redirección</w:t>
            </w:r>
          </w:p>
        </w:tc>
        <w:tc>
          <w:tcPr>
            <w:tcW w:type="dxa" w:w="42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Lanza la pantalla FRU (sección 2.8B) — formulario propio, separado del FRO. Iterativo hasta el límite de 5 usuarios/organización.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Botón "Ir al dashboard"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Primary button</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Redirige a /dashboard.</w:t>
            </w:r>
          </w:p>
        </w:tc>
      </w:tr>
    </w:tbl>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2.8B  FRU — Formulario de Registro de Usuario Adicional (NUEVO v1.1)</w:t>
      </w:r>
    </w:p>
    <w:p>
      <w:pPr>
        <w:spacing w:after="120" w:before="120"/>
        <w:jc w:val="left"/>
      </w:pPr>
      <w:r>
        <w:rPr>
          <w:rFonts w:ascii="Arial" w:cs="Arial" w:eastAsia="Arial" w:hAnsi="Arial"/>
          <w:sz w:val="22"/>
          <w:szCs w:val="22"/>
        </w:rPr>
        <w:t xml:space="preserve">Formulario separado y simplificado, sin ningún campo de organización (ni siquiera en modo solo lectura). Se lanza desde REG-09 o desde el enlace de invitación por email (FL-04).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200"/>
        <w:gridCol w:w="3226"/>
      </w:tblGrid>
      <w:tr>
        <w:trPr>
          <w:tblHeader/>
        </w:trPr>
        <w:tc>
          <w:tcPr>
            <w:tcW w:type="dxa" w:w="24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Campo</w:t>
            </w:r>
          </w:p>
        </w:tc>
        <w:tc>
          <w:tcPr>
            <w:tcW w:type="dxa" w:w="2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1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Obligatorio</w:t>
            </w:r>
          </w:p>
        </w:tc>
        <w:tc>
          <w:tcPr>
            <w:tcW w:type="dxa" w:w="32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Validación / Regla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Nombre completo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Text input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Mínimo 2, máximo 100 caracteres.</w:t>
            </w:r>
          </w:p>
        </w:tc>
      </w:tr>
      <w:tr>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Email</w:t>
            </w:r>
          </w:p>
        </w:tc>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Email input</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Verificación de unicidad en tiempo real, igual que en el FRO.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Contraseña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Password input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Misma política que el FRO.</w:t>
            </w:r>
          </w:p>
        </w:tc>
      </w:tr>
      <w:tr>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Repetir contraseña</w:t>
            </w:r>
          </w:p>
        </w:tc>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Password input</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Debe coincidir exactamente.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Acepto Términos y Condiciones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Checkbox</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Bloquea el envío si no está marcado.</w:t>
            </w:r>
          </w:p>
        </w:tc>
      </w:tr>
    </w:tbl>
    <w:p>
      <w:pPr>
        <w:spacing w:after="0" w:before="0"/>
        <w:jc w:val="left"/>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AB" w:sz="6"/>
              <w:left w:val="single" w:color="2E86AB" w:sz="6"/>
              <w:bottom w:val="single" w:color="CCCCCC" w:sz="1"/>
              <w:right w:val="single" w:color="CCCCCC" w:sz="1"/>
            </w:tcBorders>
            <w:shd w:fill="D6EAF4" w:val="clear"/>
            <w:tcMar>
              <w:top w:type="dxa" w:w="80"/>
              <w:left w:type="dxa" w:w="160"/>
              <w:bottom w:type="dxa" w:w="80"/>
              <w:right w:type="dxa" w:w="160"/>
            </w:tcMar>
          </w:tcPr>
          <w:p>
            <w:pPr>
              <w:spacing w:after="40" w:before="0"/>
              <w:jc w:val="left"/>
            </w:pPr>
            <w:r>
              <w:rPr>
                <w:rFonts w:ascii="Arial" w:cs="Arial" w:eastAsia="Arial" w:hAnsi="Arial"/>
                <w:b/>
                <w:bCs/>
                <w:color w:val="2E86AB"/>
                <w:sz w:val="20"/>
                <w:szCs w:val="20"/>
              </w:rPr>
              <w:t xml:space="preserve">🚫  SIN ROL SELECCIONABLE NI CAMPOS DE ORGANIZACIÓN</w:t>
            </w:r>
          </w:p>
          <w:p>
            <w:pPr>
              <w:spacing w:after="0" w:before="0"/>
              <w:jc w:val="left"/>
            </w:pPr>
            <w:r>
              <w:rPr>
                <w:rFonts w:ascii="Arial" w:cs="Arial" w:eastAsia="Arial" w:hAnsi="Arial"/>
                <w:color w:val="333333"/>
                <w:sz w:val="20"/>
                <w:szCs w:val="20"/>
              </w:rPr>
              <w:t xml:space="preserve">El usuario registrado mediante el FRU se asigna automáticamente como Editor (RN-01.8) y queda asociado a la organización de quien lo invitó, sin ver ni confirmar ningún dato de esa organización.</w:t>
            </w:r>
          </w:p>
        </w:tc>
      </w:tr>
    </w:tbl>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2.9  INVT-01 — Panel de Gestión de Invitaciones</w:t>
      </w:r>
    </w:p>
    <w:p>
      <w:pPr>
        <w:spacing w:after="120" w:before="120"/>
        <w:jc w:val="left"/>
      </w:pPr>
      <w:r>
        <w:rPr>
          <w:rFonts w:ascii="Arial" w:cs="Arial" w:eastAsia="Arial" w:hAnsi="Arial"/>
          <w:sz w:val="22"/>
          <w:szCs w:val="22"/>
        </w:rPr>
        <w:t xml:space="preserve">Renombrada en esta consolidación para evitar el conflicto de código con INV-01 del Módulo 02 (panel de inventario) — ver hallazgo en sección 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Campo / Elemento</w:t>
            </w:r>
          </w:p>
        </w:tc>
        <w:tc>
          <w:tcPr>
            <w:tcW w:type="dxa" w:w="20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42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Descripción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Email a invitar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Email input</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Campo para generar una nueva invitación de usuario adicional. Sin selector de rol (NUEVO v1.1) — el invitado se asigna automáticamente como Editor.</w:t>
            </w:r>
          </w:p>
        </w:tc>
      </w:tr>
      <w:tr>
        <w:tc>
          <w:tcPr>
            <w:tcW w:type="dxa" w:w="2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Tabla de invitaciones enviadas</w:t>
            </w:r>
          </w:p>
        </w:tc>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Tabla de solo lectura</w:t>
            </w:r>
          </w:p>
        </w:tc>
        <w:tc>
          <w:tcPr>
            <w:tcW w:type="dxa" w:w="42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Estado de cada invitación: pendiente, aceptada, expirada.</w:t>
            </w:r>
          </w:p>
        </w:tc>
      </w:tr>
    </w:tbl>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2.10  REC-01 — Recuperación de Clave Privada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200"/>
        <w:gridCol w:w="3226"/>
      </w:tblGrid>
      <w:tr>
        <w:trPr>
          <w:tblHeader/>
        </w:trPr>
        <w:tc>
          <w:tcPr>
            <w:tcW w:type="dxa" w:w="26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Campo</w:t>
            </w:r>
          </w:p>
        </w:tc>
        <w:tc>
          <w:tcPr>
            <w:tcW w:type="dxa" w:w="20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1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Obligatorio</w:t>
            </w:r>
          </w:p>
        </w:tc>
        <w:tc>
          <w:tcPr>
            <w:tcW w:type="dxa" w:w="32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Validación / Regla</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Backup passphrase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Password input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Rate limiting: 5 intentos, luego cooldown de 30 minutos (ADR-001).</w:t>
            </w:r>
          </w:p>
        </w:tc>
      </w:tr>
    </w:tbl>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2.11  SET-SEC-01 — Cambiar Backup Passphrase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200"/>
        <w:gridCol w:w="3226"/>
      </w:tblGrid>
      <w:tr>
        <w:trPr>
          <w:tblHeader/>
        </w:trPr>
        <w:tc>
          <w:tcPr>
            <w:tcW w:type="dxa" w:w="26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Campo</w:t>
            </w:r>
          </w:p>
        </w:tc>
        <w:tc>
          <w:tcPr>
            <w:tcW w:type="dxa" w:w="20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1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Obligatorio</w:t>
            </w:r>
          </w:p>
        </w:tc>
        <w:tc>
          <w:tcPr>
            <w:tcW w:type="dxa" w:w="32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Validación / Regla</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Passphrase actual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Password input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Verificación antes de permitir el cambio.</w:t>
            </w:r>
          </w:p>
        </w:tc>
      </w:tr>
      <w:tr>
        <w:tc>
          <w:tcPr>
            <w:tcW w:type="dxa" w:w="26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Nueva passphrase</w:t>
            </w:r>
          </w:p>
        </w:tc>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Password input</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Misma política de entropía que REG-06.</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Repetir nueva passphrase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Password input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Debe coincidir exactamente.</w:t>
            </w:r>
          </w:p>
        </w:tc>
      </w:tr>
    </w:tbl>
    <w:p>
      <w:pPr>
        <w:spacing w:after="0" w:before="0"/>
        <w:jc w:val="left"/>
      </w:pPr>
      <w:r>
        <w:rPr>
          <w:rFonts w:ascii="Arial" w:cs="Arial" w:eastAsia="Arial" w:hAnsi="Arial"/>
          <w:sz w:val="22"/>
          <w:szCs w:val="22"/>
        </w:rPr>
        <w:t xml:space="preserve"/>
      </w:r>
    </w:p>
    <w:p>
      <w:pPr>
        <w:pStyle w:val="Heading1"/>
        <w:pBdr>
          <w:bottom w:val="single" w:color="2E86AB" w:sz="8" w:space="4"/>
        </w:pBdr>
        <w:spacing w:after="200" w:before="480"/>
      </w:pPr>
      <w:r>
        <w:rPr>
          <w:rFonts w:ascii="Arial" w:cs="Arial" w:eastAsia="Arial" w:hAnsi="Arial"/>
          <w:b/>
          <w:bCs/>
          <w:color w:val="1A3A5C"/>
          <w:sz w:val="36"/>
          <w:szCs w:val="36"/>
        </w:rPr>
        <w:t xml:space="preserve">3. Módulo 02 — Gestión de Inventario</w:t>
      </w:r>
    </w:p>
    <w:p>
      <w:pPr>
        <w:pStyle w:val="Heading2"/>
        <w:spacing w:after="160" w:before="360"/>
      </w:pPr>
      <w:r>
        <w:rPr>
          <w:rFonts w:ascii="Arial" w:cs="Arial" w:eastAsia="Arial" w:hAnsi="Arial"/>
          <w:b/>
          <w:bCs/>
          <w:color w:val="1A3A5C"/>
          <w:sz w:val="28"/>
          <w:szCs w:val="28"/>
        </w:rPr>
        <w:t xml:space="preserve">3.1  INV-01 — Panel de Inventario</w:t>
      </w:r>
    </w:p>
    <w:p>
      <w:pPr>
        <w:spacing w:after="120" w:before="120"/>
        <w:jc w:val="left"/>
      </w:pPr>
      <w:r>
        <w:rPr>
          <w:rFonts w:ascii="Arial" w:cs="Arial" w:eastAsia="Arial" w:hAnsi="Arial"/>
          <w:sz w:val="22"/>
          <w:szCs w:val="22"/>
        </w:rPr>
        <w:t xml:space="preserve">Pantalla principal de gestión, sin formulario de entrada propio — es un panel de visualización y acciones sobre el inventario ya publicado.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Zona</w:t>
            </w:r>
          </w:p>
        </w:tc>
        <w:tc>
          <w:tcPr>
            <w:tcW w:type="dxa" w:w="66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Contenido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Resumen estadístico</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4 tarjetas: total líneas publicadas, líneas desactualizadas, última actualización, visitas recibidas (30 días).</w:t>
            </w:r>
          </w:p>
        </w:tc>
      </w:tr>
      <w:tr>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Zona de subida (drag &amp; drop)</w:t>
            </w:r>
          </w:p>
        </w:tc>
        <w:tc>
          <w:tcPr>
            <w:tcW w:type="dxa" w:w="66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Acepta .csv, .xlsx, .xls, .tsv, .txt. Tamaño máximo 50 MB.</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Tabla de inventario actual</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part_number, brand, quantity, location_country, estado, uploaded_at. Paginada, ordenable, buscable. (NUEVO v1.1: eliminado el campo condition, residuo de una versión anterior — no forma parte del esquema canónico vigente.)</w:t>
            </w:r>
          </w:p>
        </w:tc>
      </w:tr>
      <w:tr>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Filtros rápidos</w:t>
            </w:r>
          </w:p>
        </w:tc>
        <w:tc>
          <w:tcPr>
            <w:tcW w:type="dxa" w:w="66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Todos / Publicados / Desactualizados / Archivados.</w:t>
            </w:r>
          </w:p>
        </w:tc>
      </w:tr>
    </w:tbl>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3.2  INV-02 — Procesamiento y Mapeo de Columnas (formulario de confirmación)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200"/>
        <w:gridCol w:w="2826"/>
      </w:tblGrid>
      <w:tr>
        <w:trPr>
          <w:tblHeader/>
        </w:trPr>
        <w:tc>
          <w:tcPr>
            <w:tcW w:type="dxa" w:w="28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Campo / Elemento</w:t>
            </w:r>
          </w:p>
        </w:tc>
        <w:tc>
          <w:tcPr>
            <w:tcW w:type="dxa" w:w="2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1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Obligatorio</w:t>
            </w:r>
          </w:p>
        </w:tc>
        <w:tc>
          <w:tcPr>
            <w:tcW w:type="dxa" w:w="28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Validación / Regla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Mapeo por columna ("Campo en plataforma")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Dropdown editable por fila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 (para columnas obligatorias)</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Debe mapear part_number, brand, quantity, location_country como mínimo para poder confirmar.</w:t>
            </w:r>
          </w:p>
        </w:tc>
      </w:tr>
      <w:tr>
        <w:tc>
          <w:tcPr>
            <w:tcW w:type="dxa" w:w="2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Guardar como perfil</w:t>
            </w:r>
          </w:p>
        </w:tc>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Checkbox + nombre de texto</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w:t>
            </w:r>
          </w:p>
        </w:tc>
        <w:tc>
          <w:tcPr>
            <w:tcW w:type="dxa" w:w="28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Plantilla reutilizable de mapeo de columnas (NUEVO v1.1 — aclaración): si se marca, las futuras subidas con estructura similar se mapean automáticamente sin pedir confirmación.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Columnas ignoradas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Selector múltiple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El usuario confirma qué columnas no mapeadas son irrelevantes.</w:t>
            </w:r>
          </w:p>
        </w:tc>
      </w:tr>
    </w:tbl>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3.3  INV-03 — Resultado de la Importación</w:t>
      </w:r>
    </w:p>
    <w:p>
      <w:pPr>
        <w:spacing w:after="120" w:before="120"/>
        <w:jc w:val="left"/>
      </w:pPr>
      <w:r>
        <w:rPr>
          <w:rFonts w:ascii="Arial" w:cs="Arial" w:eastAsia="Arial" w:hAnsi="Arial"/>
          <w:sz w:val="22"/>
          <w:szCs w:val="22"/>
        </w:rPr>
        <w:t xml:space="preserve">Pantalla de solo lectura — resumen del procesamiento, sin campos de entrada salvo el botón condicional "Subir correcciones". NUEVO v1.1: muestra siempre solo un ejemplo de las primeras 10 líneas importadas, etiquetado explícitamente como muestra — nunca intenta renderizar el listado completo, sea cual sea el volumen del archivo (puede haber miles de líneas).</w:t>
      </w:r>
    </w:p>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3.4  INV-04 — Configuración del Canal 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200"/>
        <w:gridCol w:w="2826"/>
      </w:tblGrid>
      <w:tr>
        <w:trPr>
          <w:tblHeader/>
        </w:trPr>
        <w:tc>
          <w:tcPr>
            <w:tcW w:type="dxa" w:w="28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Campo</w:t>
            </w:r>
          </w:p>
        </w:tc>
        <w:tc>
          <w:tcPr>
            <w:tcW w:type="dxa" w:w="2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1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Obligatorio</w:t>
            </w:r>
          </w:p>
        </w:tc>
        <w:tc>
          <w:tcPr>
            <w:tcW w:type="dxa" w:w="28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Validación / Regla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Whitelist de remitentes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Lista editable de emails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 (mín. 1, el del admin por defecto)</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Emails no en whitelist se rechazan silenciosamente.</w:t>
            </w:r>
          </w:p>
        </w:tc>
      </w:tr>
      <w:tr>
        <w:tc>
          <w:tcPr>
            <w:tcW w:type="dxa" w:w="2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Perfil de mapeo por defecto</w:t>
            </w:r>
          </w:p>
        </w:tc>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Selector</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w:t>
            </w:r>
          </w:p>
        </w:tc>
        <w:tc>
          <w:tcPr>
            <w:tcW w:type="dxa" w:w="28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Si no se selecciona, el sistema intenta mapeo automático.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Comportamiento ante errores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Radio group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Publicar válidas e ignorar erróneas / No publicar nada si hay error. Defecto: primera opción.</w:t>
            </w:r>
          </w:p>
        </w:tc>
      </w:tr>
    </w:tbl>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3.5  INV-05 — Configuración de Carpeta Monitorizada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200"/>
        <w:gridCol w:w="2826"/>
      </w:tblGrid>
      <w:tr>
        <w:trPr>
          <w:tblHeader/>
        </w:trPr>
        <w:tc>
          <w:tcPr>
            <w:tcW w:type="dxa" w:w="28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Campo</w:t>
            </w:r>
          </w:p>
        </w:tc>
        <w:tc>
          <w:tcPr>
            <w:tcW w:type="dxa" w:w="2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1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Obligatorio</w:t>
            </w:r>
          </w:p>
        </w:tc>
        <w:tc>
          <w:tcPr>
            <w:tcW w:type="dxa" w:w="28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Validación / Regla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Ruta monitorizada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Text input / selector de carpeta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Puede ser ruta de red (UNC en Windows, mount point en macOS/Linux).</w:t>
            </w:r>
          </w:p>
        </w:tc>
      </w:tr>
      <w:tr>
        <w:tc>
          <w:tcPr>
            <w:tcW w:type="dxa" w:w="2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Patrón de nombre de archivo</w:t>
            </w:r>
          </w:p>
        </w:tc>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Text input</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w:t>
            </w:r>
          </w:p>
        </w:tc>
        <w:tc>
          <w:tcPr>
            <w:tcW w:type="dxa" w:w="28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Ej. "stock_*.csv". Defecto: cualquier archivo compatible.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Frecuencia de chequeo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Radio group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Tiempo real / 5 min / 15 min / 1 hora. Defecto: tiempo real si el SO lo soporta.</w:t>
            </w:r>
          </w:p>
        </w:tc>
      </w:tr>
      <w:tr>
        <w:tc>
          <w:tcPr>
            <w:tcW w:type="dxa" w:w="2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Perfil de mapeo por defecto</w:t>
            </w:r>
          </w:p>
        </w:tc>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Selector</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w:t>
            </w:r>
          </w:p>
        </w:tc>
        <w:tc>
          <w:tcPr>
            <w:tcW w:type="dxa" w:w="28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Igual que INV-04.</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Comportamiento ante duplicados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Radio group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Ignorar si hash MD5 idéntico / Procesar siempre. Defecto: ignorar duplicados.</w:t>
            </w:r>
          </w:p>
        </w:tc>
      </w:tr>
    </w:tbl>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3.6  INV-07 — Configuración de Visibilidad (REDISEÑADO v1.1)</w:t>
      </w:r>
    </w:p>
    <w:p>
      <w:pPr>
        <w:spacing w:after="120" w:before="120"/>
        <w:jc w:val="left"/>
      </w:pPr>
      <w:r>
        <w:rPr>
          <w:rFonts w:ascii="Arial" w:cs="Arial" w:eastAsia="Arial" w:hAnsi="Arial"/>
          <w:sz w:val="22"/>
          <w:szCs w:val="22"/>
        </w:rPr>
        <w:t xml:space="preserve">Sustituye por completo el modelo anterior de cinco modos (Público/Whitelist/Blacklist/Bilateral/Tiered) por un modelo de dos modos, aplicado siempre al inventario completo de la organización — ver Módulo 02 v1.3, sección 6, para la discusión completa de este rediseño.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200"/>
        <w:gridCol w:w="2826"/>
      </w:tblGrid>
      <w:tr>
        <w:trPr>
          <w:tblHeader/>
        </w:trPr>
        <w:tc>
          <w:tcPr>
            <w:tcW w:type="dxa" w:w="28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Campo / Elemento</w:t>
            </w:r>
          </w:p>
        </w:tc>
        <w:tc>
          <w:tcPr>
            <w:tcW w:type="dxa" w:w="2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1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Obligatorio</w:t>
            </w:r>
          </w:p>
        </w:tc>
        <w:tc>
          <w:tcPr>
            <w:tcW w:type="dxa" w:w="28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Validación / Regla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Selector de modo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Radio group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Visible para todos los miembros (defecto) / Visibilidad restringida.</w:t>
            </w:r>
          </w:p>
        </w:tc>
      </w:tr>
      <w:tr>
        <w:tc>
          <w:tcPr>
            <w:tcW w:type="dxa" w:w="2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Buscador de organizaciones a excluir</w:t>
            </w:r>
          </w:p>
        </w:tc>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Text input con resultados en tabla</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 (solo si modo = Restringida)</w:t>
            </w:r>
          </w:p>
        </w:tc>
        <w:tc>
          <w:tcPr>
            <w:tcW w:type="dxa" w:w="28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Coincidencia parcial por nombre; selección múltiple de los resultados.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Selector de continente / país a excluir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Selector en dos pasos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 (solo si modo = Restringida)</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Continente obligatorio si se usa este mecanismo; país opcional para refinar dentro del continente.</w:t>
            </w:r>
          </w:p>
        </w:tc>
      </w:tr>
      <w:tr>
        <w:tc>
          <w:tcPr>
            <w:tcW w:type="dxa" w:w="2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Lista de exclusión resultante</w:t>
            </w:r>
          </w:p>
        </w:tc>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Tabla de solo lectura + acción</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c>
          <w:tcPr>
            <w:tcW w:type="dxa" w:w="28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Combina ambos mecanismos. Botón "Quitar" por fila para revertir una exclusión.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Botón "Simular visibilidad"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Action button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Selecciona otra organización y comprueba si vería el inventario con la configuración actual.</w:t>
            </w:r>
          </w:p>
        </w:tc>
      </w:tr>
    </w:tbl>
    <w:p>
      <w:pPr>
        <w:spacing w:after="0" w:before="0"/>
        <w:jc w:val="left"/>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D6D7E" w:sz="6"/>
              <w:left w:val="single" w:color="5D6D7E" w:sz="6"/>
              <w:bottom w:val="single" w:color="CCCCCC" w:sz="1"/>
              <w:right w:val="single" w:color="CCCCCC" w:sz="1"/>
            </w:tcBorders>
            <w:shd w:fill="F2F3F4" w:val="clear"/>
            <w:tcMar>
              <w:top w:type="dxa" w:w="80"/>
              <w:left w:type="dxa" w:w="160"/>
              <w:bottom w:type="dxa" w:w="80"/>
              <w:right w:type="dxa" w:w="160"/>
            </w:tcMar>
          </w:tcPr>
          <w:p>
            <w:pPr>
              <w:spacing w:after="40" w:before="0"/>
              <w:jc w:val="left"/>
            </w:pPr>
            <w:r>
              <w:rPr>
                <w:rFonts w:ascii="Arial" w:cs="Arial" w:eastAsia="Arial" w:hAnsi="Arial"/>
                <w:b/>
                <w:bCs/>
                <w:color w:val="5D6D7E"/>
                <w:sz w:val="20"/>
                <w:szCs w:val="20"/>
              </w:rPr>
              <w:t xml:space="preserve">ℹ️  CANALES SIN PANTALLA DE FORMULARIO PROPIA</w:t>
            </w:r>
          </w:p>
          <w:p>
            <w:pPr>
              <w:spacing w:after="0" w:before="0"/>
              <w:jc w:val="left"/>
            </w:pPr>
            <w:r>
              <w:rPr>
                <w:rFonts w:ascii="Arial" w:cs="Arial" w:eastAsia="Arial" w:hAnsi="Arial"/>
                <w:color w:val="333333"/>
                <w:sz w:val="20"/>
                <w:szCs w:val="20"/>
              </w:rPr>
              <w:t xml:space="preserve">El Módulo 02 también define CAN-04 (API directa / Webhook), que no tiene una pantalla de formulario equivalente — es documentación técnica de endpoints REST para integraciones de ERP, fuera del alcance de este inventario de pantallas y formularios de usuario final.</w:t>
            </w:r>
          </w:p>
        </w:tc>
      </w:tr>
    </w:tbl>
    <w:p>
      <w:pPr>
        <w:spacing w:after="0" w:before="0"/>
        <w:jc w:val="left"/>
      </w:pPr>
      <w:r>
        <w:rPr>
          <w:rFonts w:ascii="Arial" w:cs="Arial" w:eastAsia="Arial" w:hAnsi="Arial"/>
          <w:sz w:val="22"/>
          <w:szCs w:val="22"/>
        </w:rPr>
        <w:t xml:space="preserve"/>
      </w:r>
    </w:p>
    <w:p>
      <w:pPr>
        <w:pStyle w:val="Heading1"/>
        <w:pBdr>
          <w:bottom w:val="single" w:color="2E86AB" w:sz="8" w:space="4"/>
        </w:pBdr>
        <w:spacing w:after="200" w:before="480"/>
      </w:pPr>
      <w:r>
        <w:rPr>
          <w:rFonts w:ascii="Arial" w:cs="Arial" w:eastAsia="Arial" w:hAnsi="Arial"/>
          <w:b/>
          <w:bCs/>
          <w:color w:val="1A3A5C"/>
          <w:sz w:val="36"/>
          <w:szCs w:val="36"/>
        </w:rPr>
        <w:t xml:space="preserve">4. Módulo 03 — Búsqueda Conversacional y Descubrimiento</w:t>
      </w:r>
    </w:p>
    <w:p>
      <w:pPr>
        <w:spacing w:after="120" w:before="120"/>
        <w:jc w:val="left"/>
      </w:pPr>
      <w:r>
        <w:rPr>
          <w:rFonts w:ascii="Arial" w:cs="Arial" w:eastAsia="Arial" w:hAnsi="Arial"/>
          <w:sz w:val="22"/>
          <w:szCs w:val="22"/>
        </w:rPr>
        <w:t xml:space="preserve">Las tres pantallas de este módulo son fundamentalmente paneles de resultados y gestión, no formularios de captura de datos en el sentido clásico. Los "campos" documentados aquí son los filtros y controles de entrada que sí existen dentro de cada pantalla.</w:t>
      </w:r>
    </w:p>
    <w:p>
      <w:pPr>
        <w:pStyle w:val="Heading2"/>
        <w:spacing w:after="160" w:before="360"/>
      </w:pPr>
      <w:r>
        <w:rPr>
          <w:rFonts w:ascii="Arial" w:cs="Arial" w:eastAsia="Arial" w:hAnsi="Arial"/>
          <w:b/>
          <w:bCs/>
          <w:color w:val="1A3A5C"/>
          <w:sz w:val="28"/>
          <w:szCs w:val="28"/>
        </w:rPr>
        <w:t xml:space="preserve">4.1  SRCH-01 — Panel de Resultados de Búsqueda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000"/>
        <w:gridCol w:w="3426"/>
      </w:tblGrid>
      <w:tr>
        <w:trPr>
          <w:tblHeader/>
        </w:trPr>
        <w:tc>
          <w:tcPr>
            <w:tcW w:type="dxa" w:w="28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Campo / Control</w:t>
            </w:r>
          </w:p>
        </w:tc>
        <w:tc>
          <w:tcPr>
            <w:tcW w:type="dxa" w:w="18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10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Obligatorio</w:t>
            </w:r>
          </w:p>
        </w:tc>
        <w:tc>
          <w:tcPr>
            <w:tcW w:type="dxa" w:w="34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Descripción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Chips de filtro (referencia, marca, cantidad mín., país, lead time)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Chips editables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Generados por VERA a partir de la consulta en lenguaje natural; editables directamente en la UI.</w:t>
            </w:r>
          </w:p>
        </w:tc>
      </w:tr>
      <w:tr>
        <w:tc>
          <w:tcPr>
            <w:tcW w:type="dxa" w:w="2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Orden de columnas de la tabla (NUEVO v1.1, fijo)</w:t>
            </w:r>
          </w:p>
        </w:tc>
        <w:tc>
          <w:tcPr>
            <w:tcW w:type="dxa" w:w="1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c>
          <w:tcPr>
            <w:tcW w:type="dxa" w:w="1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c>
          <w:tcPr>
            <w:tcW w:type="dxa" w:w="34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Referencia, Marca, Cantidad, Plazo, Empresa, País — siempre en este orden. Después: Antigüedad del dato, Favoritos, Acciones (RNG-SRCH-10, Módulo 03 v1.6).</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Checkbox de selección múltiple por fila (NUEVO v1.1)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Checkbox</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Permite marcar varias líneas de uno o varios distribuidores antes de una acción en lote.</w:t>
            </w:r>
          </w:p>
        </w:tc>
      </w:tr>
      <w:tr>
        <w:tc>
          <w:tcPr>
            <w:tcW w:type="dxa" w:w="2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Botón "Consultar Seleccionados" (NUEVO v1.1)</w:t>
            </w:r>
          </w:p>
        </w:tc>
        <w:tc>
          <w:tcPr>
            <w:tcW w:type="dxa" w:w="1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Action button</w:t>
            </w:r>
          </w:p>
        </w:tc>
        <w:tc>
          <w:tcPr>
            <w:tcW w:type="dxa" w:w="1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c>
          <w:tcPr>
            <w:tcW w:type="dxa" w:w="34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Habilitado solo con al menos una fila marcada. Envía consultas a todos los distribuidores seleccionados sin abrir hilos en pantalla — se crean/reutilizan en segundo plano, visibles después en MSG-01. Líneas del mismo distribuidor se agrupan en su único hilo existente (RNG-MSG-06).</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Botón "Consultar" (por fila)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Action button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Deshabilitado si la línea ya fue marcada como consultada por este comprador (Módulo 04, sección 5.4).</w:t>
            </w:r>
          </w:p>
        </w:tc>
      </w:tr>
      <w:tr>
        <w:tc>
          <w:tcPr>
            <w:tcW w:type="dxa" w:w="2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Botón "Contactar" (por fila)</w:t>
            </w:r>
          </w:p>
        </w:tc>
        <w:tc>
          <w:tcPr>
            <w:tcW w:type="dxa" w:w="1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Action button</w:t>
            </w:r>
          </w:p>
        </w:tc>
        <w:tc>
          <w:tcPr>
            <w:tcW w:type="dxa" w:w="1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c>
          <w:tcPr>
            <w:tcW w:type="dxa" w:w="34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Siempre disponible. También es la vía para abrir un hilo directo y preguntar por una o varias referencias en lenguaje libre.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Botón "Crear watcher con estos criterios"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Action button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Convierte los filtros actuales en un watcher persistente.</w:t>
            </w:r>
          </w:p>
        </w:tc>
      </w:tr>
      <w:tr>
        <w:tc>
          <w:tcPr>
            <w:tcW w:type="dxa" w:w="2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Filtros laterales (panel colapsable)</w:t>
            </w:r>
          </w:p>
        </w:tc>
        <w:tc>
          <w:tcPr>
            <w:tcW w:type="dxa" w:w="1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País/región, marca, cantidad mín., lead time</w:t>
            </w:r>
          </w:p>
        </w:tc>
        <w:tc>
          <w:tcPr>
            <w:tcW w:type="dxa" w:w="1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w:t>
            </w:r>
          </w:p>
        </w:tc>
        <w:tc>
          <w:tcPr>
            <w:tcW w:type="dxa" w:w="34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Espejo de los chips — cualquier cambio aquí se refleja también en el chat.</w:t>
            </w:r>
          </w:p>
        </w:tc>
      </w:tr>
    </w:tbl>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4.2  SRCH-02 — Panel Consolidado de Búsqueda por Lotes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000"/>
        <w:gridCol w:w="3426"/>
      </w:tblGrid>
      <w:tr>
        <w:trPr>
          <w:tblHeader/>
        </w:trPr>
        <w:tc>
          <w:tcPr>
            <w:tcW w:type="dxa" w:w="28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Campo / Control</w:t>
            </w:r>
          </w:p>
        </w:tc>
        <w:tc>
          <w:tcPr>
            <w:tcW w:type="dxa" w:w="18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10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Obligatorio</w:t>
            </w:r>
          </w:p>
        </w:tc>
        <w:tc>
          <w:tcPr>
            <w:tcW w:type="dxa" w:w="34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Descripción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Lista de referencias (entrada del lote)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Textarea / pegado libre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Tolerante a formato: una por línea, separadas por comas o tabulaciones. Límite 50 referencias por consulta.</w:t>
            </w:r>
          </w:p>
        </w:tc>
      </w:tr>
      <w:tr>
        <w:tc>
          <w:tcPr>
            <w:tcW w:type="dxa" w:w="2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Panel expandido por referencia (NUEVO v1.1)</w:t>
            </w:r>
          </w:p>
        </w:tc>
        <w:tc>
          <w:tcPr>
            <w:tcW w:type="dxa" w:w="1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c>
          <w:tcPr>
            <w:tcW w:type="dxa" w:w="1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c>
          <w:tcPr>
            <w:tcW w:type="dxa" w:w="34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Reutiliza la misma tabla y el mismo orden de columnas de SRCH-01, incluido el checkbox y "Consultar Seleccionados".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Botón "Exportar resumen"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Action button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Genera CSV/PDF con el resumen del lote.</w:t>
            </w:r>
          </w:p>
        </w:tc>
      </w:tr>
      <w:tr>
        <w:tc>
          <w:tcPr>
            <w:tcW w:type="dxa" w:w="2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Botón "Crear watchers para referencias sin stock"</w:t>
            </w:r>
          </w:p>
        </w:tc>
        <w:tc>
          <w:tcPr>
            <w:tcW w:type="dxa" w:w="1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Action button</w:t>
            </w:r>
          </w:p>
        </w:tc>
        <w:tc>
          <w:tcPr>
            <w:tcW w:type="dxa" w:w="1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c>
          <w:tcPr>
            <w:tcW w:type="dxa" w:w="34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Acción en lote, requiere confirmación de VERA antes de ejecutar.</w:t>
            </w:r>
          </w:p>
        </w:tc>
      </w:tr>
    </w:tbl>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4.3  SRCH-03 — Gestión de Watchers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000"/>
        <w:gridCol w:w="3426"/>
      </w:tblGrid>
      <w:tr>
        <w:trPr>
          <w:tblHeader/>
        </w:trPr>
        <w:tc>
          <w:tcPr>
            <w:tcW w:type="dxa" w:w="28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Campo / Control</w:t>
            </w:r>
          </w:p>
        </w:tc>
        <w:tc>
          <w:tcPr>
            <w:tcW w:type="dxa" w:w="18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10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Obligatorio</w:t>
            </w:r>
          </w:p>
        </w:tc>
        <w:tc>
          <w:tcPr>
            <w:tcW w:type="dxa" w:w="34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Descripción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Condición del watcher (al crear)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part_number, quantity (umbral), brand, location_country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part_number y quantity (NUEVO v1.1 — antes solo quantity)</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Referencia y Cantidad son los dos únicos campos obligatorios para crear un watcher (RNG-SRCH-11). Marca y país siguen siendo opcionales.</w:t>
            </w:r>
          </w:p>
        </w:tc>
      </w:tr>
      <w:tr>
        <w:tc>
          <w:tcPr>
            <w:tcW w:type="dxa" w:w="2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Canal de notificación</w:t>
            </w:r>
          </w:p>
        </w:tc>
        <w:tc>
          <w:tcPr>
            <w:tcW w:type="dxa" w:w="1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Checkbox group</w:t>
            </w:r>
          </w:p>
        </w:tc>
        <w:tc>
          <w:tcPr>
            <w:tcW w:type="dxa" w:w="1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w:t>
            </w:r>
          </w:p>
        </w:tc>
        <w:tc>
          <w:tcPr>
            <w:tcW w:type="dxa" w:w="34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In-app (siempre activo) + Email (opcional, configurable).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Acciones por watcher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Pausar/Reactivar, Editar, Eliminar</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Eliminar es ACCIÓN IRREVERSIBLE con confirmación explícita (Módulo 00).</w:t>
            </w:r>
          </w:p>
        </w:tc>
      </w:tr>
      <w:tr>
        <w:tc>
          <w:tcPr>
            <w:tcW w:type="dxa" w:w="2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Botones de renovación (a los 30 días)</w:t>
            </w:r>
          </w:p>
        </w:tc>
        <w:tc>
          <w:tcPr>
            <w:tcW w:type="dxa" w:w="1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[Mantener activa] / [Dejar que expire]</w:t>
            </w:r>
          </w:p>
        </w:tc>
        <w:tc>
          <w:tcPr>
            <w:tcW w:type="dxa" w:w="1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c>
          <w:tcPr>
            <w:tcW w:type="dxa" w:w="34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Aparecen automáticamente cuando un watcher entra en PENDIENTE DE RENOVACIÓN.</w:t>
            </w:r>
          </w:p>
        </w:tc>
      </w:tr>
    </w:tbl>
    <w:p>
      <w:pPr>
        <w:spacing w:after="0" w:before="0"/>
        <w:jc w:val="left"/>
      </w:pPr>
      <w:r>
        <w:rPr>
          <w:rFonts w:ascii="Arial" w:cs="Arial" w:eastAsia="Arial" w:hAnsi="Arial"/>
          <w:sz w:val="22"/>
          <w:szCs w:val="22"/>
        </w:rPr>
        <w:t xml:space="preserve"/>
      </w:r>
    </w:p>
    <w:p>
      <w:pPr>
        <w:pStyle w:val="Heading1"/>
        <w:pBdr>
          <w:bottom w:val="single" w:color="2E86AB" w:sz="8" w:space="4"/>
        </w:pBdr>
        <w:spacing w:after="200" w:before="480"/>
      </w:pPr>
      <w:r>
        <w:rPr>
          <w:rFonts w:ascii="Arial" w:cs="Arial" w:eastAsia="Arial" w:hAnsi="Arial"/>
          <w:b/>
          <w:bCs/>
          <w:color w:val="1A3A5C"/>
          <w:sz w:val="36"/>
          <w:szCs w:val="36"/>
        </w:rPr>
        <w:t xml:space="preserve">5. Módulo 04 — Mensajería E2EE, Consultas y Negociación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6"/>
              <w:left w:val="single" w:color="C0392B" w:sz="6"/>
              <w:bottom w:val="single" w:color="CCCCCC" w:sz="1"/>
              <w:right w:val="single" w:color="CCCCCC" w:sz="1"/>
            </w:tcBorders>
            <w:shd w:fill="FDECEA" w:val="clear"/>
            <w:tcMar>
              <w:top w:type="dxa" w:w="80"/>
              <w:left w:type="dxa" w:w="160"/>
              <w:bottom w:type="dxa" w:w="80"/>
              <w:right w:type="dxa" w:w="160"/>
            </w:tcMar>
          </w:tcPr>
          <w:p>
            <w:pPr>
              <w:spacing w:after="40" w:before="0"/>
              <w:jc w:val="left"/>
            </w:pPr>
            <w:r>
              <w:rPr>
                <w:rFonts w:ascii="Arial" w:cs="Arial" w:eastAsia="Arial" w:hAnsi="Arial"/>
                <w:b/>
                <w:bCs/>
                <w:color w:val="C0392B"/>
                <w:sz w:val="20"/>
                <w:szCs w:val="20"/>
              </w:rPr>
              <w:t xml:space="preserve">🆕  MSG-01 Y MSG-02 — ESPECIFICADAS POR PRIMERA VEZ EN ESTE DOCUMENTO</w:t>
            </w:r>
          </w:p>
          <w:p>
            <w:pPr>
              <w:spacing w:after="0" w:before="0"/>
              <w:jc w:val="left"/>
            </w:pPr>
            <w:r>
              <w:rPr>
                <w:rFonts w:ascii="Arial" w:cs="Arial" w:eastAsia="Arial" w:hAnsi="Arial"/>
                <w:color w:val="333333"/>
                <w:sz w:val="20"/>
                <w:szCs w:val="20"/>
              </w:rPr>
              <w:t xml:space="preserve">El Módulo 04 v1.4 menciona constantemente "MSG-01" (lista de hilos) y "MSG-02" (vista de un hilo) como referencia cruzada, pero nunca llegó a especificar su tabla de campos y elementos en detalle — un hueco real detectado durante esta consolidación (sección 0.2). Las definiciones que siguen se completan aquí con criterio razonable, coherente con el resto del Módulo 04 v1.4 y con el patrón ya usado en pantallas equivalentes de otros módulos (p. ej. FORO-02/FORO-03 del Módulo 08, que tienen una estructura de lista + detalle análoga). Se recomienda incorporar esta misma especificación en una futura revisión formal del propio Módulo 04.</w:t>
            </w:r>
          </w:p>
        </w:tc>
      </w:tr>
    </w:tbl>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5.1  MSG-01 — Lista de Hilos (definida en esta consolidación)</w:t>
      </w:r>
    </w:p>
    <w:p>
      <w:pPr>
        <w:spacing w:after="120" w:before="120"/>
        <w:jc w:val="left"/>
      </w:pPr>
      <w:r>
        <w:rPr>
          <w:rFonts w:ascii="Arial" w:cs="Arial" w:eastAsia="Arial" w:hAnsi="Arial"/>
          <w:sz w:val="22"/>
          <w:szCs w:val="22"/>
        </w:rPr>
        <w:t xml:space="preserve">Pantalla de entrada a la mensajería, accesible desde el menú principal. Lista todos los hilos de conversación de la organización del usuario, uno por cada organización contraparte.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AB" w:sz="6"/>
              <w:left w:val="single" w:color="2E86AB" w:sz="6"/>
              <w:bottom w:val="single" w:color="CCCCCC" w:sz="1"/>
              <w:right w:val="single" w:color="CCCCCC" w:sz="1"/>
            </w:tcBorders>
            <w:shd w:fill="D6EAF4" w:val="clear"/>
            <w:tcMar>
              <w:top w:type="dxa" w:w="80"/>
              <w:left w:type="dxa" w:w="160"/>
              <w:bottom w:type="dxa" w:w="80"/>
              <w:right w:type="dxa" w:w="160"/>
            </w:tcMar>
          </w:tcPr>
          <w:p>
            <w:pPr>
              <w:spacing w:after="40" w:before="0"/>
              <w:jc w:val="left"/>
            </w:pPr>
            <w:r>
              <w:rPr>
                <w:rFonts w:ascii="Arial" w:cs="Arial" w:eastAsia="Arial" w:hAnsi="Arial"/>
                <w:b/>
                <w:bCs/>
                <w:color w:val="2E86AB"/>
                <w:sz w:val="20"/>
                <w:szCs w:val="20"/>
              </w:rPr>
              <w:t xml:space="preserve">🔑  CONCEPTO CLAVE — UN ÚNICO HILO POR PAR DE ORGANIZACIONES (RNG-MSG-06)</w:t>
            </w:r>
          </w:p>
          <w:p>
            <w:pPr>
              <w:spacing w:after="0" w:before="0"/>
              <w:jc w:val="left"/>
            </w:pPr>
            <w:r>
              <w:rPr>
                <w:rFonts w:ascii="Arial" w:cs="Arial" w:eastAsia="Arial" w:hAnsi="Arial"/>
                <w:color w:val="333333"/>
                <w:sz w:val="20"/>
                <w:szCs w:val="20"/>
              </w:rPr>
              <w:t xml:space="preserve">Entre dos organizaciones existe siempre exactamente un hilo de conversación, nunca más — sin importar cuántas referencias distintas se consulten u oferten a lo largo del tiempo, ni cuántas veces se inicie contacto. Si A consulta a B por la referencia X hoy y por la referencia Y la semana siguiente, ambas conversaciones — mensajes, tarjetas de consulta y de oferta — viven dentro del mismo hilo único, mezcladas cronológicamente, nunca en hilos separados por referencia. Esto es lo que permite que el botón "Consultar Seleccionados" del Módulo 03 (sección 4.1) pueda lanzar varias consultas a un mismo distribuidor sin crear hilos duplicados: todas se añaden al hilo único ya existente con esa organización.</w:t>
            </w:r>
          </w:p>
        </w:tc>
      </w:tr>
    </w:tbl>
    <w:p>
      <w:pPr>
        <w:spacing w:after="0" w:before="0"/>
        <w:jc w:val="left"/>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Elemento</w:t>
            </w:r>
          </w:p>
        </w:tc>
        <w:tc>
          <w:tcPr>
            <w:tcW w:type="dxa" w:w="18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50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Descripción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Lista de hilos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Lista paginada</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Una fila por hilo: nombre de la organización contraparte, último elemento (mensaje, consulta u oferta) con vista previa truncada de metadatos —nunca contenido descifrado en la lista—, timestamp del último elemento, indicador de no leídos.</w:t>
            </w:r>
          </w:p>
        </w:tc>
      </w:tr>
      <w:tr>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Indicador de estado del hilo</w:t>
            </w:r>
          </w:p>
        </w:tc>
        <w:tc>
          <w:tcPr>
            <w:tcW w:type="dxa" w:w="1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Badge de color</w:t>
            </w:r>
          </w:p>
        </w:tc>
        <w:tc>
          <w:tcPr>
            <w:tcW w:type="dxa" w:w="50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ABIERTO / CON CONSULTA PENDIENTE / CON OFERTA PENDIENTE / ACUERDO ALCANZADO / CERRADO SIN ACUERDO (Módulo 04, sección 7).</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Buscador de hilos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Text input</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Filtra la lista por nombre de organización contraparte.</w:t>
            </w:r>
          </w:p>
        </w:tc>
      </w:tr>
      <w:tr>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Ordenación</w:t>
            </w:r>
          </w:p>
        </w:tc>
        <w:tc>
          <w:tcPr>
            <w:tcW w:type="dxa" w:w="1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Por defecto</w:t>
            </w:r>
          </w:p>
        </w:tc>
        <w:tc>
          <w:tcPr>
            <w:tcW w:type="dxa" w:w="50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Por fecha del último elemento, descendente — el hilo con actividad más reciente aparece primero.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Botón "Nuevo contacto"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Action button</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Abre el Directorio de Organizaciones (MSG-05) o la búsqueda (Módulo 03) para iniciar un hilo nuevo por la vía "Contactar".</w:t>
            </w:r>
          </w:p>
        </w:tc>
      </w:tr>
    </w:tbl>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5.2  MSG-02 — Vista de un Hilo (NUEVO — definida en esta consolidación)</w:t>
      </w:r>
    </w:p>
    <w:p>
      <w:pPr>
        <w:spacing w:after="120" w:before="120"/>
        <w:jc w:val="left"/>
      </w:pPr>
      <w:r>
        <w:rPr>
          <w:rFonts w:ascii="Arial" w:cs="Arial" w:eastAsia="Arial" w:hAnsi="Arial"/>
          <w:sz w:val="22"/>
          <w:szCs w:val="22"/>
        </w:rPr>
        <w:t xml:space="preserve">Pantalla de conversación, accesible al seleccionar un hilo desde MSG-01 o al iniciar contacto con una organización desde cualquier otra pantalla (Módulo 03, MSG-04, MSG-05).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Elemento</w:t>
            </w:r>
          </w:p>
        </w:tc>
        <w:tc>
          <w:tcPr>
            <w:tcW w:type="dxa" w:w="18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50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Descripción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Cabecera del hilo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Solo lectura</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Nombre de la organización contraparte (enlace a su ficha, MSG-04), indicador de estado del hilo.</w:t>
            </w:r>
          </w:p>
        </w:tc>
      </w:tr>
      <w:tr>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Historial de elementos</w:t>
            </w:r>
          </w:p>
        </w:tc>
        <w:tc>
          <w:tcPr>
            <w:tcW w:type="dxa" w:w="1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Lista cronológica</w:t>
            </w:r>
          </w:p>
        </w:tc>
        <w:tc>
          <w:tcPr>
            <w:tcW w:type="dxa" w:w="50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Mensajes libres, tarjetas de consulta (MSG-03) y tarjetas de oferta (MSG-03), intercalados cronológicamente.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Indicador de cifrado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Mensaje de estado</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"Contenido cifrado — introduce tu frase de seguridad para ver" si la passphrase no está activa en la sesión (Módulo 04, CA-MSG-12).</w:t>
            </w:r>
          </w:p>
        </w:tc>
      </w:tr>
      <w:tr>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Campo de mensaje libre</w:t>
            </w:r>
          </w:p>
        </w:tc>
        <w:tc>
          <w:tcPr>
            <w:tcW w:type="dxa" w:w="1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Textarea</w:t>
            </w:r>
          </w:p>
        </w:tc>
        <w:tc>
          <w:tcPr>
            <w:tcW w:type="dxa" w:w="50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Texto libre, máximo razonable de plataforma (no especificado un límite estricto en el funcional de origen — a confirmar en OpenSpec).</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Botón "Crear oferta"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Action button</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Abre el formulario de tarjeta de oferta (MSG-03), disponible en cualquier momento dentro de un hilo abierto.</w:t>
            </w:r>
          </w:p>
        </w:tc>
      </w:tr>
      <w:tr>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Acciones del hilo</w:t>
            </w:r>
          </w:p>
        </w:tc>
        <w:tc>
          <w:tcPr>
            <w:tcW w:type="dxa" w:w="1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Action buttons</w:t>
            </w:r>
          </w:p>
        </w:tc>
        <w:tc>
          <w:tcPr>
            <w:tcW w:type="dxa" w:w="50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"Marcar acuerdo alcanzado" / "Revertir a abierto" / "Cerrar sin acuerdo" — todas con las reglas de reversibilidad del Módulo 04, sección 7.</w:t>
            </w:r>
          </w:p>
        </w:tc>
      </w:tr>
    </w:tbl>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5.3  MSG-03 — Tarjeta de Consulta (formulario)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200"/>
        <w:gridCol w:w="2826"/>
      </w:tblGrid>
      <w:tr>
        <w:trPr>
          <w:tblHeader/>
        </w:trPr>
        <w:tc>
          <w:tcPr>
            <w:tcW w:type="dxa" w:w="28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Campo</w:t>
            </w:r>
          </w:p>
        </w:tc>
        <w:tc>
          <w:tcPr>
            <w:tcW w:type="dxa" w:w="2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1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Obligatorio</w:t>
            </w:r>
          </w:p>
        </w:tc>
        <w:tc>
          <w:tcPr>
            <w:tcW w:type="dxa" w:w="28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Validación / Regla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part_number, brand, location_country del distribuidor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Heredados del contexto</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 editables.</w:t>
            </w:r>
          </w:p>
        </w:tc>
      </w:tr>
      <w:tr>
        <w:tc>
          <w:tcPr>
            <w:tcW w:type="dxa" w:w="2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quantity</w:t>
            </w:r>
          </w:p>
        </w:tc>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Integer</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28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El botón "Consultar" no permite confirmar sin este campo.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notes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Texto libre (máx. 300 car.)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Comentario opcional.</w:t>
            </w:r>
          </w:p>
        </w:tc>
      </w:tr>
    </w:tbl>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5.4  MSG-03 — Tarjeta de Oferta (formulario)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3226"/>
      </w:tblGrid>
      <w:tr>
        <w:trPr>
          <w:tblHeader/>
        </w:trPr>
        <w:tc>
          <w:tcPr>
            <w:tcW w:type="dxa" w:w="24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Campo</w:t>
            </w:r>
          </w:p>
        </w:tc>
        <w:tc>
          <w:tcPr>
            <w:tcW w:type="dxa" w:w="20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14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Obligatorio</w:t>
            </w:r>
          </w:p>
        </w:tc>
        <w:tc>
          <w:tcPr>
            <w:tcW w:type="dxa" w:w="32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Validación / Regla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part_number, brand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Heredados o editables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Heredados de la tarjeta de consulta si responde a una; editable si es directa.</w:t>
            </w:r>
          </w:p>
        </w:tc>
      </w:tr>
      <w:tr>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unit_price</w:t>
            </w:r>
          </w:p>
        </w:tc>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Decimal (2 dec)</w:t>
            </w:r>
          </w:p>
        </w:tc>
        <w:tc>
          <w:tcPr>
            <w:tcW w:type="dxa" w:w="1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Cifra cifrada E2EE.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currency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ISO 4217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Por defecto, divisa del distribuidor.</w:t>
            </w:r>
          </w:p>
        </w:tc>
      </w:tr>
      <w:tr>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quantity</w:t>
            </w:r>
          </w:p>
        </w:tc>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Integer</w:t>
            </w:r>
          </w:p>
        </w:tc>
        <w:tc>
          <w:tcPr>
            <w:tcW w:type="dxa" w:w="1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2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Pre-rellenado desde la consulta si aplica; editable.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lead_time_days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Integer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Plazo de entrega, si difiere del inventario original.</w:t>
            </w:r>
          </w:p>
        </w:tc>
      </w:tr>
      <w:tr>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shipping_cost (NUEVO v1.4)</w:t>
            </w:r>
          </w:p>
        </w:tc>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Decimal (2 dec)</w:t>
            </w:r>
          </w:p>
        </w:tc>
        <w:tc>
          <w:tcPr>
            <w:tcW w:type="dxa" w:w="1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w:t>
            </w:r>
          </w:p>
        </w:tc>
        <w:tc>
          <w:tcPr>
            <w:tcW w:type="dxa" w:w="32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Coste de transporte introducido manualmente, sin cálculo automático (Módulo 05 v2.0).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shipping_cost_currency (NUEVO v1.4)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ISO 4217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 (oblig. si shipping_cost tiene valor)</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Por defecto, igual a currency; editable.</w:t>
            </w:r>
          </w:p>
        </w:tc>
      </w:tr>
      <w:tr>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valid_until</w:t>
            </w:r>
          </w:p>
        </w:tc>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Fecha</w:t>
            </w:r>
          </w:p>
        </w:tc>
        <w:tc>
          <w:tcPr>
            <w:tcW w:type="dxa" w:w="1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w:t>
            </w:r>
          </w:p>
        </w:tc>
        <w:tc>
          <w:tcPr>
            <w:tcW w:type="dxa" w:w="32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Si se omite, la oferta no expira automáticamente.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notes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Texto libre (máx. 500 car.)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Condiciones adicionales: incoterm, forma de pago, etc.</w:t>
            </w:r>
          </w:p>
        </w:tc>
      </w:tr>
    </w:tbl>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5.5  MSG-04 — Ficha de Organización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Elemento</w:t>
            </w:r>
          </w:p>
        </w:tc>
        <w:tc>
          <w:tcPr>
            <w:tcW w:type="dxa" w:w="18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50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Descripción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Datos generales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Solo lectura</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Nombre, país, dirección, código postal, fecha de incorporación.</w:t>
            </w:r>
          </w:p>
        </w:tc>
      </w:tr>
      <w:tr>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Datos de contacto público</w:t>
            </w:r>
          </w:p>
        </w:tc>
        <w:tc>
          <w:tcPr>
            <w:tcW w:type="dxa" w:w="1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Solo lectura</w:t>
            </w:r>
          </w:p>
        </w:tc>
        <w:tc>
          <w:tcPr>
            <w:tcW w:type="dxa" w:w="50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Email y teléfono de contacto público (Módulo 01 v1.4, REG-01). Visibles sin restricción.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Indicador de favoritos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Solo lectura</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Recuento de miembros que marcan a esta organización como favorita.</w:t>
            </w:r>
          </w:p>
        </w:tc>
      </w:tr>
      <w:tr>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Botón "Contactar"</w:t>
            </w:r>
          </w:p>
        </w:tc>
        <w:tc>
          <w:tcPr>
            <w:tcW w:type="dxa" w:w="1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Action button</w:t>
            </w:r>
          </w:p>
        </w:tc>
        <w:tc>
          <w:tcPr>
            <w:tcW w:type="dxa" w:w="50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Inicia o reabre el hilo único con esta organización (vía libre, sin requisitos).</w:t>
            </w:r>
          </w:p>
        </w:tc>
      </w:tr>
    </w:tbl>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5.6  MSG-05 — Directorio de Organizaciones (formulario de filtro)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000"/>
        <w:gridCol w:w="3426"/>
      </w:tblGrid>
      <w:tr>
        <w:trPr>
          <w:tblHeader/>
        </w:trPr>
        <w:tc>
          <w:tcPr>
            <w:tcW w:type="dxa" w:w="28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Campo / Control</w:t>
            </w:r>
          </w:p>
        </w:tc>
        <w:tc>
          <w:tcPr>
            <w:tcW w:type="dxa" w:w="18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10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Obligatorio</w:t>
            </w:r>
          </w:p>
        </w:tc>
        <w:tc>
          <w:tcPr>
            <w:tcW w:type="dxa" w:w="34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Descripción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Filtro por país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Select / text input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Sobre location_country, valores ISO 3166-1.</w:t>
            </w:r>
          </w:p>
        </w:tc>
      </w:tr>
      <w:tr>
        <w:tc>
          <w:tcPr>
            <w:tcW w:type="dxa" w:w="2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Filtro/búsqueda por nombre</w:t>
            </w:r>
          </w:p>
        </w:tc>
        <w:tc>
          <w:tcPr>
            <w:tcW w:type="dxa" w:w="1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Text input</w:t>
            </w:r>
          </w:p>
        </w:tc>
        <w:tc>
          <w:tcPr>
            <w:tcW w:type="dxa" w:w="1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w:t>
            </w:r>
          </w:p>
        </w:tc>
        <w:tc>
          <w:tcPr>
            <w:tcW w:type="dxa" w:w="34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Coincidencia parcial en el nombre de la organización. Combinable con el filtro de país.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Tabla de resultados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Solo lectura</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Columnas: nombre (enlace a MSG-04), país, teléfono, email, favoritos. NUEVO v1.1: eliminada la columna dirección — no aporta valor en formato tabla compacta; sigue visible en MSG-04.</w:t>
            </w:r>
          </w:p>
        </w:tc>
      </w:tr>
    </w:tbl>
    <w:p>
      <w:pPr>
        <w:spacing w:after="0" w:before="0"/>
        <w:jc w:val="left"/>
      </w:pPr>
      <w:r>
        <w:rPr>
          <w:rFonts w:ascii="Arial" w:cs="Arial" w:eastAsia="Arial" w:hAnsi="Arial"/>
          <w:sz w:val="22"/>
          <w:szCs w:val="22"/>
        </w:rPr>
        <w:t xml:space="preserve"/>
      </w:r>
    </w:p>
    <w:p>
      <w:pPr>
        <w:pStyle w:val="Heading1"/>
        <w:pBdr>
          <w:bottom w:val="single" w:color="2E86AB" w:sz="8" w:space="4"/>
        </w:pBdr>
        <w:spacing w:after="200" w:before="480"/>
      </w:pPr>
      <w:r>
        <w:rPr>
          <w:rFonts w:ascii="Arial" w:cs="Arial" w:eastAsia="Arial" w:hAnsi="Arial"/>
          <w:b/>
          <w:bCs/>
          <w:color w:val="1A3A5C"/>
          <w:sz w:val="36"/>
          <w:szCs w:val="36"/>
        </w:rPr>
        <w:t xml:space="preserve">6. Módulo 07 — Suscripción y Billing</w:t>
      </w:r>
    </w:p>
    <w:p>
      <w:pPr>
        <w:pStyle w:val="Heading2"/>
        <w:spacing w:after="160" w:before="360"/>
      </w:pPr>
      <w:r>
        <w:rPr>
          <w:rFonts w:ascii="Arial" w:cs="Arial" w:eastAsia="Arial" w:hAnsi="Arial"/>
          <w:b/>
          <w:bCs/>
          <w:color w:val="1A3A5C"/>
          <w:sz w:val="28"/>
          <w:szCs w:val="28"/>
        </w:rPr>
        <w:t xml:space="preserve">6.1  ADMIN-02 — Panel de Gestión de Cobros</w:t>
      </w:r>
    </w:p>
    <w:p>
      <w:pPr>
        <w:spacing w:after="120" w:before="120"/>
        <w:jc w:val="left"/>
      </w:pPr>
      <w:r>
        <w:rPr>
          <w:rFonts w:ascii="Arial" w:cs="Arial" w:eastAsia="Arial" w:hAnsi="Arial"/>
          <w:sz w:val="22"/>
          <w:szCs w:val="22"/>
        </w:rPr>
        <w:t xml:space="preserve">Panel del Operador de Plataforma, mismo rol que ADMIN-01 (Módulo 01). El "formulario" principal de esta pantalla es el de marcar un pago como recibido.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200"/>
        <w:gridCol w:w="3426"/>
      </w:tblGrid>
      <w:tr>
        <w:trPr>
          <w:tblHeader/>
        </w:trPr>
        <w:tc>
          <w:tcPr>
            <w:tcW w:type="dxa" w:w="26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Campo / Elemento</w:t>
            </w:r>
          </w:p>
        </w:tc>
        <w:tc>
          <w:tcPr>
            <w:tcW w:type="dxa" w:w="18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1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Obligatorio</w:t>
            </w:r>
          </w:p>
        </w:tc>
        <w:tc>
          <w:tcPr>
            <w:tcW w:type="dxa" w:w="34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Descripción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Tabla de organizaciones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Solo lectura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Nombre, fecha de último pago, fecha de vencimiento, días restantes, estado.</w:t>
            </w:r>
          </w:p>
        </w:tc>
      </w:tr>
      <w:tr>
        <w:tc>
          <w:tcPr>
            <w:tcW w:type="dxa" w:w="26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Sección "Candidatas a borrado"</w:t>
            </w:r>
          </w:p>
        </w:tc>
        <w:tc>
          <w:tcPr>
            <w:tcW w:type="dxa" w:w="1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Solo lectura + acción</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c>
          <w:tcPr>
            <w:tcW w:type="dxa" w:w="34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Organizaciones con 6+ meses continuados en SUSPENDED. Botón "Iniciar borrado" con doble confirmación.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Formulario "Marcar pago recibido"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Subformulario modal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Fecha del pago (defecto: hoy, editable) + nota interna opcional (ej. referencia de transferencia).</w:t>
            </w:r>
          </w:p>
        </w:tc>
      </w:tr>
      <w:tr>
        <w:tc>
          <w:tcPr>
            <w:tcW w:type="dxa" w:w="26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Filtro por estado</w:t>
            </w:r>
          </w:p>
        </w:tc>
        <w:tc>
          <w:tcPr>
            <w:tcW w:type="dxa" w:w="1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Select</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w:t>
            </w:r>
          </w:p>
        </w:tc>
        <w:tc>
          <w:tcPr>
            <w:tcW w:type="dxa" w:w="34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Próximos a vencer / Suspendidos / Candidatas a borrado / Todos.</w:t>
            </w:r>
          </w:p>
        </w:tc>
      </w:tr>
    </w:tbl>
    <w:p>
      <w:pPr>
        <w:spacing w:after="0" w:before="0"/>
        <w:jc w:val="left"/>
      </w:pPr>
      <w:r>
        <w:rPr>
          <w:rFonts w:ascii="Arial" w:cs="Arial" w:eastAsia="Arial" w:hAnsi="Arial"/>
          <w:sz w:val="22"/>
          <w:szCs w:val="22"/>
        </w:rPr>
        <w:t xml:space="preserve"/>
      </w:r>
    </w:p>
    <w:p>
      <w:pPr>
        <w:pStyle w:val="Heading1"/>
        <w:pBdr>
          <w:bottom w:val="single" w:color="2E86AB" w:sz="8" w:space="4"/>
        </w:pBdr>
        <w:spacing w:after="200" w:before="480"/>
      </w:pPr>
      <w:r>
        <w:rPr>
          <w:rFonts w:ascii="Arial" w:cs="Arial" w:eastAsia="Arial" w:hAnsi="Arial"/>
          <w:b/>
          <w:bCs/>
          <w:color w:val="1A3A5C"/>
          <w:sz w:val="36"/>
          <w:szCs w:val="36"/>
        </w:rPr>
        <w:t xml:space="preserve">7. Módulo 08 — Foro de la Comunidad</w:t>
      </w:r>
    </w:p>
    <w:p>
      <w:pPr>
        <w:pStyle w:val="Heading2"/>
        <w:spacing w:after="160" w:before="360"/>
      </w:pPr>
      <w:r>
        <w:rPr>
          <w:rFonts w:ascii="Arial" w:cs="Arial" w:eastAsia="Arial" w:hAnsi="Arial"/>
          <w:b/>
          <w:bCs/>
          <w:color w:val="1A3A5C"/>
          <w:sz w:val="28"/>
          <w:szCs w:val="28"/>
        </w:rPr>
        <w:t xml:space="preserve">7.1  FORO-01 — Lista de Categorías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Elemento</w:t>
            </w:r>
          </w:p>
        </w:tc>
        <w:tc>
          <w:tcPr>
            <w:tcW w:type="dxa" w:w="18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48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Descripción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Tarjetas de categoría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Solo lectura</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Una por categoría: nombre, descripción, número de hilos, número de publicaciones, última actividad.</w:t>
            </w:r>
          </w:p>
        </w:tc>
      </w:tr>
      <w:tr>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Hilos recientes (vista global)</w:t>
            </w:r>
          </w:p>
        </w:tc>
        <w:tc>
          <w:tcPr>
            <w:tcW w:type="dxa" w:w="1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Solo lectura</w:t>
            </w:r>
          </w:p>
        </w:tc>
        <w:tc>
          <w:tcPr>
            <w:tcW w:type="dxa" w:w="48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Sección opcional con los hilos más recientes de cualquier categoría.</w:t>
            </w:r>
          </w:p>
        </w:tc>
      </w:tr>
    </w:tbl>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7.2  FORO-02 — Lista de Hilos de una Categoría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000"/>
        <w:gridCol w:w="3426"/>
      </w:tblGrid>
      <w:tr>
        <w:trPr>
          <w:tblHeader/>
        </w:trPr>
        <w:tc>
          <w:tcPr>
            <w:tcW w:type="dxa" w:w="28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Campo / Control</w:t>
            </w:r>
          </w:p>
        </w:tc>
        <w:tc>
          <w:tcPr>
            <w:tcW w:type="dxa" w:w="18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10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Obligatorio</w:t>
            </w:r>
          </w:p>
        </w:tc>
        <w:tc>
          <w:tcPr>
            <w:tcW w:type="dxa" w:w="34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Descripción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Buscador dentro de la categoría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Text input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No</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Filtra por coincidencia en el título del hilo.</w:t>
            </w:r>
          </w:p>
        </w:tc>
      </w:tr>
      <w:tr>
        <w:tc>
          <w:tcPr>
            <w:tcW w:type="dxa" w:w="2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Botón "Crear hilo"</w:t>
            </w:r>
          </w:p>
        </w:tc>
        <w:tc>
          <w:tcPr>
            <w:tcW w:type="dxa" w:w="1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Action button</w:t>
            </w:r>
          </w:p>
        </w:tc>
        <w:tc>
          <w:tcPr>
            <w:tcW w:type="dxa" w:w="1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c>
          <w:tcPr>
            <w:tcW w:type="dxa" w:w="34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Abre el formulario de nuevo hilo (FORO-03 / FL-FORO-01).</w:t>
            </w:r>
          </w:p>
        </w:tc>
      </w:tr>
    </w:tbl>
    <w:p>
      <w:pPr>
        <w:spacing w:after="0" w:before="0"/>
        <w:jc w:val="left"/>
      </w:pPr>
      <w:r>
        <w:rPr>
          <w:rFonts w:ascii="Arial" w:cs="Arial" w:eastAsia="Arial" w:hAnsi="Arial"/>
          <w:sz w:val="22"/>
          <w:szCs w:val="22"/>
        </w:rPr>
        <w:t xml:space="preserve"/>
      </w:r>
    </w:p>
    <w:p>
      <w:pPr>
        <w:pStyle w:val="Heading2"/>
        <w:spacing w:after="160" w:before="360"/>
      </w:pPr>
      <w:r>
        <w:rPr>
          <w:rFonts w:ascii="Arial" w:cs="Arial" w:eastAsia="Arial" w:hAnsi="Arial"/>
          <w:b/>
          <w:bCs/>
          <w:color w:val="1A3A5C"/>
          <w:sz w:val="28"/>
          <w:szCs w:val="28"/>
        </w:rPr>
        <w:t xml:space="preserve">7.3  FORO-03 — Vista de un Hilo / Formulario de Nuevo Hilo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3426"/>
      </w:tblGrid>
      <w:tr>
        <w:trPr>
          <w:tblHeader/>
        </w:trPr>
        <w:tc>
          <w:tcPr>
            <w:tcW w:type="dxa" w:w="24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Campo</w:t>
            </w:r>
          </w:p>
        </w:tc>
        <w:tc>
          <w:tcPr>
            <w:tcW w:type="dxa" w:w="20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1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Obligatorio</w:t>
            </w:r>
          </w:p>
        </w:tc>
        <w:tc>
          <w:tcPr>
            <w:tcW w:type="dxa" w:w="34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Validación / Regla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Título del hilo (al crear)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Text input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Generado por VERA a partir de lenguaje natural, o escrito directamente por el usuario.</w:t>
            </w:r>
          </w:p>
        </w:tc>
      </w:tr>
      <w:tr>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Cuerpo del mensaje / respuesta</w:t>
            </w:r>
          </w:p>
        </w:tc>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Textarea</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4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Mostrado siempre para confirmación antes de publicar si lo redactó VERA.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Categoría (al crear)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Select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Sí</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Una de las categorías activas (Módulo 08, sección 3.2).</w:t>
            </w:r>
          </w:p>
        </w:tc>
      </w:tr>
      <w:tr>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Reacción ("me gusta")</w:t>
            </w:r>
          </w:p>
        </w:tc>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Toggle por publicación</w:t>
            </w:r>
          </w:p>
        </w:tc>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c>
          <w:tcPr>
            <w:tcW w:type="dxa" w:w="34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Individual por usuario, no por organización.</w:t>
            </w:r>
          </w:p>
        </w:tc>
      </w:tr>
    </w:tbl>
    <w:p>
      <w:pPr>
        <w:spacing w:after="0" w:before="0"/>
        <w:jc w:val="left"/>
      </w:pPr>
      <w:r>
        <w:rPr>
          <w:rFonts w:ascii="Arial" w:cs="Arial" w:eastAsia="Arial" w:hAnsi="Arial"/>
          <w:sz w:val="22"/>
          <w:szCs w:val="22"/>
        </w:rPr>
        <w:t xml:space="preserve"/>
      </w:r>
    </w:p>
    <w:p>
      <w:pPr>
        <w:pStyle w:val="Heading1"/>
        <w:pBdr>
          <w:bottom w:val="single" w:color="2E86AB" w:sz="8" w:space="4"/>
        </w:pBdr>
        <w:spacing w:after="200" w:before="480"/>
      </w:pPr>
      <w:r>
        <w:rPr>
          <w:rFonts w:ascii="Arial" w:cs="Arial" w:eastAsia="Arial" w:hAnsi="Arial"/>
          <w:b/>
          <w:bCs/>
          <w:color w:val="1A3A5C"/>
          <w:sz w:val="36"/>
          <w:szCs w:val="36"/>
        </w:rPr>
        <w:t xml:space="preserve">8. Resumen — Total de Pantallas y Formularios Inventariados</w:t>
      </w:r>
    </w:p>
    <w:tbl>
      <w:tblPr>
        <w:tblW w:type="dxa" w:w="9252"/>
        <w:tblBorders>
          <w:top w:val="single" w:color="auto" w:sz="4"/>
          <w:left w:val="single" w:color="auto" w:sz="4"/>
          <w:bottom w:val="single" w:color="auto" w:sz="4"/>
          <w:right w:val="single" w:color="auto" w:sz="4"/>
          <w:insideH w:val="single" w:color="auto" w:sz="4"/>
          <w:insideV w:val="single" w:color="auto" w:sz="4"/>
        </w:tblBorders>
      </w:tblPr>
      <w:tblGrid>
        <w:gridCol w:w="2200"/>
        <w:gridCol w:w="4226"/>
        <w:gridCol w:w="2826"/>
      </w:tblGrid>
      <w:tr>
        <w:trPr>
          <w:tblHeader/>
        </w:trPr>
        <w:tc>
          <w:tcPr>
            <w:tcW w:type="dxa" w:w="2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Módulo</w:t>
            </w:r>
          </w:p>
        </w:tc>
        <w:tc>
          <w:tcPr>
            <w:tcW w:type="dxa" w:w="42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Pantallas/formularios con código</w:t>
            </w:r>
          </w:p>
        </w:tc>
        <w:tc>
          <w:tcPr>
            <w:tcW w:type="dxa" w:w="28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Formularios conversacionales sin pantalla dedicada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00 — Arquitectura IA</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0 (módulo transversal, sin pantallas propias)</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r>
      <w:tr>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01 — Onboarding</w:t>
            </w:r>
          </w:p>
        </w:tc>
        <w:tc>
          <w:tcPr>
            <w:tcW w:type="dxa" w:w="42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12 (REG-00, REG-00-WAIT, ADMIN-01, REG-01, REG-05, REG-06, REG-07, REG-09, FRU, INVT-01, REC-01, SET-SEC-01)</w:t>
            </w:r>
          </w:p>
        </w:tc>
        <w:tc>
          <w:tcPr>
            <w:tcW w:type="dxa" w:w="28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02 — Inventario</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6 (INV-01 a INV-05, INV-07)</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r>
      <w:tr>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03 — Búsqueda</w:t>
            </w:r>
          </w:p>
        </w:tc>
        <w:tc>
          <w:tcPr>
            <w:tcW w:type="dxa" w:w="42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3 (SRCH-01 a SRCH-03)</w:t>
            </w:r>
          </w:p>
        </w:tc>
        <w:tc>
          <w:tcPr>
            <w:tcW w:type="dxa" w:w="28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04 — Mensajería</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5 (MSG-01 a MSG-05)</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Tarjeta de consulta y tarjeta de oferta (ambas dentro de MSG-03)</w:t>
            </w:r>
          </w:p>
        </w:tc>
      </w:tr>
      <w:tr>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05 — Logística</w:t>
            </w:r>
          </w:p>
        </w:tc>
        <w:tc>
          <w:tcPr>
            <w:tcW w:type="dxa" w:w="42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0 (sin pantalla propia en v2.0)</w:t>
            </w:r>
          </w:p>
        </w:tc>
        <w:tc>
          <w:tcPr>
            <w:tcW w:type="dxa" w:w="28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Campo de coste de transporte (dentro de MSG-03 del Módulo 04)</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06 — Reputación ZKP</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0 (módulo descartado)</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r>
      <w:tr>
        <w:tc>
          <w:tcPr>
            <w:tcW w:type="dxa" w:w="2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07 — Billing</w:t>
            </w:r>
          </w:p>
        </w:tc>
        <w:tc>
          <w:tcPr>
            <w:tcW w:type="dxa" w:w="42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1 (ADMIN-02)</w:t>
            </w:r>
          </w:p>
        </w:tc>
        <w:tc>
          <w:tcPr>
            <w:tcW w:type="dxa" w:w="28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08 — Foro</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3 (FORO-01 a FORO-03)</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w:t>
            </w:r>
          </w:p>
        </w:tc>
      </w:tr>
      <w:tr>
        <w:tc>
          <w:tcPr>
            <w:tcW w:type="dxa" w:w="2200"/>
            <w:tcBorders>
              <w:top w:val="single" w:color="DDDDDD" w:sz="1"/>
              <w:left w:val="single" w:color="DDDDDD" w:sz="1"/>
              <w:bottom w:val="single" w:color="DDDDDD" w:sz="1"/>
              <w:right w:val="single" w:color="DDDDDD" w:sz="1"/>
            </w:tcBorders>
            <w:shd w:fill="D6EAF4" w:val="clear"/>
            <w:tcMar>
              <w:top w:type="dxa" w:w="80"/>
              <w:left w:type="dxa" w:w="120"/>
              <w:bottom w:type="dxa" w:w="80"/>
              <w:right w:type="dxa" w:w="120"/>
            </w:tcMar>
            <w:vAlign w:val="top"/>
          </w:tcPr>
          <w:p>
            <w:pPr>
              <w:spacing w:after="0" w:before="0"/>
              <w:jc w:val="left"/>
            </w:pPr>
            <w:r>
              <w:rPr>
                <w:rFonts w:ascii="Arial" w:cs="Arial" w:eastAsia="Arial" w:hAnsi="Arial"/>
                <w:b/>
                <w:bCs/>
                <w:color w:val="000000"/>
                <w:sz w:val="20"/>
                <w:szCs w:val="20"/>
              </w:rPr>
              <w:t xml:space="preserve">TOTAL</w:t>
            </w:r>
          </w:p>
        </w:tc>
        <w:tc>
          <w:tcPr>
            <w:tcW w:type="dxa" w:w="4226"/>
            <w:tcBorders>
              <w:top w:val="single" w:color="DDDDDD" w:sz="1"/>
              <w:left w:val="single" w:color="DDDDDD" w:sz="1"/>
              <w:bottom w:val="single" w:color="DDDDDD" w:sz="1"/>
              <w:right w:val="single" w:color="DDDDDD" w:sz="1"/>
            </w:tcBorders>
            <w:shd w:fill="D6EAF4" w:val="clear"/>
            <w:tcMar>
              <w:top w:type="dxa" w:w="80"/>
              <w:left w:type="dxa" w:w="120"/>
              <w:bottom w:type="dxa" w:w="80"/>
              <w:right w:type="dxa" w:w="120"/>
            </w:tcMar>
            <w:vAlign w:val="top"/>
          </w:tcPr>
          <w:p>
            <w:pPr>
              <w:spacing w:after="0" w:before="0"/>
              <w:jc w:val="left"/>
            </w:pPr>
            <w:r>
              <w:rPr>
                <w:rFonts w:ascii="Arial" w:cs="Arial" w:eastAsia="Arial" w:hAnsi="Arial"/>
                <w:b/>
                <w:bCs/>
                <w:color w:val="000000"/>
                <w:sz w:val="20"/>
                <w:szCs w:val="20"/>
              </w:rPr>
              <w:t xml:space="preserve">30 pantallas con código</w:t>
            </w:r>
          </w:p>
        </w:tc>
        <w:tc>
          <w:tcPr>
            <w:tcW w:type="dxa" w:w="2826"/>
            <w:tcBorders>
              <w:top w:val="single" w:color="DDDDDD" w:sz="1"/>
              <w:left w:val="single" w:color="DDDDDD" w:sz="1"/>
              <w:bottom w:val="single" w:color="DDDDDD" w:sz="1"/>
              <w:right w:val="single" w:color="DDDDDD" w:sz="1"/>
            </w:tcBorders>
            <w:shd w:fill="D6EAF4" w:val="clear"/>
            <w:tcMar>
              <w:top w:type="dxa" w:w="80"/>
              <w:left w:type="dxa" w:w="120"/>
              <w:bottom w:type="dxa" w:w="80"/>
              <w:right w:type="dxa" w:w="120"/>
            </w:tcMar>
            <w:vAlign w:val="top"/>
          </w:tcPr>
          <w:p>
            <w:pPr>
              <w:spacing w:after="0" w:before="0"/>
              <w:jc w:val="left"/>
            </w:pPr>
            <w:r>
              <w:rPr>
                <w:rFonts w:ascii="Arial" w:cs="Arial" w:eastAsia="Arial" w:hAnsi="Arial"/>
                <w:b/>
                <w:bCs/>
                <w:color w:val="000000"/>
                <w:sz w:val="20"/>
                <w:szCs w:val="20"/>
              </w:rPr>
              <w:t xml:space="preserve">2 formularios conversacionales adicionales</w:t>
            </w:r>
          </w:p>
        </w:tc>
      </w:tr>
    </w:tbl>
    <w:p>
      <w:pPr>
        <w:spacing w:after="0" w:before="0"/>
        <w:jc w:val="left"/>
      </w:pPr>
      <w:r>
        <w:rPr>
          <w:rFonts w:ascii="Arial" w:cs="Arial" w:eastAsia="Arial" w:hAnsi="Arial"/>
          <w:sz w:val="22"/>
          <w:szCs w:val="22"/>
        </w:rPr>
        <w:t xml:space="preserve"/>
      </w:r>
    </w:p>
    <w:p>
      <w:pPr>
        <w:spacing w:after="120" w:before="120"/>
        <w:jc w:val="left"/>
      </w:pPr>
      <w:r>
        <w:rPr>
          <w:rFonts w:ascii="Arial" w:cs="Arial" w:eastAsia="Arial" w:hAnsi="Arial"/>
          <w:sz w:val="22"/>
          <w:szCs w:val="22"/>
        </w:rPr>
        <w:t xml:space="preserve">Este inventario, junto con el diagrama de flujo de la sección 1, queda como input directo para la fase de Spec-Driven Development (OpenSpec): cada tabla de campos es trasladable casi de forma literal a un esquema de datos o a la definición de un endpoint de API, y el diagrama de flujo es la base para definir las rutas de navegación de la aplicación.</w:t>
      </w:r>
    </w:p>
    <w:p>
      <w:pPr>
        <w:spacing w:after="0" w:before="0"/>
        <w:jc w:val="left"/>
      </w:pPr>
      <w:r>
        <w:rPr>
          <w:rFonts w:ascii="Arial" w:cs="Arial" w:eastAsia="Arial" w:hAnsi="Arial"/>
          <w:sz w:val="22"/>
          <w:szCs w:val="22"/>
        </w:rPr>
        <w:t xml:space="preserve"/>
      </w:r>
    </w:p>
    <w:p>
      <w:pPr>
        <w:pStyle w:val="Heading1"/>
        <w:pBdr>
          <w:bottom w:val="single" w:color="2E86AB" w:sz="8" w:space="4"/>
        </w:pBdr>
        <w:spacing w:after="200" w:before="480"/>
      </w:pPr>
      <w:r>
        <w:rPr>
          <w:rFonts w:ascii="Arial" w:cs="Arial" w:eastAsia="Arial" w:hAnsi="Arial"/>
          <w:b/>
          <w:bCs/>
          <w:color w:val="1A3A5C"/>
          <w:sz w:val="36"/>
          <w:szCs w:val="36"/>
        </w:rPr>
        <w:t xml:space="preserve">Historial de Versiones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3826"/>
      </w:tblGrid>
      <w:tr>
        <w:trPr>
          <w:tblHeader/>
        </w:trPr>
        <w:tc>
          <w:tcPr>
            <w:tcW w:type="dxa" w:w="12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Versión</w:t>
            </w:r>
          </w:p>
        </w:tc>
        <w:tc>
          <w:tcPr>
            <w:tcW w:type="dxa" w:w="16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Fecha</w:t>
            </w:r>
          </w:p>
        </w:tc>
        <w:tc>
          <w:tcPr>
            <w:tcW w:type="dxa" w:w="2400"/>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Autor</w:t>
            </w:r>
          </w:p>
        </w:tc>
        <w:tc>
          <w:tcPr>
            <w:tcW w:type="dxa" w:w="3826"/>
            <w:tcBorders>
              <w:top w:val="single" w:color="2E86AB" w:sz="1"/>
              <w:left w:val="single" w:color="2E86AB" w:sz="1"/>
              <w:bottom w:val="single" w:color="2E86AB" w:sz="1"/>
              <w:right w:val="single" w:color="2E86AB"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Descripción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1.0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Junio 2026</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Equipo de Producto</w:t>
            </w:r>
          </w:p>
        </w:tc>
        <w:tc>
          <w:tcPr>
            <w:tcW w:type="dxa" w:w="3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Versión inicial. Consolida las 28 pantallas con código y 2 formularios conversacionales adicionales de los Módulos 01 a 08, con diagrama de flujo de navegación y tabla de campos exhaustiva por cada una. Detectadas y corregidas tres inconsistencias durante la auditoría (sección 0.2): residuo de pantallas de verificación de email en el Módulo 01 v1.4, conflicto de código INV-01 entre Módulos 01 y 02 (resuelto renombrando a INVT-01), y especificación inexistente de MSG-01/MSG-02 del Módulo 04 (completada aquí por primera vez).</w:t>
            </w:r>
          </w:p>
        </w:tc>
      </w:tr>
      <w:tr>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1.1</w:t>
            </w:r>
          </w:p>
        </w:tc>
        <w:tc>
          <w:tcPr>
            <w:tcW w:type="dxa" w:w="16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Junio 2026</w:t>
            </w:r>
          </w:p>
        </w:tc>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Equipo de Producto</w:t>
            </w:r>
          </w:p>
        </w:tc>
        <w:tc>
          <w:tcPr>
            <w:tcW w:type="dxa" w:w="3826"/>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00000"/>
                <w:sz w:val="20"/>
                <w:szCs w:val="20"/>
              </w:rPr>
              <w:t xml:space="preserve">Incorporados los cambios derivados de la revisión por comentarios del usuario sobre la v1.0: (1) Aclarado que REG-00-WAIT es una pantalla de un solo uso, sin acceso posterior. (2) Añadido NIF/CIF obligatorio al FRO, con sus campos reordenados según un criterio de relleno lógico. (3) Rediseñado por completo el sistema de visibilidad de inventario (INV-07, nueva sección 3.6): de cinco modos a dos (Visible para todos / Visibilidad restringida), descartando Bilateral y manteniendo Tiered diferido a V2. (4) Rol de usuario no editable en ningún formulario — corregido en REG-09 e INVT-01, y documentado el FRU como pantalla propia (sección 2.8B). (5) Eliminados tres residuos del campo condition en el Módulo 02. (6) Traducida la terminología STALE a "desactualizado". (7) Aclarado el significado de "Guardar como perfil". (8) INV-03 ahora muestra solo un ejemplo de 10 líneas. (9) Nuevo orden fijo de columnas en toda tabla de resultados de búsqueda (Referencia, Marca, Cantidad, Plazo, Empresa, País) y nuevo checkbox + botón "Consultar Seleccionados" en SRCH-01/SRCH-02. (10) Watcher: Referencia y Cantidad ahora obligatorias. (11) Aclarado en MSG-01 el concepto de "un único hilo por par de organizaciones". (12) Eliminada la columna Dirección de la tabla del Directorio de Organizaciones (MSG-05).</w:t>
            </w:r>
          </w:p>
        </w:tc>
      </w:tr>
    </w:tbl>
    <w:p>
      <w:pPr>
        <w:spacing w:after="0" w:before="0"/>
        <w:jc w:val="left"/>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D6D7E" w:sz="6"/>
              <w:left w:val="single" w:color="5D6D7E" w:sz="6"/>
              <w:bottom w:val="single" w:color="CCCCCC" w:sz="1"/>
              <w:right w:val="single" w:color="CCCCCC" w:sz="1"/>
            </w:tcBorders>
            <w:shd w:fill="F2F3F4" w:val="clear"/>
            <w:tcMar>
              <w:top w:type="dxa" w:w="80"/>
              <w:left w:type="dxa" w:w="160"/>
              <w:bottom w:type="dxa" w:w="80"/>
              <w:right w:type="dxa" w:w="160"/>
            </w:tcMar>
          </w:tcPr>
          <w:p>
            <w:pPr>
              <w:spacing w:after="40" w:before="0"/>
              <w:jc w:val="left"/>
            </w:pPr>
            <w:r>
              <w:rPr>
                <w:rFonts w:ascii="Arial" w:cs="Arial" w:eastAsia="Arial" w:hAnsi="Arial"/>
                <w:b/>
                <w:bCs/>
                <w:color w:val="5D6D7E"/>
                <w:sz w:val="20"/>
                <w:szCs w:val="20"/>
              </w:rPr>
              <w:t xml:space="preserve">📄  DOCUMENTOS DE REFERENCIA</w:t>
            </w:r>
          </w:p>
          <w:p>
            <w:pPr>
              <w:spacing w:after="0" w:before="0"/>
              <w:jc w:val="left"/>
            </w:pPr>
            <w:r>
              <w:rPr>
                <w:rFonts w:ascii="Arial" w:cs="Arial" w:eastAsia="Arial" w:hAnsi="Arial"/>
                <w:color w:val="333333"/>
                <w:sz w:val="20"/>
                <w:szCs w:val="20"/>
              </w:rPr>
              <w:t xml:space="preserve">PRD v1.1  |  Tech Stack &amp; AI Cost Estimation v1.1  |  Módulo 01 — Onboarding v1.5  |  Módulo 02 — Gestión de Inventario v1.3  |  Módulo 03 — Búsqueda Conversacional v1.6  |  Módulo 04 — Mensajería E2EE v1.5  |  Módulo 07 — Billing v1.1  |  Módulo 08 — Foro v1.1  |  ADR-001 — E2EE Key Backup</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tabs>
        <w:tab w:val="right" w:pos="9026"/>
      </w:tabs>
      <w:spacing w:after="0" w:before="120"/>
    </w:pPr>
    <w:r>
      <w:rPr>
        <w:rFonts w:ascii="Arial" w:cs="Arial" w:eastAsia="Arial" w:hAnsi="Arial"/>
        <w:color w:val="5D6D7E"/>
        <w:sz w:val="16"/>
        <w:szCs w:val="16"/>
      </w:rPr>
      <w:t xml:space="preserve">Versión 1.1  ·  Junio 2026</w:t>
    </w:r>
    <w:r>
      <w:rPr>
        <w:rFonts w:ascii="Arial" w:cs="Arial" w:eastAsia="Arial" w:hAnsi="Arial"/>
        <w:color w:val="5D6D7E"/>
        <w:sz w:val="16"/>
        <w:szCs w:val="16"/>
      </w:rPr>
      <w:t xml:space="preserve">			Página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spacing w:after="120" w:before="0"/>
    </w:pPr>
    <w:r>
      <w:rPr>
        <w:rFonts w:ascii="Arial" w:cs="Arial" w:eastAsia="Arial" w:hAnsi="Arial"/>
        <w:color w:val="5D6D7E"/>
        <w:sz w:val="16"/>
        <w:szCs w:val="16"/>
      </w:rPr>
      <w:t xml:space="preserve">Bearingworld.io  ·  Inventario Maestro de Pantallas y Formularios</w:t>
    </w:r>
    <w:r>
      <w:rPr>
        <w:rFonts w:ascii="Arial" w:cs="Arial" w:eastAsia="Arial" w:hAnsi="Arial"/>
        <w:b/>
        <w:bCs/>
        <w:color w:val="C0392B"/>
        <w:sz w:val="16"/>
        <w:szCs w:val="16"/>
      </w:rPr>
      <w:t xml:space="preserv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3A5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5ed4702f4039644f280aef6864e0ee08d69a7e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2026-06-17T23:58:54.360Z</dcterms:created>
  <dcterms:modified xsi:type="dcterms:W3CDTF">2026-06-17T23:58:54.360Z</dcterms:modified>
</cp:coreProperties>
</file>

<file path=docProps/custom.xml><?xml version="1.0" encoding="utf-8"?>
<Properties xmlns="http://schemas.openxmlformats.org/officeDocument/2006/custom-properties" xmlns:vt="http://schemas.openxmlformats.org/officeDocument/2006/docPropsVTypes"/>
</file>